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9747">
      <w:pPr>
        <w:spacing w:line="400" w:lineRule="exact"/>
        <w:ind w:left="1080" w:leftChars="257" w:hanging="540"/>
        <w:jc w:val="center"/>
        <w:outlineLvl w:val="0"/>
        <w:rPr>
          <w:rFonts w:ascii="仿宋" w:hAnsi="仿宋" w:eastAsia="仿宋"/>
          <w:b/>
          <w:kern w:val="0"/>
          <w:sz w:val="30"/>
          <w:szCs w:val="20"/>
          <w:lang w:val="zh-CN" w:eastAsia="zh-CN"/>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4E4DF916">
      <w:pPr>
        <w:bidi w:val="0"/>
        <w:rPr>
          <w:rFonts w:ascii="Times New Roman" w:hAnsi="Times New Roman" w:eastAsia="宋体" w:cs="Times New Roman"/>
          <w:kern w:val="2"/>
          <w:sz w:val="21"/>
          <w:szCs w:val="24"/>
          <w:lang w:val="zh-CN" w:eastAsia="zh-CN" w:bidi="ar-SA"/>
        </w:rPr>
      </w:pPr>
    </w:p>
    <w:p w14:paraId="6EF827C6">
      <w:pPr>
        <w:tabs>
          <w:tab w:val="center" w:pos="4153"/>
        </w:tabs>
        <w:bidi w:val="0"/>
        <w:spacing w:line="360" w:lineRule="auto"/>
        <w:jc w:val="left"/>
        <w:rPr>
          <w:rFonts w:eastAsia="仿宋"/>
          <w:b/>
          <w:bCs/>
          <w:sz w:val="24"/>
          <w:lang w:val="zh-CN"/>
        </w:rPr>
      </w:pPr>
      <w:r>
        <w:rPr>
          <w:rFonts w:eastAsia="仿宋"/>
          <w:b/>
          <w:bCs/>
          <w:sz w:val="24"/>
          <w:lang w:val="zh-CN"/>
        </w:rPr>
        <w:t>甲方：</w:t>
      </w:r>
      <w:r>
        <w:rPr>
          <w:rFonts w:eastAsia="仿宋"/>
          <w:bCs/>
          <w:sz w:val="24"/>
          <w:lang w:val="zh-CN"/>
        </w:rPr>
        <w:t>（前款所称采购人）     住所：</w:t>
      </w:r>
    </w:p>
    <w:p w14:paraId="69A72ACD">
      <w:pPr>
        <w:tabs>
          <w:tab w:val="left" w:pos="735"/>
        </w:tabs>
        <w:autoSpaceDE w:val="0"/>
        <w:autoSpaceDN w:val="0"/>
        <w:adjustRightInd w:val="0"/>
        <w:snapToGrid w:val="0"/>
        <w:spacing w:line="360" w:lineRule="auto"/>
        <w:rPr>
          <w:rFonts w:eastAsia="仿宋"/>
          <w:bCs/>
          <w:sz w:val="24"/>
          <w:lang w:val="zh-CN"/>
        </w:rPr>
      </w:pPr>
      <w:r>
        <w:rPr>
          <w:rFonts w:eastAsia="仿宋"/>
          <w:b/>
          <w:bCs/>
          <w:sz w:val="24"/>
          <w:lang w:val="zh-CN"/>
        </w:rPr>
        <w:t>乙方：</w:t>
      </w:r>
      <w:r>
        <w:rPr>
          <w:rFonts w:eastAsia="仿宋"/>
          <w:bCs/>
          <w:sz w:val="24"/>
          <w:lang w:val="zh-CN"/>
        </w:rPr>
        <w:t>（前款所称中标人）     住所：</w:t>
      </w:r>
    </w:p>
    <w:p w14:paraId="3F99577D">
      <w:pPr>
        <w:adjustRightInd w:val="0"/>
        <w:snapToGrid w:val="0"/>
        <w:spacing w:line="360" w:lineRule="auto"/>
        <w:ind w:firstLine="480" w:firstLineChars="200"/>
        <w:rPr>
          <w:rFonts w:eastAsia="仿宋"/>
          <w:sz w:val="24"/>
        </w:rPr>
      </w:pPr>
      <w:bookmarkStart w:id="3" w:name="_Toc19515384"/>
      <w:r>
        <w:rPr>
          <w:rFonts w:eastAsia="仿宋"/>
          <w:sz w:val="24"/>
        </w:rPr>
        <w:t>一、合同内容（标的、数量、质量等）:</w:t>
      </w:r>
      <w:bookmarkEnd w:id="3"/>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1FAD4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3D889C4B">
            <w:pPr>
              <w:spacing w:line="500" w:lineRule="exact"/>
              <w:jc w:val="center"/>
              <w:rPr>
                <w:rFonts w:ascii="仿宋" w:hAnsi="仿宋" w:eastAsia="仿宋"/>
                <w:color w:val="000000"/>
                <w:sz w:val="24"/>
              </w:rPr>
            </w:pPr>
            <w:bookmarkStart w:id="4" w:name="_Toc19515385"/>
            <w:r>
              <w:rPr>
                <w:rFonts w:hint="eastAsia" w:ascii="仿宋" w:hAnsi="仿宋" w:eastAsia="仿宋"/>
                <w:color w:val="000000"/>
                <w:sz w:val="24"/>
              </w:rPr>
              <w:t>产品名称</w:t>
            </w:r>
          </w:p>
        </w:tc>
        <w:tc>
          <w:tcPr>
            <w:tcW w:w="1530" w:type="dxa"/>
          </w:tcPr>
          <w:p w14:paraId="097B8954">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514819D">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06C81AD4">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2429D813">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65D107C5">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A1B3B1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70F92547">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64D75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286B30DA">
            <w:pPr>
              <w:spacing w:line="500" w:lineRule="exact"/>
              <w:rPr>
                <w:rFonts w:ascii="仿宋" w:hAnsi="仿宋" w:eastAsia="仿宋"/>
                <w:color w:val="000000"/>
                <w:sz w:val="24"/>
              </w:rPr>
            </w:pPr>
          </w:p>
        </w:tc>
        <w:tc>
          <w:tcPr>
            <w:tcW w:w="1530" w:type="dxa"/>
          </w:tcPr>
          <w:p w14:paraId="4077D39B">
            <w:pPr>
              <w:spacing w:line="500" w:lineRule="exact"/>
              <w:rPr>
                <w:rFonts w:ascii="仿宋" w:hAnsi="仿宋" w:eastAsia="仿宋"/>
                <w:color w:val="000000"/>
                <w:sz w:val="24"/>
              </w:rPr>
            </w:pPr>
          </w:p>
        </w:tc>
        <w:tc>
          <w:tcPr>
            <w:tcW w:w="1380" w:type="dxa"/>
          </w:tcPr>
          <w:p w14:paraId="3FABE292">
            <w:pPr>
              <w:spacing w:line="500" w:lineRule="exact"/>
              <w:jc w:val="left"/>
              <w:rPr>
                <w:rFonts w:ascii="仿宋" w:hAnsi="仿宋" w:eastAsia="仿宋"/>
                <w:color w:val="000000"/>
                <w:sz w:val="24"/>
              </w:rPr>
            </w:pPr>
          </w:p>
        </w:tc>
        <w:tc>
          <w:tcPr>
            <w:tcW w:w="870" w:type="dxa"/>
          </w:tcPr>
          <w:p w14:paraId="172F3520">
            <w:pPr>
              <w:spacing w:line="500" w:lineRule="exact"/>
              <w:rPr>
                <w:rFonts w:ascii="仿宋" w:hAnsi="仿宋" w:eastAsia="仿宋"/>
                <w:color w:val="000000"/>
                <w:sz w:val="24"/>
              </w:rPr>
            </w:pPr>
          </w:p>
        </w:tc>
        <w:tc>
          <w:tcPr>
            <w:tcW w:w="795" w:type="dxa"/>
          </w:tcPr>
          <w:p w14:paraId="1BCED1D6">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40E92B86">
            <w:pPr>
              <w:spacing w:line="500" w:lineRule="exact"/>
              <w:rPr>
                <w:rFonts w:ascii="仿宋" w:hAnsi="仿宋" w:eastAsia="仿宋"/>
                <w:color w:val="000000"/>
                <w:sz w:val="24"/>
              </w:rPr>
            </w:pPr>
          </w:p>
        </w:tc>
        <w:tc>
          <w:tcPr>
            <w:tcW w:w="1164" w:type="dxa"/>
            <w:vAlign w:val="center"/>
          </w:tcPr>
          <w:p w14:paraId="6AB6065F">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0A2311E9">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3565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47CE9D5">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052A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735E838F">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60CAC496">
      <w:pPr>
        <w:adjustRightInd w:val="0"/>
        <w:snapToGrid w:val="0"/>
        <w:spacing w:line="360" w:lineRule="auto"/>
        <w:ind w:firstLine="480" w:firstLineChars="200"/>
        <w:rPr>
          <w:rFonts w:eastAsia="仿宋"/>
          <w:sz w:val="24"/>
        </w:rPr>
      </w:pPr>
      <w:r>
        <w:rPr>
          <w:rFonts w:eastAsia="仿宋"/>
          <w:sz w:val="24"/>
        </w:rPr>
        <w:t>二、合同价款</w:t>
      </w:r>
      <w:bookmarkEnd w:id="4"/>
    </w:p>
    <w:p w14:paraId="75120068">
      <w:pPr>
        <w:adjustRightInd w:val="0"/>
        <w:snapToGrid w:val="0"/>
        <w:spacing w:line="360" w:lineRule="auto"/>
        <w:ind w:firstLine="480" w:firstLineChars="200"/>
        <w:rPr>
          <w:rFonts w:eastAsia="仿宋"/>
          <w:sz w:val="24"/>
        </w:rPr>
      </w:pPr>
      <w:r>
        <w:rPr>
          <w:rFonts w:eastAsia="仿宋"/>
          <w:sz w:val="24"/>
        </w:rPr>
        <w:t>1、合同总价：</w:t>
      </w:r>
    </w:p>
    <w:p w14:paraId="0E09F13A">
      <w:pPr>
        <w:adjustRightInd w:val="0"/>
        <w:snapToGrid w:val="0"/>
        <w:spacing w:line="360" w:lineRule="auto"/>
        <w:ind w:firstLine="480" w:firstLineChars="200"/>
        <w:rPr>
          <w:rFonts w:eastAsia="仿宋"/>
          <w:sz w:val="24"/>
        </w:rPr>
      </w:pPr>
      <w:r>
        <w:rPr>
          <w:rFonts w:eastAsia="仿宋"/>
          <w:sz w:val="24"/>
        </w:rPr>
        <w:t>2、合同总价包括：</w:t>
      </w:r>
    </w:p>
    <w:p w14:paraId="4D850E7F">
      <w:pPr>
        <w:adjustRightInd w:val="0"/>
        <w:snapToGrid w:val="0"/>
        <w:spacing w:line="360" w:lineRule="auto"/>
        <w:ind w:firstLine="480" w:firstLineChars="200"/>
        <w:rPr>
          <w:rFonts w:eastAsia="仿宋"/>
          <w:sz w:val="24"/>
        </w:rPr>
      </w:pPr>
      <w:r>
        <w:rPr>
          <w:rFonts w:eastAsia="仿宋"/>
          <w:sz w:val="24"/>
        </w:rPr>
        <w:t>3、合同总价一次包死，不受市场价变化的影响。</w:t>
      </w:r>
    </w:p>
    <w:p w14:paraId="58E8414A">
      <w:pPr>
        <w:adjustRightInd w:val="0"/>
        <w:snapToGrid w:val="0"/>
        <w:spacing w:line="360" w:lineRule="auto"/>
        <w:ind w:firstLine="480" w:firstLineChars="200"/>
        <w:rPr>
          <w:rFonts w:eastAsia="仿宋"/>
          <w:sz w:val="24"/>
        </w:rPr>
      </w:pPr>
      <w:bookmarkStart w:id="5" w:name="_Toc19515386"/>
      <w:r>
        <w:rPr>
          <w:rFonts w:eastAsia="仿宋"/>
          <w:sz w:val="24"/>
        </w:rPr>
        <w:t>三、合同结算</w:t>
      </w:r>
      <w:bookmarkEnd w:id="5"/>
      <w:bookmarkStart w:id="6" w:name="_Toc19515387"/>
    </w:p>
    <w:p w14:paraId="38F63DEF">
      <w:pPr>
        <w:adjustRightInd w:val="0"/>
        <w:snapToGrid w:val="0"/>
        <w:spacing w:line="360" w:lineRule="auto"/>
        <w:ind w:firstLine="482" w:firstLineChars="200"/>
        <w:rPr>
          <w:rFonts w:eastAsia="仿宋"/>
          <w:b/>
          <w:sz w:val="24"/>
          <w:highlight w:val="none"/>
        </w:rPr>
      </w:pPr>
      <w:r>
        <w:rPr>
          <w:rFonts w:eastAsia="仿宋"/>
          <w:b/>
          <w:sz w:val="24"/>
          <w:highlight w:val="none"/>
        </w:rPr>
        <w:t>付款比例：</w:t>
      </w:r>
    </w:p>
    <w:p w14:paraId="52A587F2">
      <w:pPr>
        <w:adjustRightInd w:val="0"/>
        <w:snapToGrid w:val="0"/>
        <w:spacing w:line="360" w:lineRule="auto"/>
        <w:ind w:firstLine="482" w:firstLineChars="200"/>
        <w:rPr>
          <w:rFonts w:eastAsia="仿宋"/>
          <w:b/>
          <w:sz w:val="24"/>
          <w:highlight w:val="none"/>
        </w:rPr>
      </w:pPr>
      <w:r>
        <w:rPr>
          <w:rFonts w:hint="eastAsia" w:eastAsia="仿宋"/>
          <w:b/>
          <w:sz w:val="24"/>
          <w:highlight w:val="none"/>
        </w:rPr>
        <w:t>合同签订后</w:t>
      </w:r>
      <w:r>
        <w:rPr>
          <w:rFonts w:hint="eastAsia" w:ascii="仿宋" w:hAnsi="仿宋" w:eastAsia="仿宋"/>
          <w:b/>
          <w:bCs/>
          <w:color w:val="000000"/>
          <w:sz w:val="24"/>
          <w:lang w:val="en-US" w:eastAsia="zh-CN"/>
        </w:rPr>
        <w:t>达到付款条件30日内</w:t>
      </w:r>
      <w:r>
        <w:rPr>
          <w:rFonts w:hint="eastAsia" w:eastAsia="仿宋"/>
          <w:b/>
          <w:sz w:val="24"/>
          <w:highlight w:val="none"/>
        </w:rPr>
        <w:t>支付合同总价的40%作为预付款，货到现场、安装调试、培训完毕经验收合格并交付使用，满足支付条件后</w:t>
      </w:r>
      <w:r>
        <w:rPr>
          <w:rFonts w:hint="eastAsia" w:eastAsia="仿宋"/>
          <w:b/>
          <w:sz w:val="24"/>
          <w:highlight w:val="none"/>
          <w:lang w:val="en-US" w:eastAsia="zh-CN"/>
        </w:rPr>
        <w:t>30日</w:t>
      </w:r>
      <w:r>
        <w:rPr>
          <w:rFonts w:hint="eastAsia" w:eastAsia="仿宋"/>
          <w:b/>
          <w:sz w:val="24"/>
          <w:highlight w:val="none"/>
        </w:rPr>
        <w:t>内付至合同金额的100%。</w:t>
      </w:r>
    </w:p>
    <w:p w14:paraId="1F5901D8">
      <w:pPr>
        <w:adjustRightInd w:val="0"/>
        <w:snapToGrid w:val="0"/>
        <w:spacing w:line="360" w:lineRule="auto"/>
        <w:ind w:firstLine="468" w:firstLineChars="195"/>
        <w:rPr>
          <w:rFonts w:eastAsia="仿宋"/>
          <w:sz w:val="24"/>
          <w:highlight w:val="none"/>
        </w:rPr>
      </w:pPr>
      <w:r>
        <w:rPr>
          <w:rFonts w:eastAsia="仿宋"/>
          <w:sz w:val="24"/>
          <w:highlight w:val="none"/>
        </w:rPr>
        <w:t>2、结算方式：银行转账。</w:t>
      </w:r>
    </w:p>
    <w:p w14:paraId="1D8C38E9">
      <w:pPr>
        <w:adjustRightInd w:val="0"/>
        <w:snapToGrid w:val="0"/>
        <w:spacing w:line="360" w:lineRule="auto"/>
        <w:ind w:firstLine="480" w:firstLineChars="200"/>
        <w:rPr>
          <w:rFonts w:eastAsia="仿宋"/>
          <w:sz w:val="24"/>
          <w:highlight w:val="none"/>
        </w:rPr>
      </w:pPr>
      <w:r>
        <w:rPr>
          <w:rFonts w:eastAsia="仿宋"/>
          <w:sz w:val="24"/>
          <w:highlight w:val="none"/>
        </w:rPr>
        <w:t>3、结算单位：由</w:t>
      </w:r>
      <w:r>
        <w:rPr>
          <w:rFonts w:eastAsia="仿宋"/>
          <w:sz w:val="24"/>
          <w:highlight w:val="none"/>
          <w:u w:val="single"/>
        </w:rPr>
        <w:t xml:space="preserve">         </w:t>
      </w:r>
      <w:r>
        <w:rPr>
          <w:rFonts w:eastAsia="仿宋"/>
          <w:sz w:val="24"/>
          <w:highlight w:val="none"/>
        </w:rPr>
        <w:t>负责结算，乙方开具合同总价数的全额发票交采购人。</w:t>
      </w:r>
    </w:p>
    <w:p w14:paraId="4D3D2FBC">
      <w:pPr>
        <w:adjustRightInd w:val="0"/>
        <w:snapToGrid w:val="0"/>
        <w:spacing w:line="360" w:lineRule="auto"/>
        <w:ind w:firstLine="480" w:firstLineChars="200"/>
        <w:rPr>
          <w:rFonts w:eastAsia="仿宋"/>
          <w:sz w:val="24"/>
          <w:highlight w:val="none"/>
        </w:rPr>
      </w:pPr>
      <w:r>
        <w:rPr>
          <w:rFonts w:eastAsia="仿宋"/>
          <w:sz w:val="24"/>
          <w:highlight w:val="none"/>
        </w:rPr>
        <w:t>四、履行期限、地点及方式:</w:t>
      </w:r>
      <w:bookmarkEnd w:id="6"/>
    </w:p>
    <w:p w14:paraId="3C40C5EF">
      <w:pPr>
        <w:adjustRightInd w:val="0"/>
        <w:snapToGrid w:val="0"/>
        <w:spacing w:line="360" w:lineRule="auto"/>
        <w:ind w:firstLine="482" w:firstLineChars="200"/>
        <w:rPr>
          <w:rFonts w:hint="eastAsia" w:eastAsia="仿宋"/>
          <w:b/>
          <w:sz w:val="24"/>
          <w:highlight w:val="none"/>
          <w:lang w:val="en-US" w:eastAsia="zh-CN"/>
        </w:rPr>
      </w:pPr>
      <w:r>
        <w:rPr>
          <w:rFonts w:eastAsia="仿宋"/>
          <w:b/>
          <w:sz w:val="24"/>
          <w:highlight w:val="none"/>
        </w:rPr>
        <w:t>1、履行期限（交货期）：</w:t>
      </w:r>
      <w:r>
        <w:rPr>
          <w:rFonts w:hint="eastAsia" w:eastAsia="仿宋"/>
          <w:b/>
          <w:sz w:val="24"/>
          <w:highlight w:val="none"/>
        </w:rPr>
        <w:t>合同签订后</w:t>
      </w:r>
      <w:r>
        <w:rPr>
          <w:rFonts w:hint="eastAsia" w:eastAsia="仿宋"/>
          <w:b/>
          <w:sz w:val="24"/>
          <w:highlight w:val="none"/>
          <w:lang w:val="en-US" w:eastAsia="zh-CN"/>
        </w:rPr>
        <w:t>30</w:t>
      </w:r>
      <w:r>
        <w:rPr>
          <w:rFonts w:hint="eastAsia" w:eastAsia="仿宋"/>
          <w:b/>
          <w:sz w:val="24"/>
          <w:highlight w:val="none"/>
        </w:rPr>
        <w:t>天</w:t>
      </w:r>
      <w:r>
        <w:rPr>
          <w:rFonts w:hint="eastAsia" w:eastAsia="仿宋"/>
          <w:b/>
          <w:sz w:val="24"/>
          <w:highlight w:val="none"/>
          <w:lang w:val="en-US" w:eastAsia="zh-CN"/>
        </w:rPr>
        <w:t>内</w:t>
      </w:r>
    </w:p>
    <w:p w14:paraId="0379A63B">
      <w:pPr>
        <w:adjustRightInd w:val="0"/>
        <w:snapToGrid w:val="0"/>
        <w:spacing w:line="360" w:lineRule="auto"/>
        <w:ind w:firstLine="482" w:firstLineChars="200"/>
        <w:rPr>
          <w:rFonts w:eastAsia="仿宋"/>
          <w:b/>
          <w:sz w:val="24"/>
          <w:highlight w:val="none"/>
        </w:rPr>
      </w:pPr>
      <w:r>
        <w:rPr>
          <w:rFonts w:eastAsia="仿宋"/>
          <w:b/>
          <w:sz w:val="24"/>
          <w:highlight w:val="none"/>
        </w:rPr>
        <w:t>2、交货地点：</w:t>
      </w:r>
      <w:r>
        <w:rPr>
          <w:rFonts w:hint="eastAsia" w:eastAsia="仿宋"/>
          <w:b/>
          <w:sz w:val="24"/>
          <w:highlight w:val="none"/>
        </w:rPr>
        <w:t>汉中市中医医院指定地点</w:t>
      </w:r>
      <w:bookmarkStart w:id="15" w:name="_GoBack"/>
      <w:bookmarkEnd w:id="15"/>
    </w:p>
    <w:p w14:paraId="7847845C">
      <w:pPr>
        <w:adjustRightInd w:val="0"/>
        <w:snapToGrid w:val="0"/>
        <w:spacing w:line="360" w:lineRule="auto"/>
        <w:ind w:firstLine="480" w:firstLineChars="200"/>
        <w:rPr>
          <w:rFonts w:eastAsia="仿宋"/>
          <w:sz w:val="24"/>
          <w:highlight w:val="none"/>
        </w:rPr>
      </w:pPr>
      <w:r>
        <w:rPr>
          <w:rFonts w:eastAsia="仿宋"/>
          <w:sz w:val="24"/>
          <w:highlight w:val="none"/>
        </w:rPr>
        <w:t>3、方式：符合招标文件及投标文件要求</w:t>
      </w:r>
    </w:p>
    <w:p w14:paraId="6492A0A9">
      <w:pPr>
        <w:adjustRightInd w:val="0"/>
        <w:snapToGrid w:val="0"/>
        <w:spacing w:line="360" w:lineRule="auto"/>
        <w:ind w:firstLine="480" w:firstLineChars="200"/>
        <w:rPr>
          <w:rFonts w:eastAsia="仿宋"/>
          <w:sz w:val="24"/>
          <w:highlight w:val="none"/>
        </w:rPr>
      </w:pPr>
      <w:bookmarkStart w:id="7" w:name="_Toc19515388"/>
      <w:r>
        <w:rPr>
          <w:rFonts w:eastAsia="仿宋"/>
          <w:sz w:val="24"/>
          <w:highlight w:val="none"/>
        </w:rPr>
        <w:t>五、运输</w:t>
      </w:r>
      <w:bookmarkEnd w:id="7"/>
    </w:p>
    <w:p w14:paraId="474092F1">
      <w:pPr>
        <w:adjustRightInd w:val="0"/>
        <w:snapToGrid w:val="0"/>
        <w:spacing w:line="360" w:lineRule="auto"/>
        <w:ind w:firstLine="480" w:firstLineChars="200"/>
        <w:rPr>
          <w:rFonts w:eastAsia="仿宋"/>
          <w:sz w:val="24"/>
        </w:rPr>
      </w:pPr>
      <w:r>
        <w:rPr>
          <w:rFonts w:eastAsia="仿宋"/>
          <w:sz w:val="24"/>
          <w:highlight w:val="none"/>
        </w:rPr>
        <w:t>1、乙方负责所有货物的运输。确保</w:t>
      </w:r>
      <w:r>
        <w:rPr>
          <w:rFonts w:eastAsia="仿宋"/>
          <w:sz w:val="24"/>
        </w:rPr>
        <w:t>货物安全、完整到达使用地点，运杂费用包含在总价内，包括货物从供货地点到使用地点的运输费、保险费、搬运费等。</w:t>
      </w:r>
    </w:p>
    <w:p w14:paraId="79236DD6">
      <w:pPr>
        <w:adjustRightInd w:val="0"/>
        <w:snapToGrid w:val="0"/>
        <w:spacing w:line="360" w:lineRule="auto"/>
        <w:ind w:firstLine="480" w:firstLineChars="200"/>
        <w:rPr>
          <w:rFonts w:eastAsia="仿宋"/>
          <w:sz w:val="24"/>
        </w:rPr>
      </w:pPr>
      <w:r>
        <w:rPr>
          <w:rFonts w:eastAsia="仿宋"/>
          <w:sz w:val="24"/>
        </w:rPr>
        <w:t>2、所有货物在运输、搬运、安装的过程中，造成甲方损失的，由乙方为甲方修复或更新。</w:t>
      </w:r>
    </w:p>
    <w:p w14:paraId="5518E6B8">
      <w:pPr>
        <w:adjustRightInd w:val="0"/>
        <w:snapToGrid w:val="0"/>
        <w:spacing w:line="360" w:lineRule="auto"/>
        <w:ind w:firstLine="480" w:firstLineChars="200"/>
        <w:rPr>
          <w:rFonts w:eastAsia="仿宋"/>
          <w:sz w:val="24"/>
        </w:rPr>
      </w:pPr>
      <w:bookmarkStart w:id="8" w:name="_Toc19515389"/>
      <w:r>
        <w:rPr>
          <w:rFonts w:eastAsia="仿宋"/>
          <w:sz w:val="24"/>
        </w:rPr>
        <w:t>六、质量保证</w:t>
      </w:r>
      <w:bookmarkEnd w:id="8"/>
    </w:p>
    <w:p w14:paraId="69A54B4B">
      <w:pPr>
        <w:adjustRightInd w:val="0"/>
        <w:snapToGrid w:val="0"/>
        <w:spacing w:line="360" w:lineRule="auto"/>
        <w:ind w:firstLine="480" w:firstLineChars="200"/>
        <w:rPr>
          <w:rFonts w:eastAsia="仿宋"/>
          <w:sz w:val="24"/>
        </w:rPr>
      </w:pPr>
      <w:r>
        <w:rPr>
          <w:rFonts w:eastAsia="仿宋"/>
          <w:sz w:val="24"/>
        </w:rPr>
        <w:t>1、乙方提供货物必须是原品牌制造厂制造的最新工艺、生产的最新产品。</w:t>
      </w:r>
    </w:p>
    <w:p w14:paraId="79019FC4">
      <w:pPr>
        <w:adjustRightInd w:val="0"/>
        <w:snapToGrid w:val="0"/>
        <w:spacing w:line="360" w:lineRule="auto"/>
        <w:ind w:firstLine="480" w:firstLineChars="200"/>
        <w:rPr>
          <w:rFonts w:eastAsia="仿宋"/>
          <w:sz w:val="24"/>
        </w:rPr>
      </w:pPr>
      <w:r>
        <w:rPr>
          <w:rFonts w:eastAsia="仿宋"/>
          <w:sz w:val="24"/>
        </w:rPr>
        <w:t>2、所供货物必须是经过办理正常手续的全新产品。</w:t>
      </w:r>
    </w:p>
    <w:p w14:paraId="4EE949E0">
      <w:pPr>
        <w:adjustRightInd w:val="0"/>
        <w:snapToGrid w:val="0"/>
        <w:spacing w:line="360" w:lineRule="auto"/>
        <w:ind w:firstLine="480" w:firstLineChars="200"/>
        <w:rPr>
          <w:rFonts w:eastAsia="仿宋"/>
          <w:sz w:val="24"/>
          <w:highlight w:val="none"/>
        </w:rPr>
      </w:pPr>
      <w:r>
        <w:rPr>
          <w:rFonts w:eastAsia="仿宋"/>
          <w:sz w:val="24"/>
        </w:rPr>
        <w:t>3、所供货</w:t>
      </w:r>
      <w:r>
        <w:rPr>
          <w:rFonts w:eastAsia="仿宋"/>
          <w:sz w:val="24"/>
          <w:highlight w:val="none"/>
        </w:rPr>
        <w:t>物是经过国家法定检验、注册、准许市场销售的合法产品。</w:t>
      </w:r>
    </w:p>
    <w:p w14:paraId="32DD2F3C">
      <w:pPr>
        <w:adjustRightInd w:val="0"/>
        <w:snapToGrid w:val="0"/>
        <w:spacing w:line="360" w:lineRule="auto"/>
        <w:ind w:firstLine="480" w:firstLineChars="200"/>
        <w:rPr>
          <w:rFonts w:eastAsia="仿宋"/>
          <w:sz w:val="24"/>
          <w:highlight w:val="none"/>
        </w:rPr>
      </w:pPr>
      <w:r>
        <w:rPr>
          <w:rFonts w:eastAsia="仿宋"/>
          <w:sz w:val="24"/>
          <w:highlight w:val="none"/>
        </w:rPr>
        <w:t>4、货物性能稳定、具有较好的使用效果，质量保证措施完善，符合国家相关标准。</w:t>
      </w:r>
    </w:p>
    <w:p w14:paraId="1D7DC603">
      <w:pPr>
        <w:adjustRightInd w:val="0"/>
        <w:snapToGrid w:val="0"/>
        <w:spacing w:line="360" w:lineRule="auto"/>
        <w:ind w:firstLine="480" w:firstLineChars="200"/>
        <w:rPr>
          <w:rFonts w:hint="default" w:eastAsia="仿宋"/>
          <w:sz w:val="24"/>
          <w:highlight w:val="none"/>
          <w:lang w:val="en-US"/>
        </w:rPr>
      </w:pPr>
      <w:r>
        <w:rPr>
          <w:rFonts w:eastAsia="仿宋"/>
          <w:sz w:val="24"/>
          <w:highlight w:val="none"/>
        </w:rPr>
        <w:t>5、货物的质保期为</w:t>
      </w:r>
      <w:r>
        <w:rPr>
          <w:rFonts w:hint="eastAsia" w:eastAsia="仿宋"/>
          <w:sz w:val="24"/>
          <w:highlight w:val="none"/>
          <w:lang w:eastAsia="zh-CN"/>
        </w:rPr>
        <w:t>：详见各合同包</w:t>
      </w:r>
      <w:r>
        <w:rPr>
          <w:rFonts w:hint="eastAsia" w:eastAsia="仿宋"/>
          <w:sz w:val="24"/>
          <w:highlight w:val="none"/>
          <w:lang w:val="en-US" w:eastAsia="zh-CN"/>
        </w:rPr>
        <w:t>技术参数与性能指标中对货物的质保期要求。其中：合同包1：牙科种植机；整机设备保修1年；数字化口腔扫描仪整机保修时间≥2年；口腔颌面锥形束计算机体层摄影设备（牙科CT）整机质保≥3年；耳鼻喉综合治疗台设备整机保修期1年；输尿管镜钬激光碎石系统整机保修期≥5年；内镜清洗系统整机质保3年；宫腔内窥镜系统整机保修时间≥2年；合同包2：浓缩血小板血浆制备离心机整机质保2年；妇科臭氧治疗仪整机质保3年；微波治疗仪整机质保2年；智能蜡饼制作恒温系统整机质保2年。</w:t>
      </w:r>
    </w:p>
    <w:p w14:paraId="1BF645EC">
      <w:pPr>
        <w:adjustRightInd w:val="0"/>
        <w:snapToGrid w:val="0"/>
        <w:spacing w:line="360" w:lineRule="auto"/>
        <w:ind w:firstLine="480" w:firstLineChars="200"/>
        <w:rPr>
          <w:rFonts w:eastAsia="仿宋"/>
          <w:sz w:val="24"/>
          <w:highlight w:val="none"/>
        </w:rPr>
      </w:pPr>
      <w:r>
        <w:rPr>
          <w:rFonts w:hint="eastAsia" w:eastAsia="仿宋"/>
          <w:sz w:val="24"/>
          <w:highlight w:val="none"/>
          <w:lang w:val="en-US" w:eastAsia="zh-CN"/>
        </w:rPr>
        <w:t>产品</w:t>
      </w:r>
      <w:r>
        <w:rPr>
          <w:rFonts w:eastAsia="仿宋"/>
          <w:sz w:val="24"/>
          <w:highlight w:val="none"/>
        </w:rPr>
        <w:t>终身维护保养，质保期后，只收取成本费用。</w:t>
      </w:r>
    </w:p>
    <w:p w14:paraId="1E4C0FF8">
      <w:pPr>
        <w:adjustRightInd w:val="0"/>
        <w:snapToGrid w:val="0"/>
        <w:spacing w:line="360" w:lineRule="auto"/>
        <w:ind w:firstLine="480" w:firstLineChars="200"/>
        <w:rPr>
          <w:rFonts w:eastAsia="仿宋"/>
          <w:sz w:val="24"/>
          <w:highlight w:val="none"/>
        </w:rPr>
      </w:pPr>
      <w:r>
        <w:rPr>
          <w:rFonts w:eastAsia="仿宋"/>
          <w:sz w:val="24"/>
          <w:highlight w:val="none"/>
        </w:rPr>
        <w:t>6、包装要求</w:t>
      </w:r>
    </w:p>
    <w:p w14:paraId="67CE7FDC">
      <w:pPr>
        <w:adjustRightInd w:val="0"/>
        <w:snapToGrid w:val="0"/>
        <w:spacing w:line="360" w:lineRule="auto"/>
        <w:ind w:firstLine="480" w:firstLineChars="200"/>
        <w:rPr>
          <w:rFonts w:eastAsia="仿宋"/>
          <w:sz w:val="24"/>
        </w:rPr>
      </w:pPr>
      <w:r>
        <w:rPr>
          <w:rFonts w:eastAsia="仿宋"/>
          <w:sz w:val="24"/>
          <w:highlight w:val="none"/>
        </w:rPr>
        <w:t>6-1、除合同另有规定外，乙方提供的全</w:t>
      </w:r>
      <w:r>
        <w:rPr>
          <w:rFonts w:eastAsia="仿宋"/>
          <w:sz w:val="24"/>
        </w:rPr>
        <w:t>部货物，均应按标准保护措施进行包装，并确保货物安全无损运抵甲方指定地点。</w:t>
      </w:r>
    </w:p>
    <w:p w14:paraId="63A300F9">
      <w:pPr>
        <w:adjustRightInd w:val="0"/>
        <w:snapToGrid w:val="0"/>
        <w:spacing w:line="360" w:lineRule="auto"/>
        <w:ind w:firstLine="480" w:firstLineChars="200"/>
        <w:rPr>
          <w:rFonts w:eastAsia="仿宋"/>
          <w:sz w:val="24"/>
        </w:rPr>
      </w:pPr>
      <w:r>
        <w:rPr>
          <w:rFonts w:eastAsia="仿宋"/>
          <w:sz w:val="24"/>
        </w:rPr>
        <w:t>6-2、每一个包装箱内应附一份详细装箱单和质量合格证。</w:t>
      </w:r>
    </w:p>
    <w:p w14:paraId="1DBAD355">
      <w:pPr>
        <w:adjustRightInd w:val="0"/>
        <w:snapToGrid w:val="0"/>
        <w:spacing w:line="360" w:lineRule="auto"/>
        <w:ind w:firstLine="480" w:firstLineChars="200"/>
        <w:rPr>
          <w:rFonts w:eastAsia="仿宋"/>
          <w:sz w:val="24"/>
        </w:rPr>
      </w:pPr>
      <w:r>
        <w:rPr>
          <w:rFonts w:eastAsia="仿宋"/>
          <w:sz w:val="24"/>
        </w:rPr>
        <w:t>7、乙方应保证甲方在使用该货物或其任何一部分时免受第三方提出侵犯其专利权、商标权或工业设计权的起诉。</w:t>
      </w:r>
    </w:p>
    <w:p w14:paraId="0414ABBD">
      <w:pPr>
        <w:adjustRightInd w:val="0"/>
        <w:snapToGrid w:val="0"/>
        <w:spacing w:line="360" w:lineRule="auto"/>
        <w:ind w:firstLine="480" w:firstLineChars="200"/>
        <w:rPr>
          <w:rFonts w:eastAsia="仿宋"/>
          <w:sz w:val="24"/>
        </w:rPr>
      </w:pPr>
      <w:bookmarkStart w:id="9" w:name="_Toc19515390"/>
      <w:r>
        <w:rPr>
          <w:rFonts w:eastAsia="仿宋"/>
          <w:sz w:val="24"/>
        </w:rPr>
        <w:t>七、技术服务</w:t>
      </w:r>
      <w:bookmarkEnd w:id="9"/>
    </w:p>
    <w:p w14:paraId="71CBBE07">
      <w:pPr>
        <w:adjustRightInd w:val="0"/>
        <w:snapToGrid w:val="0"/>
        <w:spacing w:line="360" w:lineRule="auto"/>
        <w:ind w:firstLine="480" w:firstLineChars="200"/>
        <w:rPr>
          <w:rFonts w:eastAsia="仿宋"/>
          <w:sz w:val="24"/>
        </w:rPr>
      </w:pPr>
      <w:r>
        <w:rPr>
          <w:rFonts w:eastAsia="仿宋"/>
          <w:sz w:val="24"/>
        </w:rPr>
        <w:t>1、对技术服务的要求：</w:t>
      </w:r>
    </w:p>
    <w:p w14:paraId="1AA84358">
      <w:pPr>
        <w:adjustRightInd w:val="0"/>
        <w:snapToGrid w:val="0"/>
        <w:spacing w:line="360" w:lineRule="auto"/>
        <w:ind w:firstLine="480" w:firstLineChars="200"/>
        <w:rPr>
          <w:rFonts w:eastAsia="仿宋"/>
          <w:sz w:val="24"/>
        </w:rPr>
      </w:pPr>
      <w:r>
        <w:rPr>
          <w:rFonts w:eastAsia="仿宋"/>
          <w:sz w:val="24"/>
        </w:rPr>
        <w:t>2、技术资料：</w:t>
      </w:r>
    </w:p>
    <w:p w14:paraId="241606C4">
      <w:pPr>
        <w:adjustRightInd w:val="0"/>
        <w:snapToGrid w:val="0"/>
        <w:spacing w:line="360" w:lineRule="auto"/>
        <w:ind w:firstLine="480" w:firstLineChars="200"/>
        <w:rPr>
          <w:rFonts w:eastAsia="仿宋"/>
          <w:sz w:val="24"/>
        </w:rPr>
      </w:pPr>
      <w:r>
        <w:rPr>
          <w:rFonts w:eastAsia="仿宋"/>
          <w:sz w:val="24"/>
        </w:rPr>
        <w:t>2-1、产品合格证及检验报告；</w:t>
      </w:r>
    </w:p>
    <w:p w14:paraId="6FB52DEE">
      <w:pPr>
        <w:adjustRightInd w:val="0"/>
        <w:snapToGrid w:val="0"/>
        <w:spacing w:line="360" w:lineRule="auto"/>
        <w:ind w:firstLine="480" w:firstLineChars="200"/>
        <w:rPr>
          <w:rFonts w:eastAsia="仿宋"/>
          <w:sz w:val="24"/>
        </w:rPr>
      </w:pPr>
      <w:r>
        <w:rPr>
          <w:rFonts w:eastAsia="仿宋"/>
          <w:sz w:val="24"/>
        </w:rPr>
        <w:t>2-2、产品使用说明书（中文）；</w:t>
      </w:r>
    </w:p>
    <w:p w14:paraId="5128D24B">
      <w:pPr>
        <w:adjustRightInd w:val="0"/>
        <w:snapToGrid w:val="0"/>
        <w:spacing w:line="360" w:lineRule="auto"/>
        <w:ind w:firstLine="480" w:firstLineChars="200"/>
        <w:rPr>
          <w:rFonts w:eastAsia="仿宋"/>
          <w:sz w:val="24"/>
        </w:rPr>
      </w:pPr>
      <w:r>
        <w:rPr>
          <w:rFonts w:eastAsia="仿宋"/>
          <w:sz w:val="24"/>
        </w:rPr>
        <w:t>2-3、中国商品检验局出具的商检合格证明；</w:t>
      </w:r>
    </w:p>
    <w:p w14:paraId="1CD10D7E">
      <w:pPr>
        <w:adjustRightInd w:val="0"/>
        <w:snapToGrid w:val="0"/>
        <w:spacing w:line="360" w:lineRule="auto"/>
        <w:ind w:firstLine="480" w:firstLineChars="200"/>
        <w:rPr>
          <w:rFonts w:eastAsia="仿宋"/>
          <w:sz w:val="24"/>
        </w:rPr>
      </w:pPr>
      <w:r>
        <w:rPr>
          <w:rFonts w:eastAsia="仿宋"/>
          <w:sz w:val="24"/>
        </w:rPr>
        <w:t>2-4、其它资料。</w:t>
      </w:r>
    </w:p>
    <w:p w14:paraId="220B1786">
      <w:pPr>
        <w:adjustRightInd w:val="0"/>
        <w:snapToGrid w:val="0"/>
        <w:spacing w:line="360" w:lineRule="auto"/>
        <w:ind w:firstLine="480" w:firstLineChars="200"/>
        <w:rPr>
          <w:rFonts w:eastAsia="仿宋"/>
          <w:sz w:val="24"/>
        </w:rPr>
      </w:pPr>
      <w:r>
        <w:rPr>
          <w:rFonts w:eastAsia="仿宋"/>
          <w:sz w:val="24"/>
        </w:rPr>
        <w:t>3、技术培训：</w:t>
      </w:r>
    </w:p>
    <w:p w14:paraId="2AB322DB">
      <w:pPr>
        <w:adjustRightInd w:val="0"/>
        <w:snapToGrid w:val="0"/>
        <w:spacing w:line="360" w:lineRule="auto"/>
        <w:ind w:firstLine="480" w:firstLineChars="200"/>
        <w:rPr>
          <w:rFonts w:eastAsia="仿宋"/>
          <w:sz w:val="24"/>
        </w:rPr>
      </w:pPr>
      <w:r>
        <w:rPr>
          <w:rFonts w:eastAsia="仿宋"/>
          <w:sz w:val="24"/>
        </w:rPr>
        <w:t>3-1、培训内容：</w:t>
      </w:r>
    </w:p>
    <w:p w14:paraId="3E45E1C4">
      <w:pPr>
        <w:adjustRightInd w:val="0"/>
        <w:snapToGrid w:val="0"/>
        <w:spacing w:line="360" w:lineRule="auto"/>
        <w:ind w:firstLine="480" w:firstLineChars="200"/>
        <w:rPr>
          <w:rFonts w:eastAsia="仿宋"/>
          <w:sz w:val="24"/>
        </w:rPr>
      </w:pPr>
      <w:r>
        <w:rPr>
          <w:rFonts w:eastAsia="仿宋"/>
          <w:sz w:val="24"/>
        </w:rPr>
        <w:t>3-2、培训地点：</w:t>
      </w:r>
    </w:p>
    <w:p w14:paraId="6F1A729A">
      <w:pPr>
        <w:adjustRightInd w:val="0"/>
        <w:snapToGrid w:val="0"/>
        <w:spacing w:line="360" w:lineRule="auto"/>
        <w:ind w:firstLine="480" w:firstLineChars="200"/>
        <w:rPr>
          <w:rFonts w:eastAsia="仿宋"/>
          <w:sz w:val="24"/>
        </w:rPr>
      </w:pPr>
      <w:r>
        <w:rPr>
          <w:rFonts w:eastAsia="仿宋"/>
          <w:sz w:val="24"/>
        </w:rPr>
        <w:t>3-3、培训时间：</w:t>
      </w:r>
    </w:p>
    <w:p w14:paraId="6A5F2515">
      <w:pPr>
        <w:adjustRightInd w:val="0"/>
        <w:snapToGrid w:val="0"/>
        <w:spacing w:line="360" w:lineRule="auto"/>
        <w:ind w:firstLine="480" w:firstLineChars="200"/>
        <w:rPr>
          <w:rFonts w:eastAsia="仿宋"/>
          <w:sz w:val="24"/>
        </w:rPr>
      </w:pPr>
      <w:r>
        <w:rPr>
          <w:rFonts w:eastAsia="仿宋"/>
          <w:sz w:val="24"/>
        </w:rPr>
        <w:t>3-4、培训人数：</w:t>
      </w:r>
    </w:p>
    <w:p w14:paraId="0F961428">
      <w:pPr>
        <w:adjustRightInd w:val="0"/>
        <w:snapToGrid w:val="0"/>
        <w:spacing w:line="360" w:lineRule="auto"/>
        <w:ind w:firstLine="480" w:firstLineChars="200"/>
        <w:rPr>
          <w:rFonts w:eastAsia="仿宋"/>
          <w:sz w:val="24"/>
        </w:rPr>
      </w:pPr>
      <w:r>
        <w:rPr>
          <w:rFonts w:eastAsia="仿宋"/>
          <w:sz w:val="24"/>
        </w:rPr>
        <w:t>3-5、培训费用：受训人员的食宿费、资料费、培训场地费、耗材（包括水电费等）费等已包含在合同总价中，甲方不再另行支付。</w:t>
      </w:r>
    </w:p>
    <w:p w14:paraId="1F9E9EA4">
      <w:pPr>
        <w:adjustRightInd w:val="0"/>
        <w:snapToGrid w:val="0"/>
        <w:spacing w:line="360" w:lineRule="auto"/>
        <w:ind w:firstLine="480" w:firstLineChars="200"/>
        <w:rPr>
          <w:rFonts w:eastAsia="仿宋"/>
          <w:sz w:val="24"/>
        </w:rPr>
      </w:pPr>
      <w:r>
        <w:rPr>
          <w:rFonts w:eastAsia="仿宋"/>
          <w:sz w:val="24"/>
        </w:rPr>
        <w:t>4、售后服务</w:t>
      </w:r>
    </w:p>
    <w:p w14:paraId="76D3DF56">
      <w:pPr>
        <w:adjustRightInd w:val="0"/>
        <w:snapToGrid w:val="0"/>
        <w:spacing w:line="360" w:lineRule="auto"/>
        <w:ind w:firstLine="480" w:firstLineChars="200"/>
        <w:rPr>
          <w:rFonts w:eastAsia="仿宋"/>
          <w:sz w:val="24"/>
        </w:rPr>
      </w:pPr>
      <w:r>
        <w:rPr>
          <w:rFonts w:eastAsia="仿宋"/>
          <w:sz w:val="24"/>
        </w:rPr>
        <w:t>4-1、如遇仪器故障在电话能解决的情况下</w:t>
      </w:r>
      <w:r>
        <w:rPr>
          <w:rFonts w:hint="eastAsia" w:eastAsia="仿宋"/>
          <w:sz w:val="24"/>
          <w:lang w:val="en-US" w:eastAsia="zh-CN"/>
        </w:rPr>
        <w:t>12</w:t>
      </w:r>
      <w:r>
        <w:rPr>
          <w:rFonts w:eastAsia="仿宋"/>
          <w:sz w:val="24"/>
        </w:rPr>
        <w:t>小时内必须排除故障，如不能解决，乙方在接到甲方保修电话故障通知后在</w:t>
      </w:r>
      <w:r>
        <w:rPr>
          <w:rFonts w:hint="eastAsia" w:eastAsia="仿宋"/>
          <w:sz w:val="24"/>
          <w:lang w:val="en-US" w:eastAsia="zh-CN"/>
        </w:rPr>
        <w:t>48小时</w:t>
      </w:r>
      <w:r>
        <w:rPr>
          <w:rFonts w:eastAsia="仿宋"/>
          <w:sz w:val="24"/>
        </w:rPr>
        <w:t>内派出合格的维修人员到达现场进行维修服务，承担相应费用，若需将产品送回生产厂，乙方应提供备用机、承担维修产品所需的往返费用。</w:t>
      </w:r>
    </w:p>
    <w:p w14:paraId="6CD0AA42">
      <w:pPr>
        <w:adjustRightInd w:val="0"/>
        <w:snapToGrid w:val="0"/>
        <w:spacing w:line="360" w:lineRule="auto"/>
        <w:ind w:firstLine="480" w:firstLineChars="200"/>
        <w:rPr>
          <w:rFonts w:eastAsia="仿宋"/>
          <w:sz w:val="24"/>
        </w:rPr>
      </w:pPr>
      <w:r>
        <w:rPr>
          <w:rFonts w:eastAsia="仿宋"/>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782C7B06">
      <w:pPr>
        <w:adjustRightInd w:val="0"/>
        <w:snapToGrid w:val="0"/>
        <w:spacing w:line="360" w:lineRule="auto"/>
        <w:ind w:firstLine="480" w:firstLineChars="200"/>
        <w:rPr>
          <w:rFonts w:eastAsia="仿宋"/>
          <w:sz w:val="24"/>
        </w:rPr>
      </w:pPr>
      <w:r>
        <w:rPr>
          <w:rFonts w:eastAsia="仿宋"/>
          <w:sz w:val="24"/>
        </w:rPr>
        <w:t>5、伴随服务</w:t>
      </w:r>
    </w:p>
    <w:p w14:paraId="1DCB4BB2">
      <w:pPr>
        <w:adjustRightInd w:val="0"/>
        <w:snapToGrid w:val="0"/>
        <w:spacing w:line="360" w:lineRule="auto"/>
        <w:ind w:firstLine="480" w:firstLineChars="200"/>
        <w:rPr>
          <w:rFonts w:eastAsia="仿宋"/>
          <w:sz w:val="24"/>
        </w:rPr>
      </w:pPr>
      <w:r>
        <w:rPr>
          <w:rFonts w:eastAsia="仿宋"/>
          <w:sz w:val="24"/>
        </w:rPr>
        <w:t>5-1、乙方应随同每套货物提供相应的中文的技术文件。</w:t>
      </w:r>
    </w:p>
    <w:p w14:paraId="545E26C8">
      <w:pPr>
        <w:adjustRightInd w:val="0"/>
        <w:snapToGrid w:val="0"/>
        <w:spacing w:line="360" w:lineRule="auto"/>
        <w:ind w:firstLine="480" w:firstLineChars="200"/>
        <w:rPr>
          <w:rFonts w:eastAsia="仿宋"/>
          <w:sz w:val="24"/>
        </w:rPr>
      </w:pPr>
      <w:r>
        <w:rPr>
          <w:rFonts w:eastAsia="仿宋"/>
          <w:sz w:val="24"/>
        </w:rPr>
        <w:t>5-1-1、完整的操作使用手册和维护、修理技术文件，图纸、保修卡等。</w:t>
      </w:r>
    </w:p>
    <w:p w14:paraId="42556C15">
      <w:pPr>
        <w:adjustRightInd w:val="0"/>
        <w:snapToGrid w:val="0"/>
        <w:spacing w:line="360" w:lineRule="auto"/>
        <w:ind w:firstLine="480" w:firstLineChars="200"/>
        <w:rPr>
          <w:rFonts w:eastAsia="仿宋"/>
          <w:sz w:val="24"/>
        </w:rPr>
      </w:pPr>
      <w:r>
        <w:rPr>
          <w:rFonts w:eastAsia="仿宋"/>
          <w:sz w:val="24"/>
        </w:rPr>
        <w:t>5-1-2、制造厂的检验、测试报告、检验合格证书，计量合格等级证书，质量保证书等文件须随产品装箱提供。</w:t>
      </w:r>
    </w:p>
    <w:p w14:paraId="3F44660C">
      <w:pPr>
        <w:adjustRightInd w:val="0"/>
        <w:snapToGrid w:val="0"/>
        <w:spacing w:line="360" w:lineRule="auto"/>
        <w:ind w:firstLine="480" w:firstLineChars="200"/>
        <w:rPr>
          <w:rFonts w:eastAsia="仿宋"/>
          <w:sz w:val="24"/>
        </w:rPr>
      </w:pPr>
      <w:r>
        <w:rPr>
          <w:rFonts w:eastAsia="仿宋"/>
          <w:sz w:val="24"/>
        </w:rPr>
        <w:t>5-1-3、必须的其它技术资料。</w:t>
      </w:r>
    </w:p>
    <w:p w14:paraId="1C3916C7">
      <w:pPr>
        <w:adjustRightInd w:val="0"/>
        <w:snapToGrid w:val="0"/>
        <w:spacing w:line="360" w:lineRule="auto"/>
        <w:ind w:firstLine="480" w:firstLineChars="200"/>
        <w:rPr>
          <w:rFonts w:eastAsia="仿宋"/>
          <w:sz w:val="24"/>
        </w:rPr>
      </w:pPr>
      <w:r>
        <w:rPr>
          <w:rFonts w:eastAsia="仿宋"/>
          <w:sz w:val="24"/>
        </w:rPr>
        <w:t>5-2、伴随服务的费用已含在合同价中，不单独进行支付。</w:t>
      </w:r>
    </w:p>
    <w:p w14:paraId="0E20CFA9">
      <w:pPr>
        <w:adjustRightInd w:val="0"/>
        <w:snapToGrid w:val="0"/>
        <w:spacing w:line="360" w:lineRule="auto"/>
        <w:ind w:firstLine="480" w:firstLineChars="200"/>
        <w:rPr>
          <w:rFonts w:eastAsia="仿宋"/>
          <w:sz w:val="24"/>
        </w:rPr>
      </w:pPr>
      <w:bookmarkStart w:id="10" w:name="_Toc19515391"/>
      <w:r>
        <w:rPr>
          <w:rFonts w:eastAsia="仿宋"/>
          <w:sz w:val="24"/>
        </w:rPr>
        <w:t>八、验收</w:t>
      </w:r>
      <w:bookmarkEnd w:id="10"/>
    </w:p>
    <w:p w14:paraId="58E91FD3">
      <w:pPr>
        <w:adjustRightInd w:val="0"/>
        <w:snapToGrid w:val="0"/>
        <w:spacing w:line="360" w:lineRule="auto"/>
        <w:ind w:firstLine="480" w:firstLineChars="200"/>
        <w:rPr>
          <w:rFonts w:eastAsia="仿宋"/>
          <w:sz w:val="24"/>
        </w:rPr>
      </w:pPr>
      <w:r>
        <w:rPr>
          <w:rFonts w:eastAsia="仿宋"/>
          <w:sz w:val="24"/>
        </w:rPr>
        <w:t>1、到货验收：货物到货后，由甲方与乙方共同进行外观验收，验收内容包括，外包装的完好性，货物品牌、规格、数量及产地与合同要求的一致性。</w:t>
      </w:r>
    </w:p>
    <w:p w14:paraId="3B2723BD">
      <w:pPr>
        <w:adjustRightInd w:val="0"/>
        <w:snapToGrid w:val="0"/>
        <w:spacing w:line="360" w:lineRule="auto"/>
        <w:ind w:firstLine="480" w:firstLineChars="200"/>
        <w:rPr>
          <w:rFonts w:eastAsia="仿宋"/>
          <w:sz w:val="24"/>
        </w:rPr>
      </w:pPr>
      <w:r>
        <w:rPr>
          <w:rFonts w:eastAsia="仿宋"/>
          <w:sz w:val="24"/>
        </w:rPr>
        <w:t>2、货物运行验收：乙方安装调试合格后，向甲方提出验收申请，甲方接到乙方验收申请后组织验收（必要时可聘请相应专家或委托相应部门验收），验收合格后，出具使用验收合格证明。</w:t>
      </w:r>
    </w:p>
    <w:p w14:paraId="25033E0E">
      <w:pPr>
        <w:adjustRightInd w:val="0"/>
        <w:snapToGrid w:val="0"/>
        <w:spacing w:line="360" w:lineRule="auto"/>
        <w:ind w:firstLine="480" w:firstLineChars="200"/>
        <w:rPr>
          <w:rFonts w:eastAsia="仿宋"/>
          <w:sz w:val="24"/>
        </w:rPr>
      </w:pPr>
      <w:r>
        <w:rPr>
          <w:rFonts w:eastAsia="仿宋"/>
          <w:sz w:val="24"/>
        </w:rPr>
        <w:t>3、最终验收：最终验收结果作为付款依据，乙方填写验收单，并向甲方提交实施过程中的所有资料，以便甲方日后管理和维护。</w:t>
      </w:r>
    </w:p>
    <w:p w14:paraId="77F7F67A">
      <w:pPr>
        <w:adjustRightInd w:val="0"/>
        <w:snapToGrid w:val="0"/>
        <w:spacing w:line="360" w:lineRule="auto"/>
        <w:ind w:firstLine="480" w:firstLineChars="200"/>
        <w:rPr>
          <w:rFonts w:eastAsia="仿宋"/>
          <w:sz w:val="24"/>
        </w:rPr>
      </w:pPr>
      <w:r>
        <w:rPr>
          <w:rFonts w:eastAsia="仿宋"/>
          <w:sz w:val="24"/>
        </w:rPr>
        <w:t>4、质保期满后：由乙方出具质保期运行质量报告，作为质保金支付依据，若存在质量问题，应按相应规定协商处理。</w:t>
      </w:r>
    </w:p>
    <w:p w14:paraId="5B486E2F">
      <w:pPr>
        <w:adjustRightInd w:val="0"/>
        <w:snapToGrid w:val="0"/>
        <w:spacing w:line="360" w:lineRule="auto"/>
        <w:ind w:firstLine="480" w:firstLineChars="200"/>
        <w:rPr>
          <w:rFonts w:eastAsia="仿宋"/>
          <w:sz w:val="24"/>
        </w:rPr>
      </w:pPr>
      <w:r>
        <w:rPr>
          <w:rFonts w:eastAsia="仿宋"/>
          <w:sz w:val="24"/>
        </w:rPr>
        <w:t>5、验收依据：</w:t>
      </w:r>
    </w:p>
    <w:p w14:paraId="39E69E4B">
      <w:pPr>
        <w:adjustRightInd w:val="0"/>
        <w:snapToGrid w:val="0"/>
        <w:spacing w:line="360" w:lineRule="auto"/>
        <w:ind w:firstLine="480" w:firstLineChars="200"/>
        <w:rPr>
          <w:rFonts w:eastAsia="仿宋"/>
          <w:sz w:val="24"/>
        </w:rPr>
      </w:pPr>
      <w:r>
        <w:rPr>
          <w:rFonts w:eastAsia="仿宋"/>
          <w:sz w:val="24"/>
        </w:rPr>
        <w:t>5-1、合同文本、合同附件、招标文件、投标文件。</w:t>
      </w:r>
    </w:p>
    <w:p w14:paraId="695F2116">
      <w:pPr>
        <w:adjustRightInd w:val="0"/>
        <w:snapToGrid w:val="0"/>
        <w:spacing w:line="360" w:lineRule="auto"/>
        <w:ind w:firstLine="480" w:firstLineChars="200"/>
        <w:rPr>
          <w:rFonts w:eastAsia="仿宋"/>
          <w:sz w:val="24"/>
        </w:rPr>
      </w:pPr>
      <w:r>
        <w:rPr>
          <w:rFonts w:eastAsia="仿宋"/>
          <w:sz w:val="24"/>
        </w:rPr>
        <w:t>5-2、国内相应的标准、规范。</w:t>
      </w:r>
    </w:p>
    <w:p w14:paraId="251BC37B">
      <w:pPr>
        <w:adjustRightInd w:val="0"/>
        <w:snapToGrid w:val="0"/>
        <w:spacing w:line="360" w:lineRule="auto"/>
        <w:ind w:firstLine="480" w:firstLineChars="200"/>
        <w:rPr>
          <w:rFonts w:eastAsia="仿宋"/>
          <w:sz w:val="24"/>
        </w:rPr>
      </w:pPr>
      <w:bookmarkStart w:id="11" w:name="_Toc19515392"/>
      <w:r>
        <w:rPr>
          <w:rFonts w:eastAsia="仿宋"/>
          <w:sz w:val="24"/>
        </w:rPr>
        <w:t>九、违约责任</w:t>
      </w:r>
      <w:bookmarkEnd w:id="11"/>
    </w:p>
    <w:p w14:paraId="7DDE76B9">
      <w:pPr>
        <w:adjustRightInd w:val="0"/>
        <w:snapToGrid w:val="0"/>
        <w:spacing w:line="360" w:lineRule="auto"/>
        <w:ind w:firstLine="480" w:firstLineChars="200"/>
        <w:rPr>
          <w:rFonts w:eastAsia="仿宋"/>
          <w:sz w:val="24"/>
        </w:rPr>
      </w:pPr>
      <w:r>
        <w:rPr>
          <w:rFonts w:eastAsia="仿宋"/>
          <w:sz w:val="24"/>
        </w:rPr>
        <w:t>1、按《民法典》中的相关条款执行。</w:t>
      </w:r>
    </w:p>
    <w:p w14:paraId="21461E8A">
      <w:pPr>
        <w:adjustRightInd w:val="0"/>
        <w:snapToGrid w:val="0"/>
        <w:spacing w:line="360" w:lineRule="auto"/>
        <w:ind w:firstLine="480" w:firstLineChars="200"/>
        <w:rPr>
          <w:rFonts w:eastAsia="仿宋"/>
          <w:sz w:val="24"/>
        </w:rPr>
      </w:pPr>
      <w:r>
        <w:rPr>
          <w:rFonts w:eastAsia="仿宋"/>
          <w:sz w:val="24"/>
        </w:rPr>
        <w:t>2、乙方履约延误</w:t>
      </w:r>
    </w:p>
    <w:p w14:paraId="4F2A4669">
      <w:pPr>
        <w:adjustRightInd w:val="0"/>
        <w:snapToGrid w:val="0"/>
        <w:spacing w:line="360" w:lineRule="auto"/>
        <w:ind w:firstLine="480" w:firstLineChars="200"/>
        <w:rPr>
          <w:rFonts w:eastAsia="仿宋"/>
          <w:sz w:val="24"/>
        </w:rPr>
      </w:pPr>
      <w:r>
        <w:rPr>
          <w:rFonts w:eastAsia="仿宋"/>
          <w:sz w:val="24"/>
        </w:rPr>
        <w:t>2-1、如乙方事先未征得甲方同意并得到甲方的谅解而单方面延迟交货，将按违约终止合同。</w:t>
      </w:r>
    </w:p>
    <w:p w14:paraId="7B9475C1">
      <w:pPr>
        <w:adjustRightInd w:val="0"/>
        <w:snapToGrid w:val="0"/>
        <w:spacing w:line="360" w:lineRule="auto"/>
        <w:ind w:firstLine="480" w:firstLineChars="200"/>
        <w:rPr>
          <w:rFonts w:eastAsia="仿宋"/>
          <w:sz w:val="24"/>
        </w:rPr>
      </w:pPr>
      <w:r>
        <w:rPr>
          <w:rFonts w:eastAsia="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6F5A87D">
      <w:pPr>
        <w:adjustRightInd w:val="0"/>
        <w:snapToGrid w:val="0"/>
        <w:spacing w:line="360" w:lineRule="auto"/>
        <w:ind w:firstLine="480" w:firstLineChars="200"/>
        <w:rPr>
          <w:rFonts w:eastAsia="仿宋"/>
          <w:sz w:val="24"/>
        </w:rPr>
      </w:pPr>
      <w:r>
        <w:rPr>
          <w:rFonts w:eastAsia="仿宋"/>
          <w:sz w:val="24"/>
        </w:rPr>
        <w:t>3、违约终止合同：未按合同要求提供货物或质量不能满足技术要求，甲方会同监督机构有权终止合同，对乙方违约行为进行追究，同时按政府采购法的有关规定进行相应的处罚。</w:t>
      </w:r>
    </w:p>
    <w:p w14:paraId="4679A9BD">
      <w:pPr>
        <w:adjustRightInd w:val="0"/>
        <w:snapToGrid w:val="0"/>
        <w:spacing w:line="360" w:lineRule="auto"/>
        <w:ind w:firstLine="480" w:firstLineChars="200"/>
        <w:rPr>
          <w:rFonts w:eastAsia="仿宋"/>
          <w:sz w:val="24"/>
        </w:rPr>
      </w:pPr>
      <w:bookmarkStart w:id="12" w:name="_Toc19515393"/>
      <w:r>
        <w:rPr>
          <w:rFonts w:eastAsia="仿宋"/>
          <w:sz w:val="24"/>
        </w:rPr>
        <w:t>十、合同组成</w:t>
      </w:r>
      <w:bookmarkEnd w:id="12"/>
    </w:p>
    <w:p w14:paraId="4001624B">
      <w:pPr>
        <w:adjustRightInd w:val="0"/>
        <w:snapToGrid w:val="0"/>
        <w:spacing w:line="360" w:lineRule="auto"/>
        <w:ind w:firstLine="480" w:firstLineChars="200"/>
        <w:rPr>
          <w:rFonts w:eastAsia="仿宋"/>
          <w:sz w:val="24"/>
        </w:rPr>
      </w:pPr>
      <w:r>
        <w:rPr>
          <w:rFonts w:eastAsia="仿宋"/>
          <w:sz w:val="24"/>
        </w:rPr>
        <w:t>1、中标通知书</w:t>
      </w:r>
    </w:p>
    <w:p w14:paraId="6027F584">
      <w:pPr>
        <w:adjustRightInd w:val="0"/>
        <w:snapToGrid w:val="0"/>
        <w:spacing w:line="360" w:lineRule="auto"/>
        <w:ind w:firstLine="480" w:firstLineChars="200"/>
        <w:rPr>
          <w:rFonts w:eastAsia="仿宋"/>
          <w:sz w:val="24"/>
        </w:rPr>
      </w:pPr>
      <w:r>
        <w:rPr>
          <w:rFonts w:eastAsia="仿宋"/>
          <w:sz w:val="24"/>
        </w:rPr>
        <w:t>2、合同文件</w:t>
      </w:r>
    </w:p>
    <w:p w14:paraId="31273C5E">
      <w:pPr>
        <w:adjustRightInd w:val="0"/>
        <w:snapToGrid w:val="0"/>
        <w:spacing w:line="360" w:lineRule="auto"/>
        <w:ind w:firstLine="480" w:firstLineChars="200"/>
        <w:rPr>
          <w:rFonts w:eastAsia="仿宋"/>
          <w:sz w:val="24"/>
        </w:rPr>
      </w:pPr>
      <w:r>
        <w:rPr>
          <w:rFonts w:eastAsia="仿宋"/>
          <w:sz w:val="24"/>
        </w:rPr>
        <w:t>3、国家相关规范及标准</w:t>
      </w:r>
    </w:p>
    <w:p w14:paraId="662EEF59">
      <w:pPr>
        <w:adjustRightInd w:val="0"/>
        <w:snapToGrid w:val="0"/>
        <w:spacing w:line="360" w:lineRule="auto"/>
        <w:ind w:firstLine="480" w:firstLineChars="200"/>
        <w:rPr>
          <w:rFonts w:eastAsia="仿宋"/>
          <w:sz w:val="24"/>
        </w:rPr>
      </w:pPr>
      <w:r>
        <w:rPr>
          <w:rFonts w:eastAsia="仿宋"/>
          <w:sz w:val="24"/>
        </w:rPr>
        <w:t>4、供货产品技术规格及参数表</w:t>
      </w:r>
    </w:p>
    <w:p w14:paraId="37BA6054">
      <w:pPr>
        <w:adjustRightInd w:val="0"/>
        <w:snapToGrid w:val="0"/>
        <w:spacing w:line="360" w:lineRule="auto"/>
        <w:ind w:firstLine="480" w:firstLineChars="200"/>
        <w:rPr>
          <w:rFonts w:eastAsia="仿宋"/>
          <w:sz w:val="24"/>
        </w:rPr>
      </w:pPr>
      <w:r>
        <w:rPr>
          <w:rFonts w:eastAsia="仿宋"/>
          <w:sz w:val="24"/>
        </w:rPr>
        <w:t>5、招标文件</w:t>
      </w:r>
    </w:p>
    <w:p w14:paraId="3529F529">
      <w:pPr>
        <w:adjustRightInd w:val="0"/>
        <w:snapToGrid w:val="0"/>
        <w:spacing w:line="360" w:lineRule="auto"/>
        <w:ind w:firstLine="480" w:firstLineChars="200"/>
        <w:rPr>
          <w:rFonts w:eastAsia="仿宋"/>
          <w:sz w:val="24"/>
        </w:rPr>
      </w:pPr>
      <w:r>
        <w:rPr>
          <w:rFonts w:eastAsia="仿宋"/>
          <w:sz w:val="24"/>
        </w:rPr>
        <w:t>6、投标文件</w:t>
      </w:r>
    </w:p>
    <w:p w14:paraId="6C229765">
      <w:pPr>
        <w:adjustRightInd w:val="0"/>
        <w:snapToGrid w:val="0"/>
        <w:spacing w:line="360" w:lineRule="auto"/>
        <w:ind w:firstLine="480" w:firstLineChars="200"/>
        <w:rPr>
          <w:rFonts w:eastAsia="仿宋"/>
          <w:sz w:val="24"/>
        </w:rPr>
      </w:pPr>
      <w:bookmarkStart w:id="13" w:name="_Toc19515394"/>
      <w:r>
        <w:rPr>
          <w:rFonts w:eastAsia="仿宋"/>
          <w:sz w:val="24"/>
        </w:rPr>
        <w:t>十一、解决争议的方法</w:t>
      </w:r>
      <w:bookmarkEnd w:id="13"/>
    </w:p>
    <w:p w14:paraId="01F850D8">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凡因本合同引起的或与本合同有关的争议，双方应友好协商解决。协商不成时，双方均同意采用以下第（  ）种争议解决方式：</w:t>
      </w:r>
    </w:p>
    <w:p w14:paraId="06D77FE7">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（1）、甲、乙双方均同意向（甲方所在地人民法院）提起诉讼。</w:t>
      </w:r>
    </w:p>
    <w:p w14:paraId="26239747">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（2）、甲、乙双方均同意向（</w:t>
      </w:r>
      <w:r>
        <w:rPr>
          <w:rFonts w:eastAsia="仿宋"/>
          <w:kern w:val="0"/>
          <w:sz w:val="24"/>
        </w:rPr>
        <w:fldChar w:fldCharType="begin"/>
      </w:r>
      <w:r>
        <w:rPr>
          <w:rFonts w:eastAsia="仿宋"/>
          <w:kern w:val="0"/>
          <w:sz w:val="24"/>
        </w:rPr>
        <w:instrText xml:space="preserve"> HYPERLINK "http://www.baidu.com/s?wd=%E4%BB%B2%E8%A3%81%E5%A7%94%E5%91%98%E4%BC%9A&amp;tn=SE_PcZhidaonwhc_ngpagmjz&amp;rsv_dl=gh_pc_zhidao" \t "_blank" </w:instrText>
      </w:r>
      <w:r>
        <w:rPr>
          <w:rFonts w:eastAsia="仿宋"/>
          <w:kern w:val="0"/>
          <w:sz w:val="24"/>
        </w:rPr>
        <w:fldChar w:fldCharType="separate"/>
      </w:r>
      <w:r>
        <w:rPr>
          <w:rFonts w:eastAsia="仿宋"/>
          <w:kern w:val="0"/>
          <w:sz w:val="24"/>
        </w:rPr>
        <w:t>仲裁委员会</w:t>
      </w:r>
      <w:r>
        <w:rPr>
          <w:rFonts w:eastAsia="仿宋"/>
          <w:kern w:val="0"/>
          <w:sz w:val="24"/>
        </w:rPr>
        <w:fldChar w:fldCharType="end"/>
      </w:r>
      <w:r>
        <w:rPr>
          <w:rFonts w:eastAsia="仿宋"/>
          <w:kern w:val="0"/>
          <w:sz w:val="24"/>
        </w:rPr>
        <w:t>）提起仲裁。</w:t>
      </w:r>
    </w:p>
    <w:p w14:paraId="578F8239">
      <w:pPr>
        <w:adjustRightInd w:val="0"/>
        <w:snapToGrid w:val="0"/>
        <w:spacing w:line="360" w:lineRule="auto"/>
        <w:ind w:firstLine="480" w:firstLineChars="200"/>
        <w:rPr>
          <w:rFonts w:eastAsia="仿宋"/>
          <w:sz w:val="24"/>
        </w:rPr>
      </w:pPr>
      <w:bookmarkStart w:id="14" w:name="_Toc19515395"/>
      <w:r>
        <w:rPr>
          <w:rFonts w:eastAsia="仿宋"/>
          <w:sz w:val="24"/>
        </w:rPr>
        <w:t>十二、合同生效及其它</w:t>
      </w:r>
      <w:bookmarkEnd w:id="14"/>
    </w:p>
    <w:p w14:paraId="3434B4BD">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1、合同未尽事宜、由甲、乙双方协商，作为合同补充，与原合同具有同等法律效力。</w:t>
      </w:r>
    </w:p>
    <w:p w14:paraId="34784992">
      <w:pPr>
        <w:widowControl/>
        <w:tabs>
          <w:tab w:val="left" w:pos="8391"/>
        </w:tabs>
        <w:autoSpaceDE w:val="0"/>
        <w:autoSpaceDN w:val="0"/>
        <w:snapToGrid w:val="0"/>
        <w:spacing w:line="360" w:lineRule="auto"/>
        <w:ind w:right="-69" w:firstLine="480" w:firstLineChars="200"/>
        <w:textAlignment w:val="bottom"/>
        <w:rPr>
          <w:rFonts w:eastAsia="仿宋"/>
          <w:kern w:val="0"/>
          <w:sz w:val="24"/>
        </w:rPr>
      </w:pPr>
      <w:r>
        <w:rPr>
          <w:rFonts w:eastAsia="仿宋"/>
          <w:kern w:val="0"/>
          <w:sz w:val="24"/>
        </w:rPr>
        <w:t>2、 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14:paraId="4EC3C898">
      <w:pPr>
        <w:widowControl/>
        <w:tabs>
          <w:tab w:val="left" w:pos="8391"/>
        </w:tabs>
        <w:autoSpaceDE w:val="0"/>
        <w:autoSpaceDN w:val="0"/>
        <w:snapToGrid w:val="0"/>
        <w:spacing w:line="360" w:lineRule="auto"/>
        <w:ind w:right="-69" w:firstLine="480" w:firstLineChars="200"/>
        <w:textAlignment w:val="bottom"/>
        <w:rPr>
          <w:rFonts w:eastAsia="仿宋"/>
          <w:kern w:val="0"/>
          <w:sz w:val="24"/>
        </w:rPr>
      </w:pPr>
      <w:r>
        <w:rPr>
          <w:rFonts w:eastAsia="仿宋"/>
          <w:kern w:val="0"/>
          <w:sz w:val="24"/>
        </w:rPr>
        <w:t>3、合同经甲乙双方盖章、签字后生效，合同签订地点为</w:t>
      </w:r>
      <w:r>
        <w:rPr>
          <w:rFonts w:eastAsia="仿宋"/>
          <w:kern w:val="0"/>
          <w:sz w:val="24"/>
          <w:u w:val="single"/>
        </w:rPr>
        <w:t xml:space="preserve">   </w:t>
      </w:r>
      <w:r>
        <w:rPr>
          <w:rFonts w:eastAsia="仿宋"/>
          <w:kern w:val="0"/>
          <w:sz w:val="24"/>
        </w:rPr>
        <w:t>。</w:t>
      </w:r>
    </w:p>
    <w:p w14:paraId="061AD1BB">
      <w:pPr>
        <w:ind w:firstLine="480" w:firstLineChars="200"/>
        <w:rPr>
          <w:rFonts w:eastAsia="仿宋"/>
          <w:kern w:val="0"/>
          <w:sz w:val="24"/>
        </w:rPr>
      </w:pPr>
      <w:r>
        <w:rPr>
          <w:rFonts w:eastAsia="仿宋"/>
          <w:kern w:val="0"/>
          <w:sz w:val="24"/>
        </w:rPr>
        <w:t>4、生效时间：   年  月  日</w:t>
      </w:r>
    </w:p>
    <w:tbl>
      <w:tblPr>
        <w:tblStyle w:val="6"/>
        <w:tblpPr w:leftFromText="180" w:rightFromText="180" w:vertAnchor="text" w:horzAnchor="page" w:tblpX="1496" w:tblpY="514"/>
        <w:tblOverlap w:val="never"/>
        <w:tblW w:w="0" w:type="auto"/>
        <w:tblInd w:w="0" w:type="dxa"/>
        <w:tblLayout w:type="fixed"/>
        <w:tblCellMar>
          <w:top w:w="0" w:type="dxa"/>
          <w:left w:w="108" w:type="dxa"/>
          <w:bottom w:w="0" w:type="dxa"/>
          <w:right w:w="108" w:type="dxa"/>
        </w:tblCellMar>
      </w:tblPr>
      <w:tblGrid>
        <w:gridCol w:w="4643"/>
        <w:gridCol w:w="4643"/>
      </w:tblGrid>
      <w:tr w14:paraId="2DA8DE2C">
        <w:tblPrEx>
          <w:tblCellMar>
            <w:top w:w="0" w:type="dxa"/>
            <w:left w:w="108" w:type="dxa"/>
            <w:bottom w:w="0" w:type="dxa"/>
            <w:right w:w="108" w:type="dxa"/>
          </w:tblCellMar>
        </w:tblPrEx>
        <w:tc>
          <w:tcPr>
            <w:tcW w:w="4643" w:type="dxa"/>
            <w:noWrap w:val="0"/>
            <w:vAlign w:val="top"/>
          </w:tcPr>
          <w:p w14:paraId="39B65D7E">
            <w:pPr>
              <w:widowControl/>
              <w:autoSpaceDE w:val="0"/>
              <w:autoSpaceDN w:val="0"/>
              <w:snapToGrid w:val="0"/>
              <w:spacing w:line="360" w:lineRule="auto"/>
              <w:ind w:right="-154"/>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14:paraId="119AD76C">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2E60D0F1">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6A90FF56">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4B3FCB4B">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4A521CA6">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c>
          <w:tcPr>
            <w:tcW w:w="4643" w:type="dxa"/>
            <w:noWrap w:val="0"/>
            <w:vAlign w:val="top"/>
          </w:tcPr>
          <w:p w14:paraId="33A341D5">
            <w:pPr>
              <w:widowControl/>
              <w:autoSpaceDE w:val="0"/>
              <w:autoSpaceDN w:val="0"/>
              <w:snapToGrid w:val="0"/>
              <w:spacing w:line="360" w:lineRule="auto"/>
              <w:ind w:right="-154"/>
              <w:textAlignment w:val="bottom"/>
              <w:rPr>
                <w:rFonts w:eastAsia="仿宋"/>
                <w:kern w:val="0"/>
                <w:sz w:val="24"/>
              </w:rPr>
            </w:pPr>
            <w:r>
              <w:rPr>
                <w:rFonts w:eastAsia="仿宋"/>
                <w:kern w:val="0"/>
                <w:sz w:val="24"/>
              </w:rPr>
              <w:t>乙方名称</w:t>
            </w:r>
            <w:r>
              <w:rPr>
                <w:rFonts w:eastAsia="仿宋"/>
                <w:spacing w:val="-20"/>
                <w:kern w:val="0"/>
                <w:sz w:val="24"/>
              </w:rPr>
              <w:t>（盖章）</w:t>
            </w:r>
            <w:r>
              <w:rPr>
                <w:rFonts w:eastAsia="仿宋"/>
                <w:kern w:val="0"/>
                <w:sz w:val="24"/>
              </w:rPr>
              <w:t>:</w:t>
            </w:r>
          </w:p>
          <w:p w14:paraId="30FBF94A">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3CE785A2">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6AE1F487">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5D3B6F48">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1B640B99">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r>
    </w:tbl>
    <w:p w14:paraId="028681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4FD6239"/>
    <w:rsid w:val="193A6505"/>
    <w:rsid w:val="1DA9691D"/>
    <w:rsid w:val="1F4F542F"/>
    <w:rsid w:val="2B742822"/>
    <w:rsid w:val="3DFC1EC0"/>
    <w:rsid w:val="41A877A7"/>
    <w:rsid w:val="4A861E9C"/>
    <w:rsid w:val="6088247D"/>
    <w:rsid w:val="636A5C23"/>
    <w:rsid w:val="636C612B"/>
    <w:rsid w:val="6D4008F7"/>
    <w:rsid w:val="77491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2534</Words>
  <Characters>2599</Characters>
  <Lines>31</Lines>
  <Paragraphs>8</Paragraphs>
  <TotalTime>1</TotalTime>
  <ScaleCrop>false</ScaleCrop>
  <LinksUpToDate>false</LinksUpToDate>
  <CharactersWithSpaces>2730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wwwy</cp:lastModifiedBy>
  <dcterms:modified xsi:type="dcterms:W3CDTF">2026-01-15T12:06:24Z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5C61AF0F2634412A82AEB99D0978DAA0_12</vt:lpwstr>
  </property>
  <property fmtid="{D5CDD505-2E9C-101B-9397-08002B2CF9AE}" pid="4" name="KSOTemplateDocerSaveRecord">
    <vt:lpwstr>eyJoZGlkIjoiYzViYmQzYzM5NzY2OGMzNWE4ODY1MmI3NTFhNjNmY2UiLCJ1c2VySWQiOiIxMzM0OTMyMzk3In0=</vt:lpwstr>
  </property>
</Properties>
</file>