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版本号：JDL-20260220260120001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消防整改提升项目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JDL-202602</w:t>
      </w:r>
      <w:r>
        <w:br/>
      </w:r>
      <w:r>
        <w:br/>
      </w:r>
      <w:r>
        <w:br/>
      </w:r>
    </w:p>
    <w:p>
      <w:pPr>
        <w:pStyle w:val="null3"/>
        <w:jc w:val="center"/>
        <w:outlineLvl w:val="2"/>
      </w:pPr>
      <w:r>
        <w:rPr>
          <w:rFonts w:ascii="仿宋_GB2312" w:hAnsi="仿宋_GB2312" w:cs="仿宋_GB2312" w:eastAsia="仿宋_GB2312"/>
          <w:sz w:val="28"/>
          <w:b/>
        </w:rPr>
        <w:t>陕南军休干部服务中心</w:t>
      </w:r>
    </w:p>
    <w:p>
      <w:pPr>
        <w:pStyle w:val="null3"/>
        <w:jc w:val="center"/>
        <w:outlineLvl w:val="2"/>
      </w:pPr>
      <w:r>
        <w:rPr>
          <w:rFonts w:ascii="仿宋_GB2312" w:hAnsi="仿宋_GB2312" w:cs="仿宋_GB2312" w:eastAsia="仿宋_GB2312"/>
          <w:sz w:val="28"/>
          <w:b/>
        </w:rPr>
        <w:t>陕西嘉鸿桐项目管理有限公司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陕西嘉鸿桐项目管理有限公司</w:t>
      </w:r>
      <w:r>
        <w:rPr>
          <w:rFonts w:ascii="仿宋_GB2312" w:hAnsi="仿宋_GB2312" w:cs="仿宋_GB2312" w:eastAsia="仿宋_GB2312"/>
        </w:rPr>
        <w:t>（以下简称“代理机构”）受</w:t>
      </w:r>
      <w:r>
        <w:rPr>
          <w:rFonts w:ascii="仿宋_GB2312" w:hAnsi="仿宋_GB2312" w:cs="仿宋_GB2312" w:eastAsia="仿宋_GB2312"/>
        </w:rPr>
        <w:t>陕南军休干部服务中心</w:t>
      </w:r>
      <w:r>
        <w:rPr>
          <w:rFonts w:ascii="仿宋_GB2312" w:hAnsi="仿宋_GB2312" w:cs="仿宋_GB2312" w:eastAsia="仿宋_GB2312"/>
        </w:rPr>
        <w:t>委托，拟对</w:t>
      </w:r>
      <w:r>
        <w:rPr>
          <w:rFonts w:ascii="仿宋_GB2312" w:hAnsi="仿宋_GB2312" w:cs="仿宋_GB2312" w:eastAsia="仿宋_GB2312"/>
        </w:rPr>
        <w:t>消防整改提升项目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JDL-202602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消防整改提升项目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本工程位于陕南军休干部服务中心，项目主要建设内容：新建消防水池、消防改造工程、室外工程等电气配管配线、给排水等配套设施工程。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采购包1（陕南军休干部服务中心消防整改提升项目）：属于专门面向中小企业采购。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4、项目负责人要求：拟派项目经理应具备【注册建造师二级】及以上执业资格（机电工程专业），具备有效的安全生产考核合格证书（建安B证），无在建工程（提供承诺书）</w:t>
      </w:r>
    </w:p>
    <w:p>
      <w:pPr>
        <w:pStyle w:val="null3"/>
      </w:pPr>
      <w:r>
        <w:rPr>
          <w:rFonts w:ascii="仿宋_GB2312" w:hAnsi="仿宋_GB2312" w:cs="仿宋_GB2312" w:eastAsia="仿宋_GB2312"/>
        </w:rPr>
        <w:t>5、健全的财务会计制度、具有履行合同所必需的设备和专业技术能力、具有依法缴纳税收和社会保障资金的良好记录，以及参加本项目采购活动前三年内在经营活动中无重大违法活动记录。：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6、磋商保证金：投标保证金转账或磋商保函。</w:t>
      </w:r>
    </w:p>
    <w:p>
      <w:pPr>
        <w:pStyle w:val="null3"/>
      </w:pPr>
      <w:r>
        <w:rPr>
          <w:rFonts w:ascii="仿宋_GB2312" w:hAnsi="仿宋_GB2312" w:cs="仿宋_GB2312" w:eastAsia="仿宋_GB2312"/>
        </w:rPr>
        <w:t>7、关联关系：本项目不接受联合体投标，单位负责人为同一人或者存在控股、管理关系的不同单位不得同时参加同一标段或未分标段的同一项目投标。（提供书面说明）</w:t>
      </w:r>
    </w:p>
    <w:p>
      <w:pPr>
        <w:pStyle w:val="null3"/>
      </w:pPr>
      <w:r>
        <w:rPr>
          <w:rFonts w:ascii="仿宋_GB2312" w:hAnsi="仿宋_GB2312" w:cs="仿宋_GB2312" w:eastAsia="仿宋_GB2312"/>
        </w:rPr>
        <w:t>8、无拖欠农民工工资证明：供应商须提供无拖欠农民工工资承诺书，格式自拟。</w:t>
      </w:r>
    </w:p>
    <w:p>
      <w:pPr>
        <w:pStyle w:val="null3"/>
      </w:pPr>
      <w:r>
        <w:rPr>
          <w:rFonts w:ascii="仿宋_GB2312" w:hAnsi="仿宋_GB2312" w:cs="仿宋_GB2312" w:eastAsia="仿宋_GB2312"/>
        </w:rPr>
        <w:t>9、信用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在“全国企业信用信息公示系统”中未被列入经营异常及严重违法失信企业名单，“中国裁判文书网”查询无行贿犯罪记录，在“中国政府采购网”及各级建设诚信信息平台未被列为限制其参与投标的诚信不良行为人及各类行政处罚。供应商及本项目拟派注册建造师在“陕西省建筑市场监管与诚信信息发布平台”上完整信息网截图。（截图时间为投标截止日前6日内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陕南军休干部服务中心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汉中市南郑区黎坪镇瓦石溪村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陕南军休干部服务中心经办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0916-2822811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陕西嘉鸿桐项目管理有限公司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汉中市汉台区南关正街246号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0916-8887768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采购包1：3,010,589.70元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开户名称：陕西嘉鸿桐项目管理有限公司</w:t>
            </w:r>
          </w:p>
          <w:p>
            <w:pPr>
              <w:pStyle w:val="null3"/>
            </w:pPr>
            <w:r>
              <w:rPr>
                <w:rFonts w:ascii="仿宋_GB2312" w:hAnsi="仿宋_GB2312" w:cs="仿宋_GB2312" w:eastAsia="仿宋_GB2312"/>
              </w:rPr>
              <w:t>开户银行：中国工商银行股份有限公司汉中天台路支行</w:t>
            </w:r>
          </w:p>
          <w:p>
            <w:pPr>
              <w:pStyle w:val="null3"/>
            </w:pPr>
            <w:r>
              <w:rPr>
                <w:rFonts w:ascii="仿宋_GB2312" w:hAnsi="仿宋_GB2312" w:cs="仿宋_GB2312" w:eastAsia="仿宋_GB2312"/>
              </w:rPr>
              <w:t>银行账号：2606 0538 0900 0097 093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说明：签订合同后5日内，中标方须向采购方以银行转账、支票、汇票、本票、或保函形式支付履约保证金。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代理服务费收费标准：1、本项目收取代理服务费 2、代理服务费用收取对象：采购人 3、代理服务费收费标准：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4、采购代理服务费的缴纳方式：在招标汇编资料送达之日起30日内一次性全额缴纳采购代理服务费。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陕南军休干部服务中心</w:t>
      </w:r>
      <w:r>
        <w:rPr>
          <w:rFonts w:ascii="仿宋_GB2312" w:hAnsi="仿宋_GB2312" w:cs="仿宋_GB2312" w:eastAsia="仿宋_GB2312"/>
        </w:rPr>
        <w:t>和</w:t>
      </w:r>
      <w:r>
        <w:rPr>
          <w:rFonts w:ascii="仿宋_GB2312" w:hAnsi="仿宋_GB2312" w:cs="仿宋_GB2312" w:eastAsia="仿宋_GB2312"/>
        </w:rPr>
        <w:t>陕西嘉鸿桐项目管理有限公司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陕南军休干部服务中心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陕西嘉鸿桐项目管理有限公司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陕南军休干部服务中心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陕西嘉鸿桐项目管理有限公司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陕西嘉鸿桐项目管理有限公司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陕西嘉鸿桐项目管理有限公司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陕西嘉鸿桐项目管理有限公司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联系人：冯女士</w:t>
      </w:r>
    </w:p>
    <w:p>
      <w:pPr>
        <w:pStyle w:val="null3"/>
      </w:pPr>
      <w:r>
        <w:rPr>
          <w:rFonts w:ascii="仿宋_GB2312" w:hAnsi="仿宋_GB2312" w:cs="仿宋_GB2312" w:eastAsia="仿宋_GB2312"/>
        </w:rPr>
        <w:t>联系电话：0916-8887768</w:t>
      </w:r>
    </w:p>
    <w:p>
      <w:pPr>
        <w:pStyle w:val="null3"/>
      </w:pPr>
      <w:r>
        <w:rPr>
          <w:rFonts w:ascii="仿宋_GB2312" w:hAnsi="仿宋_GB2312" w:cs="仿宋_GB2312" w:eastAsia="仿宋_GB2312"/>
        </w:rPr>
        <w:t>地址：汉中市汉台区南关正街246号（幺儿拐旧货交易市场隔壁3楼）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3,010,589.70</w:t>
      </w:r>
    </w:p>
    <w:p>
      <w:pPr>
        <w:pStyle w:val="null3"/>
      </w:pPr>
      <w:r>
        <w:rPr>
          <w:rFonts w:ascii="仿宋_GB2312" w:hAnsi="仿宋_GB2312" w:cs="仿宋_GB2312" w:eastAsia="仿宋_GB2312"/>
        </w:rPr>
        <w:t>采购包最高限价（元）: 3,010,375.02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消防整改提升项目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3,010,589.70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标的名称：消防整改提升项目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一、工程概况：</w:t>
            </w:r>
          </w:p>
          <w:p>
            <w:pPr>
              <w:pStyle w:val="null3"/>
              <w:ind w:firstLine="560"/>
              <w:jc w:val="both"/>
            </w:pPr>
            <w:r>
              <w:rPr>
                <w:rFonts w:ascii="仿宋_GB2312" w:hAnsi="仿宋_GB2312" w:cs="仿宋_GB2312" w:eastAsia="仿宋_GB2312"/>
                <w:sz w:val="21"/>
              </w:rPr>
              <w:t>该工程</w:t>
            </w:r>
            <w:r>
              <w:rPr>
                <w:rFonts w:ascii="仿宋_GB2312" w:hAnsi="仿宋_GB2312" w:cs="仿宋_GB2312" w:eastAsia="仿宋_GB2312"/>
                <w:sz w:val="21"/>
              </w:rPr>
              <w:t>位于</w:t>
            </w:r>
            <w:r>
              <w:rPr>
                <w:rFonts w:ascii="仿宋_GB2312" w:hAnsi="仿宋_GB2312" w:cs="仿宋_GB2312" w:eastAsia="仿宋_GB2312"/>
                <w:sz w:val="21"/>
              </w:rPr>
              <w:t>陕南军休干部服务中心</w:t>
            </w:r>
            <w:r>
              <w:rPr>
                <w:rFonts w:ascii="仿宋_GB2312" w:hAnsi="仿宋_GB2312" w:cs="仿宋_GB2312" w:eastAsia="仿宋_GB2312"/>
                <w:sz w:val="21"/>
              </w:rPr>
              <w:t>内</w:t>
            </w:r>
            <w:r>
              <w:rPr>
                <w:rFonts w:ascii="仿宋_GB2312" w:hAnsi="仿宋_GB2312" w:cs="仿宋_GB2312" w:eastAsia="仿宋_GB2312"/>
                <w:sz w:val="21"/>
              </w:rPr>
              <w:t>，项目主要建设内容</w:t>
            </w:r>
            <w:r>
              <w:rPr>
                <w:rFonts w:ascii="仿宋_GB2312" w:hAnsi="仿宋_GB2312" w:cs="仿宋_GB2312" w:eastAsia="仿宋_GB2312"/>
                <w:sz w:val="21"/>
              </w:rPr>
              <w:t>：新建消防水池、消防改造工程、室外工程等电气配管配线、给排水等配套设施工程。</w:t>
            </w:r>
          </w:p>
          <w:p>
            <w:pPr>
              <w:pStyle w:val="null3"/>
              <w:ind w:firstLine="560"/>
              <w:jc w:val="both"/>
            </w:pPr>
            <w:r>
              <w:rPr>
                <w:rFonts w:ascii="仿宋_GB2312" w:hAnsi="仿宋_GB2312" w:cs="仿宋_GB2312" w:eastAsia="仿宋_GB2312"/>
                <w:sz w:val="21"/>
              </w:rPr>
              <w:t>二、编制依据：</w:t>
            </w:r>
          </w:p>
          <w:p>
            <w:pPr>
              <w:pStyle w:val="null3"/>
              <w:ind w:firstLine="560"/>
              <w:jc w:val="both"/>
            </w:pPr>
            <w:r>
              <w:rPr>
                <w:rFonts w:ascii="仿宋_GB2312" w:hAnsi="仿宋_GB2312" w:cs="仿宋_GB2312" w:eastAsia="仿宋_GB2312"/>
                <w:sz w:val="21"/>
              </w:rPr>
              <w:t>1、陕南军休干部服务中心消防整改提升项目工程的图纸及相关资料；</w:t>
            </w:r>
          </w:p>
          <w:p>
            <w:pPr>
              <w:pStyle w:val="null3"/>
              <w:ind w:firstLine="560"/>
              <w:jc w:val="both"/>
            </w:pPr>
            <w:r>
              <w:rPr>
                <w:rFonts w:ascii="仿宋_GB2312" w:hAnsi="仿宋_GB2312" w:cs="仿宋_GB2312" w:eastAsia="仿宋_GB2312"/>
                <w:sz w:val="21"/>
              </w:rPr>
              <w:t>2、《建设工程工程量清单计价规范》(2025)、《陕西省建设工程费用规则》(2025)、《陕西省房屋建筑与装饰工程基价表》(2025)、《陕西省通用安装工程基价表》(2025)；</w:t>
            </w:r>
          </w:p>
          <w:p>
            <w:pPr>
              <w:pStyle w:val="null3"/>
              <w:ind w:firstLine="560"/>
              <w:jc w:val="both"/>
            </w:pPr>
            <w:r>
              <w:rPr>
                <w:rFonts w:ascii="仿宋_GB2312" w:hAnsi="仿宋_GB2312" w:cs="仿宋_GB2312" w:eastAsia="仿宋_GB2312"/>
                <w:sz w:val="21"/>
              </w:rPr>
              <w:t>3、《陕西省房屋建筑与装饰工程消耗量定额》(2025)、《陕西省通用安装工程消耗量定额》(2025)；</w:t>
            </w:r>
          </w:p>
          <w:p>
            <w:pPr>
              <w:pStyle w:val="null3"/>
              <w:ind w:firstLine="560"/>
              <w:jc w:val="both"/>
            </w:pPr>
            <w:r>
              <w:rPr>
                <w:rFonts w:ascii="仿宋_GB2312" w:hAnsi="仿宋_GB2312" w:cs="仿宋_GB2312" w:eastAsia="仿宋_GB2312"/>
                <w:sz w:val="21"/>
              </w:rPr>
              <w:t>4、陕西省建设工程施工机械台班费用定额》(2025)、《陕西省建设工程施工仪器仪表台班费用定额》(2025)及配套的相关文件计价；</w:t>
            </w:r>
          </w:p>
          <w:p>
            <w:pPr>
              <w:pStyle w:val="null3"/>
              <w:ind w:firstLine="560"/>
              <w:jc w:val="both"/>
            </w:pPr>
            <w:r>
              <w:rPr>
                <w:rFonts w:ascii="仿宋_GB2312" w:hAnsi="仿宋_GB2312" w:cs="仿宋_GB2312" w:eastAsia="仿宋_GB2312"/>
                <w:sz w:val="21"/>
              </w:rPr>
              <w:t>5、材料价格按2025年12月《汉中市建设工程造价信息》材料价综合计取。</w:t>
            </w:r>
          </w:p>
          <w:p>
            <w:pPr>
              <w:pStyle w:val="null3"/>
              <w:ind w:firstLine="560"/>
              <w:jc w:val="both"/>
            </w:pPr>
            <w:r>
              <w:rPr>
                <w:rFonts w:ascii="仿宋_GB2312" w:hAnsi="仿宋_GB2312" w:cs="仿宋_GB2312" w:eastAsia="仿宋_GB2312"/>
                <w:sz w:val="21"/>
                <w:b/>
              </w:rPr>
              <w:t xml:space="preserve">   三</w:t>
            </w:r>
            <w:r>
              <w:rPr>
                <w:rFonts w:ascii="仿宋_GB2312" w:hAnsi="仿宋_GB2312" w:cs="仿宋_GB2312" w:eastAsia="仿宋_GB2312"/>
                <w:sz w:val="21"/>
              </w:rPr>
              <w:t>、</w:t>
            </w:r>
            <w:r>
              <w:rPr>
                <w:rFonts w:ascii="仿宋_GB2312" w:hAnsi="仿宋_GB2312" w:cs="仿宋_GB2312" w:eastAsia="仿宋_GB2312"/>
                <w:sz w:val="21"/>
              </w:rPr>
              <w:t>计价软件</w:t>
            </w:r>
            <w:r>
              <w:rPr>
                <w:rFonts w:ascii="仿宋_GB2312" w:hAnsi="仿宋_GB2312" w:cs="仿宋_GB2312" w:eastAsia="仿宋_GB2312"/>
                <w:sz w:val="21"/>
                <w:b/>
              </w:rPr>
              <w:t>：</w:t>
            </w:r>
            <w:r>
              <w:rPr>
                <w:rFonts w:ascii="仿宋_GB2312" w:hAnsi="仿宋_GB2312" w:cs="仿宋_GB2312" w:eastAsia="仿宋_GB2312"/>
                <w:sz w:val="21"/>
              </w:rPr>
              <w:t>广联达计价软件</w:t>
            </w:r>
            <w:r>
              <w:rPr>
                <w:rFonts w:ascii="仿宋_GB2312" w:hAnsi="仿宋_GB2312" w:cs="仿宋_GB2312" w:eastAsia="仿宋_GB2312"/>
                <w:sz w:val="21"/>
              </w:rPr>
              <w:t>7</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 xml:space="preserve">   四、具体详见招标清单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1、本项目供应商报价异常低价认定标准： ①投标（响应）报价低于全部通过符合性审查供应商投标（响应）报价平均值50%的，即投标（响应）报价&lt;全部通过符合性审查供应商投标（响应）报价平均值×50%；②投标（响应）报价低于通过符合性审查的次低报价供应商投标（响应）报价50%的，即投标（响应）报价&lt;通过符合性审查的次低报价供应商投标（响应）报价×50%；③投标（响应）报价低于采购项目最高限价45%的，即投标（响应）报价&lt;采购项目最高限价×45%；④评审委员会基于专业判断，认为供应商报价过低，有可能影响产品质量或者不能诚信履约的其他情形。法律依据：《关于推动解决政府采购异常低价问题的通知》第二条。 2、. 评审时因供应商提供文件材料不清晰导致无法辨认的，或隐瞒相关不良信息的，造成资格不通过的后果自负； 3. 供应商递交的磋商响应文件发现有弄虚作假的，将被拒绝其投标资格，评审结束后发现的，取消其通过资格，评审结果可通过原评审小组进行复议。 4. 供应商或其授权委托人递交响应文件后，需保持通讯畅通，当评审小组需要质询时能及时取得联系或到场解答。 5.供应商报名时因网上的投标信息不完善或者错误，造成投标资格不通过，或响应文件中没有响应要求的所有复印件应完整、清晰可辨，造成投标资格不通过，责任自负。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调整版供应商主体资格证明.docx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tc>
        <w:tc>
          <w:tcPr>
            <w:tcW w:type="dxa" w:w="1661"/>
          </w:tcPr>
          <w:p>
            <w:pPr>
              <w:pStyle w:val="null3"/>
            </w:pPr>
            <w:r>
              <w:rPr>
                <w:rFonts w:ascii="仿宋_GB2312" w:hAnsi="仿宋_GB2312" w:cs="仿宋_GB2312" w:eastAsia="仿宋_GB2312"/>
              </w:rPr>
              <w:t>调整版身份证明及授权委托书.docx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调整版企业资质证明.docx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拟派项目经理应具备【注册建造师二级】及以上执业资格（机电工程专业），具备有效的安全生产考核合格证书（建安B证），无在建工程（提供承诺书）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调整版项目负责人资格证明.docx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健全的财务会计制度、具有履行合同所必需的设备和专业技术能力、具有依法缴纳税收和社会保障资金的良好记录，以及参加本项目采购活动前三年内在经营活动中无重大违法活动记录。</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政府采购资格承诺函.docx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投标保证金转账或磋商保函。</w:t>
            </w:r>
          </w:p>
        </w:tc>
        <w:tc>
          <w:tcPr>
            <w:tcW w:type="dxa" w:w="1661"/>
          </w:tcPr>
          <w:p>
            <w:pPr>
              <w:pStyle w:val="null3"/>
            </w:pPr>
            <w:r>
              <w:rPr>
                <w:rFonts w:ascii="仿宋_GB2312" w:hAnsi="仿宋_GB2312" w:cs="仿宋_GB2312" w:eastAsia="仿宋_GB2312"/>
              </w:rPr>
              <w:t>调整版磋商保证金.docx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本项目不接受联合体投标，单位负责人为同一人或者存在控股、管理关系的不同单位不得同时参加同一标段或未分标段的同一项目投标。（提供书面说明）</w:t>
            </w:r>
          </w:p>
        </w:tc>
        <w:tc>
          <w:tcPr>
            <w:tcW w:type="dxa" w:w="1661"/>
          </w:tcPr>
          <w:p>
            <w:pPr>
              <w:pStyle w:val="null3"/>
            </w:pPr>
            <w:r>
              <w:rPr>
                <w:rFonts w:ascii="仿宋_GB2312" w:hAnsi="仿宋_GB2312" w:cs="仿宋_GB2312" w:eastAsia="仿宋_GB2312"/>
              </w:rPr>
              <w:t>调整版关联关系书面说明.docx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无拖欠农民工工资证明</w:t>
            </w:r>
          </w:p>
        </w:tc>
        <w:tc>
          <w:tcPr>
            <w:tcW w:type="dxa" w:w="3322"/>
          </w:tcPr>
          <w:p>
            <w:pPr>
              <w:pStyle w:val="null3"/>
            </w:pPr>
            <w:r>
              <w:rPr>
                <w:rFonts w:ascii="仿宋_GB2312" w:hAnsi="仿宋_GB2312" w:cs="仿宋_GB2312" w:eastAsia="仿宋_GB2312"/>
              </w:rPr>
              <w:t>供应商须提供无拖欠农民工工资承诺书，格式自拟。</w:t>
            </w:r>
          </w:p>
        </w:tc>
        <w:tc>
          <w:tcPr>
            <w:tcW w:type="dxa" w:w="1661"/>
          </w:tcPr>
          <w:p>
            <w:pPr>
              <w:pStyle w:val="null3"/>
            </w:pPr>
            <w:r>
              <w:rPr>
                <w:rFonts w:ascii="仿宋_GB2312" w:hAnsi="仿宋_GB2312" w:cs="仿宋_GB2312" w:eastAsia="仿宋_GB2312"/>
              </w:rPr>
              <w:t>无拖欠证明.docx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在“全国企业信用信息公示系统”中未被列入经营异常及严重违法失信企业名单，“中国裁判文书网”查询无行贿犯罪记录，在“中国政府采购网”及各级建设诚信信息平台未被列为限制其参与投标的诚信不良行为人及各类行政处罚。供应商及本项目拟派注册建造师在“陕西省建筑市场监管与诚信信息发布平台”上完整信息网截图。（截图时间为投标截止日前6日内有效）。</w:t>
            </w:r>
          </w:p>
        </w:tc>
        <w:tc>
          <w:tcPr>
            <w:tcW w:type="dxa" w:w="1661"/>
          </w:tcPr>
          <w:p>
            <w:pPr>
              <w:pStyle w:val="null3"/>
            </w:pPr>
            <w:r>
              <w:rPr>
                <w:rFonts w:ascii="仿宋_GB2312" w:hAnsi="仿宋_GB2312" w:cs="仿宋_GB2312" w:eastAsia="仿宋_GB2312"/>
              </w:rPr>
              <w:t>信用截图.docx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3、异常低价审查启动条件：评审委员会对满足符合性审查的投标报价，出现下列情形之一的，立即启动异常低价审查程序： ①投标（响应）报价低于全部通过符合性审查供应商投标（响应）报价平均值50%的，即投标（响应）报价&lt;全部通过符合性审查供应商投标（响应）报价平均值×50%；②投标（响应）报价低于通过符合性审查的次低报价供应商投标（响应）报价50%的，即投标（响应）报价&lt;通过符合性审查的次低报价供应商投标（响应）报价×50%；③投标（响应）报价低于采购项目最高限价45%的，即投标（响应）报价&lt;采购项目最高限价×45%；④评审委员会基于专业判断，认为供应商报价过低，有可能影响产品质量或者不能诚信履约的其他情形。法律依据：《关于推动解决政府采购异常低价问题的通知》第二条。</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调整版已标价工程量清单.docx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供应商签字、盖章、篇幅页数等形式要求应严格遵照本磋商文件约定执行，文件起始部位或落款部位所有载明需供应商加盖印章的位置，公章须精准加盖于供应商全称标注处（或完整覆盖企业全称）。未按本款要求执行的，其响应文件按无效响应处理。</w:t>
            </w:r>
          </w:p>
        </w:tc>
        <w:tc>
          <w:tcPr>
            <w:tcW w:type="dxa" w:w="1661"/>
          </w:tcPr>
          <w:p>
            <w:pPr>
              <w:pStyle w:val="null3"/>
            </w:pPr>
            <w:r>
              <w:rPr>
                <w:rFonts w:ascii="仿宋_GB2312" w:hAnsi="仿宋_GB2312" w:cs="仿宋_GB2312" w:eastAsia="仿宋_GB2312"/>
              </w:rPr>
              <w:t>响应承诺书.docx 技术方案.docx 调整版已标价工程量清单.docx 中小企业声明函 技术服务合同条款及其他商务要求应答表 调整版关联关系书面说明.docx 信用截图.docx 调整版磋商保证金.docx 调整版身份证明及授权委托书.docx 调整版企业资质证明.docx 无拖欠证明.docx 项目管理机构组成表 调整版供应商主体资格证明.docx 响应文件封面.docx 残疾人福利性单位声明函 调整版项目负责人资格证明.docx 报价函 标的清单 供应商类似项目业绩一览表 响应函 主要人员简历表 监狱企业的证明文件 政府采购资格承诺函.docx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其他响应内容</w:t>
            </w:r>
          </w:p>
        </w:tc>
        <w:tc>
          <w:tcPr>
            <w:tcW w:type="dxa" w:w="3322"/>
          </w:tcPr>
          <w:p>
            <w:pPr>
              <w:pStyle w:val="null3"/>
            </w:pPr>
            <w:r>
              <w:rPr>
                <w:rFonts w:ascii="仿宋_GB2312" w:hAnsi="仿宋_GB2312" w:cs="仿宋_GB2312" w:eastAsia="仿宋_GB2312"/>
              </w:rPr>
              <w:t>合同、商务等其他要求</w:t>
            </w:r>
          </w:p>
        </w:tc>
        <w:tc>
          <w:tcPr>
            <w:tcW w:type="dxa" w:w="1661"/>
          </w:tcPr>
          <w:p>
            <w:pPr>
              <w:pStyle w:val="null3"/>
            </w:pPr>
            <w:r>
              <w:rPr>
                <w:rFonts w:ascii="仿宋_GB2312" w:hAnsi="仿宋_GB2312" w:cs="仿宋_GB2312" w:eastAsia="仿宋_GB2312"/>
              </w:rPr>
              <w:t>响应承诺书.docx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提供针对本项目的项目实施方案及 措施进行综合评审。 A.实施方案完 整详细、有针对性，完全满足项目 实施，具有优化建议的得[12.1-15]分； B.实施方案完整，可行，有针对性，能满足项目实施的全部要求的得[6.1-12）分； C.实施方案有较大缺陷，或完全套用其他项目且内容较少的得[2.1-6）分; D.实施方案存在不利于采购人安全作业要求实现的，得（1-2）分。 E.未提供得0分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提供针对本项目提供具体的安全作 业方案及安全配套措施进行综合评 审。 A.提供具体详细、有针对性的 安全作业方案及安全配套措施，完 全符合采购人安全作业要求且具有 优化建议的，得[8.1-10]分； B.提供安全作业方案及安全配套措施，符合采购人安全作业的要求，得[5.1-8）分； C.提供的安全作业方案及安全配套措施非专门针对本项目，套用其他项目内容，存在逻辑漏洞或前后内容不一致的得[2.1-5）分； D.提供的安全作业方案及安全配套措施简陋，存在不利于采购人安全作业要求实现的，得（1-2）分。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 工期的技术组织措施进行综合评审 。 A.措施计划详细齐全、合理且切 实可行，完全满足采购人需求，具 有优化建议的得[8.1-10]分； B.措施计划齐全、合理、切实可行，满足采购人需求得[5.1-8）分； C.措施计划非专门针对本项目，存在逻辑漏洞或前后内容不一致的得[2.1-5）分； D.措施计划有较大缺陷，或完全套用其他项目且内容较少的得（1-2）分；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文明措施施工计划</w:t>
            </w:r>
          </w:p>
        </w:tc>
        <w:tc>
          <w:tcPr>
            <w:tcW w:type="dxa" w:w="2492"/>
          </w:tcPr>
          <w:p>
            <w:pPr>
              <w:pStyle w:val="null3"/>
            </w:pPr>
            <w:r>
              <w:rPr>
                <w:rFonts w:ascii="仿宋_GB2312" w:hAnsi="仿宋_GB2312" w:cs="仿宋_GB2312" w:eastAsia="仿宋_GB2312"/>
              </w:rPr>
              <w:t>提供针对本项目的文明施工措施计 划进行综合评审。 A.措施计划详细 齐全、合理且切实可行，完全满足 采购人需求，具有优化建议的得[4.1-6]分； B.措施计划齐全、合理、切实可行，满足采购人需求得[2.1-4）分； C.措施计划非专门针对本项目，存在逻辑漏洞或前后内容不一致的得[1-2）分； D.措施计划有较大缺陷，或完全套用其他项目且内容较少，或未提供的得0分。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根据供应商对招标项目的特点进行合理化建议。建议合理、可操作性强：[3.6-5]，一般：[2.1-3.5],差：[1-2]。</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施工机具配备和劳动力安排计划及劳务分包情况表</w:t>
            </w:r>
          </w:p>
        </w:tc>
        <w:tc>
          <w:tcPr>
            <w:tcW w:type="dxa" w:w="2492"/>
          </w:tcPr>
          <w:p>
            <w:pPr>
              <w:pStyle w:val="null3"/>
            </w:pPr>
            <w:r>
              <w:rPr>
                <w:rFonts w:ascii="仿宋_GB2312" w:hAnsi="仿宋_GB2312" w:cs="仿宋_GB2312" w:eastAsia="仿宋_GB2312"/>
              </w:rPr>
              <w:t>根据供应商就本项目劳动力安排计 划及劳务分包情况表，根据合理、 可行程度进行评审。 A.施工机具配备和劳动力安排 计划及劳务分包完整、合理、可行 ，有利于本项目实施的得[3.1-5]分；B.施工机具配备和劳动力安排计划及劳务分包合理、可行的，基本能满足项目实施的得[1.1-3）分； C.施工机具配备和劳动力安排计划及劳务分包可行性较差，存在缺陷或未提供的得0分。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供应商质量保修承诺完整，包括但 不限于：A.有售后保障工作服务方 案及工作计划；B.有保修团队人员 配备并具备相关资格证书；C.有巡 查或复查计划及售后质量保障措施 ；D.对工程维修服务响应时限有明 确的承诺。每有一项缺项扣2分， 每有一项内容中有缺陷，指项目需 求不匹配或不能满足项目实施要求 及其他不利于项目实施的扣1分， 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供应商针对本项目的风险预测与防范全面周到、完整，应急预案详细、可行，内容完整： A.应急措施具体、详细、可行：得[4.1-6]分；B.应急措施较具体、较详细、较可行得：[2.1-4）分；C.应急措施内容模糊不清，可行性较弱：得[1-2）分；D.未提供者不得分。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供应商提供近三年（2022年11月- 至今）完成200万以上类似项目业绩（时间以 签订的施工合同时间为准），每提 供1个业绩得2.5分，此项最高得5分；（注：业绩评审需提供加盖公章的项目施工合同复印件）。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2、有效最低报价为基准价得30分。3、按（有效最低报价/有效磋商报价）×30的公式计算其得分。4、磋商报价不完整的,不进入评标标准价的计算,本项得0分。 5、不正当竞争预防措施：在评审过程中,磋商小组认定有可能影响产品质量或者不能诚信履约的异常低价报价时，应启动异常低价审查程序。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调整版已标价工程量清单.docx</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详见附件：调整版身份证明及授权委托书.docx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详见附件：调整版供应商主体资格证明.docx</w:t>
      </w:r>
    </w:p>
    <w:p>
      <w:pPr>
        <w:pStyle w:val="null3"/>
        <w:ind w:firstLine="960"/>
      </w:pPr>
      <w:r>
        <w:rPr>
          <w:rFonts w:ascii="仿宋_GB2312" w:hAnsi="仿宋_GB2312" w:cs="仿宋_GB2312" w:eastAsia="仿宋_GB2312"/>
        </w:rPr>
        <w:t>详见附件：调整版企业资质证明.docx</w:t>
      </w:r>
    </w:p>
    <w:p>
      <w:pPr>
        <w:pStyle w:val="null3"/>
        <w:ind w:firstLine="960"/>
      </w:pPr>
      <w:r>
        <w:rPr>
          <w:rFonts w:ascii="仿宋_GB2312" w:hAnsi="仿宋_GB2312" w:cs="仿宋_GB2312" w:eastAsia="仿宋_GB2312"/>
        </w:rPr>
        <w:t>详见附件：调整版项目负责人资格证明.docx</w:t>
      </w:r>
    </w:p>
    <w:p>
      <w:pPr>
        <w:pStyle w:val="null3"/>
        <w:ind w:firstLine="960"/>
      </w:pPr>
      <w:r>
        <w:rPr>
          <w:rFonts w:ascii="仿宋_GB2312" w:hAnsi="仿宋_GB2312" w:cs="仿宋_GB2312" w:eastAsia="仿宋_GB2312"/>
        </w:rPr>
        <w:t>详见附件：政府采购资格承诺函.docx</w:t>
      </w:r>
    </w:p>
    <w:p>
      <w:pPr>
        <w:pStyle w:val="null3"/>
        <w:ind w:firstLine="960"/>
      </w:pPr>
      <w:r>
        <w:rPr>
          <w:rFonts w:ascii="仿宋_GB2312" w:hAnsi="仿宋_GB2312" w:cs="仿宋_GB2312" w:eastAsia="仿宋_GB2312"/>
        </w:rPr>
        <w:t>详见附件：调整版磋商保证金.docx</w:t>
      </w:r>
    </w:p>
    <w:p>
      <w:pPr>
        <w:pStyle w:val="null3"/>
        <w:ind w:firstLine="960"/>
      </w:pPr>
      <w:r>
        <w:rPr>
          <w:rFonts w:ascii="仿宋_GB2312" w:hAnsi="仿宋_GB2312" w:cs="仿宋_GB2312" w:eastAsia="仿宋_GB2312"/>
        </w:rPr>
        <w:t>详见附件：调整版关联关系书面说明.docx</w:t>
      </w:r>
    </w:p>
    <w:p>
      <w:pPr>
        <w:pStyle w:val="null3"/>
        <w:ind w:firstLine="960"/>
      </w:pPr>
      <w:r>
        <w:rPr>
          <w:rFonts w:ascii="仿宋_GB2312" w:hAnsi="仿宋_GB2312" w:cs="仿宋_GB2312" w:eastAsia="仿宋_GB2312"/>
        </w:rPr>
        <w:t>详见附件：调整版已标价工程量清单.docx</w:t>
      </w:r>
    </w:p>
    <w:p>
      <w:pPr>
        <w:pStyle w:val="null3"/>
        <w:ind w:firstLine="960"/>
      </w:pPr>
      <w:r>
        <w:rPr>
          <w:rFonts w:ascii="仿宋_GB2312" w:hAnsi="仿宋_GB2312" w:cs="仿宋_GB2312" w:eastAsia="仿宋_GB2312"/>
        </w:rPr>
        <w:t>详见附件：响应承诺书.docx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详见附件：无拖欠证明.docx</w:t>
      </w:r>
    </w:p>
    <w:p>
      <w:pPr>
        <w:pStyle w:val="null3"/>
        <w:ind w:firstLine="960"/>
      </w:pPr>
      <w:r>
        <w:rPr>
          <w:rFonts w:ascii="仿宋_GB2312" w:hAnsi="仿宋_GB2312" w:cs="仿宋_GB2312" w:eastAsia="仿宋_GB2312"/>
        </w:rPr>
        <w:t>详见附件：信用截图.docx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详见附件：参考版合同条款.docx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