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C3F409">
      <w:pPr>
        <w:adjustRightInd w:val="0"/>
        <w:snapToGrid w:val="0"/>
        <w:spacing w:before="50" w:line="360" w:lineRule="auto"/>
        <w:jc w:val="center"/>
        <w:outlineLvl w:val="1"/>
        <w:rPr>
          <w:rFonts w:hint="eastAsia" w:ascii="宋体" w:hAnsi="宋体" w:eastAsia="宋体" w:cs="宋体"/>
          <w:b w:val="0"/>
          <w:bCs/>
          <w:color w:val="000000"/>
          <w:sz w:val="22"/>
          <w:szCs w:val="22"/>
          <w:lang w:val="en-US" w:eastAsia="zh-CN"/>
        </w:rPr>
      </w:pPr>
      <w:bookmarkStart w:id="0" w:name="_GoBack"/>
      <w:r>
        <w:rPr>
          <w:rFonts w:hint="eastAsia" w:ascii="宋体" w:hAnsi="宋体" w:eastAsia="宋体" w:cs="宋体"/>
          <w:b/>
          <w:bCs/>
          <w:color w:val="000000"/>
          <w:sz w:val="28"/>
          <w:szCs w:val="28"/>
          <w:highlight w:val="none"/>
          <w:lang w:val="en-US" w:eastAsia="zh-CN"/>
        </w:rPr>
        <w:t>监狱企业证明</w:t>
      </w:r>
    </w:p>
    <w:bookmarkEnd w:id="0"/>
    <w:p w14:paraId="013431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auto"/>
        <w:ind w:firstLine="420" w:firstLineChars="200"/>
        <w:textAlignment w:val="auto"/>
        <w:outlineLvl w:val="9"/>
        <w:rPr>
          <w:rFonts w:hint="eastAsia" w:ascii="宋体" w:hAnsi="宋体" w:eastAsia="宋体" w:cs="宋体"/>
          <w:color w:val="000000"/>
          <w:szCs w:val="21"/>
        </w:rPr>
      </w:pPr>
    </w:p>
    <w:p w14:paraId="5E090D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auto"/>
        <w:ind w:firstLine="420" w:firstLineChars="200"/>
        <w:textAlignment w:val="auto"/>
        <w:outlineLvl w:val="9"/>
        <w:rPr>
          <w:rFonts w:hint="eastAsia" w:ascii="宋体" w:hAnsi="宋体" w:eastAsia="宋体" w:cs="宋体"/>
          <w:color w:val="000000"/>
          <w:szCs w:val="21"/>
        </w:rPr>
      </w:pPr>
      <w:r>
        <w:rPr>
          <w:rFonts w:hint="eastAsia" w:ascii="宋体" w:hAnsi="宋体" w:eastAsia="宋体" w:cs="宋体"/>
          <w:color w:val="000000"/>
          <w:szCs w:val="21"/>
        </w:rPr>
        <w:t>说明：根据财政部、司法部《关于政府采购支持监狱企业发展有关问题的通知》（财库〔2014〕68号）的规定，监狱企业是指由司法部认定的为罪犯、戒毒人员提供生产项目和劳动对象，且全部产权属于司法部监狱管理局、戒毒管理局、直属煤矿管理局，各省、自治区、直辖市监狱管理局、戒毒管理局，各地（设区的市）监狱、强制隔离戒毒所、戒毒康复所，以及新疆生产建设兵团监狱管理局、戒毒管理局的企业。</w:t>
      </w:r>
    </w:p>
    <w:p w14:paraId="0031F8F5"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000000"/>
          <w:szCs w:val="21"/>
        </w:rPr>
        <w:t>监狱企业参加政府采购活动时，应当提供由省级以上监狱管理局、戒毒管理局（含新疆生产建设兵团）出具的属于监狱企业的证明文件。供应商不属于监狱企业的，无须提供。</w:t>
      </w:r>
    </w:p>
    <w:p w14:paraId="02A1C965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73335F7"/>
    <w:rsid w:val="5D522B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266</Words>
  <Characters>270</Characters>
  <Lines>0</Lines>
  <Paragraphs>0</Paragraphs>
  <TotalTime>0</TotalTime>
  <ScaleCrop>false</ScaleCrop>
  <LinksUpToDate>false</LinksUpToDate>
  <CharactersWithSpaces>270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2026-02-11T08:27:00Z</dcterms:created>
  <dc:creator>0003</dc:creator>
  <cp:lastModifiedBy>soul</cp:lastModifiedBy>
  <dcterms:modified xsi:type="dcterms:W3CDTF">2026-02-11T08:27:51Z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eyJoZGlkIjoiMjkzNGRhNjFiZDM0MWFkNmFjMTY0ZjZlN2VjYjdjMzEiLCJ1c2VySWQiOiIzMjUzMDc2MzkifQ==</vt:lpwstr>
  </property>
  <property fmtid="{D5CDD505-2E9C-101B-9397-08002B2CF9AE}" pid="4" name="ICV">
    <vt:lpwstr>294DC5010B0540F18BE88DD4765825DB_12</vt:lpwstr>
  </property>
</Properties>
</file>