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版本号：GLD2026-010701Z20260115001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院内VTE智能防控系统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GLD2026-010701Z</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院内VTE智能防控系统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GLD2026-010701Z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院内VTE智能防控系统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院内VTE智能防控系统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陕西省西安市未央区西安经济技术开发区明光路 55 号天朗经开中心 6层605室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18829023286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》（发改价格[2011]534号）文件的规定向陕西广联达招标有限公司交纳招标服务费。名称：陕西广联达招标有限公司，开户行：中国银行股份有限公司西安万寿路支行，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项目验收需根据招标文件以及合同的需求进行验收。系统验收之前，提供包括系统安装手册、数据结构手册、用户使用手册、系统维护手册等在内的完备准确的技术资料，以供验收。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联系电话：18829023286</w:t>
      </w:r>
    </w:p>
    <w:p>
      <w:pPr>
        <w:pStyle w:val="null3"/>
      </w:pPr>
      <w:r>
        <w:rPr>
          <w:rFonts w:ascii="仿宋_GB2312" w:hAnsi="仿宋_GB2312" w:cs="仿宋_GB2312" w:eastAsia="仿宋_GB2312"/>
        </w:rPr>
        <w:t>地址：陕西省西安市未央区西安经济技术开发区明光路 55 号天朗经开中心 6 层605室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院内VTE智能防控系统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院内VTE智能防控系统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标的名称：院内VTE智能防控系统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一、总体技术要求</w:t>
            </w:r>
          </w:p>
          <w:p>
            <w:pPr>
              <w:pStyle w:val="null3"/>
              <w:ind w:firstLine="422"/>
              <w:jc w:val="both"/>
            </w:pPr>
            <w:r>
              <w:rPr>
                <w:rFonts w:ascii="仿宋_GB2312" w:hAnsi="仿宋_GB2312" w:cs="仿宋_GB2312" w:eastAsia="仿宋_GB2312"/>
                <w:sz w:val="21"/>
                <w:b/>
              </w:rPr>
              <w:t>1、系统架构与安全</w:t>
            </w:r>
          </w:p>
          <w:p>
            <w:pPr>
              <w:pStyle w:val="null3"/>
              <w:ind w:firstLine="420"/>
              <w:jc w:val="both"/>
            </w:pPr>
            <w:r>
              <w:rPr>
                <w:rFonts w:ascii="仿宋_GB2312" w:hAnsi="仿宋_GB2312" w:cs="仿宋_GB2312" w:eastAsia="仿宋_GB2312"/>
                <w:sz w:val="21"/>
              </w:rPr>
              <w:t>支持在移动护理</w:t>
            </w:r>
            <w:r>
              <w:rPr>
                <w:rFonts w:ascii="仿宋_GB2312" w:hAnsi="仿宋_GB2312" w:cs="仿宋_GB2312" w:eastAsia="仿宋_GB2312"/>
                <w:sz w:val="21"/>
              </w:rPr>
              <w:t>PDA、手机等多种场景下使用。支持与院内统一身份认证系统实现单点登录。系统服务器需部署在医院内网，具备多级权限控制、日志保留至少90天、SQL注入防护、数据库IP白名单等安全措施。</w:t>
            </w:r>
          </w:p>
          <w:p>
            <w:pPr>
              <w:pStyle w:val="null3"/>
              <w:ind w:firstLine="422"/>
              <w:jc w:val="both"/>
            </w:pPr>
            <w:r>
              <w:rPr>
                <w:rFonts w:ascii="仿宋_GB2312" w:hAnsi="仿宋_GB2312" w:cs="仿宋_GB2312" w:eastAsia="仿宋_GB2312"/>
                <w:sz w:val="21"/>
                <w:b/>
              </w:rPr>
              <w:t>2、系统对接与集成</w:t>
            </w:r>
          </w:p>
          <w:p>
            <w:pPr>
              <w:pStyle w:val="null3"/>
              <w:ind w:firstLine="420"/>
              <w:jc w:val="both"/>
            </w:pPr>
            <w:r>
              <w:rPr>
                <w:rFonts w:ascii="仿宋_GB2312" w:hAnsi="仿宋_GB2312" w:cs="仿宋_GB2312" w:eastAsia="仿宋_GB2312"/>
                <w:sz w:val="21"/>
              </w:rPr>
              <w:t>能够与医院</w:t>
            </w:r>
            <w:r>
              <w:rPr>
                <w:rFonts w:ascii="仿宋_GB2312" w:hAnsi="仿宋_GB2312" w:cs="仿宋_GB2312" w:eastAsia="仿宋_GB2312"/>
                <w:sz w:val="21"/>
              </w:rPr>
              <w:t>HIS、集成平台、EMR（电子病历）、LIS、PACS等系统对接，自动获取患者诊疗数据。具备自然语言处理（NLP）能力，能从非结构化的病历文本中（如出院记录、病程记录）智能提取并后结构化关键医疗实体，用于自动评估。</w:t>
            </w:r>
          </w:p>
          <w:p>
            <w:pPr>
              <w:pStyle w:val="null3"/>
              <w:ind w:firstLine="422"/>
              <w:jc w:val="both"/>
            </w:pPr>
            <w:r>
              <w:rPr>
                <w:rFonts w:ascii="仿宋_GB2312" w:hAnsi="仿宋_GB2312" w:cs="仿宋_GB2312" w:eastAsia="仿宋_GB2312"/>
                <w:sz w:val="21"/>
                <w:b/>
              </w:rPr>
              <w:t>3、遵循标准与规范</w:t>
            </w:r>
          </w:p>
          <w:p>
            <w:pPr>
              <w:pStyle w:val="null3"/>
              <w:ind w:firstLine="420"/>
              <w:jc w:val="both"/>
            </w:pPr>
            <w:r>
              <w:rPr>
                <w:rFonts w:ascii="仿宋_GB2312" w:hAnsi="仿宋_GB2312" w:cs="仿宋_GB2312" w:eastAsia="仿宋_GB2312"/>
                <w:sz w:val="21"/>
              </w:rPr>
              <w:t>满足《全国肺栓塞和深静脉血栓形成防治能力建设项目》制定的各项标准（包括《三级医院中心建设标准及评分细则（</w:t>
            </w:r>
            <w:r>
              <w:rPr>
                <w:rFonts w:ascii="仿宋_GB2312" w:hAnsi="仿宋_GB2312" w:cs="仿宋_GB2312" w:eastAsia="仿宋_GB2312"/>
                <w:sz w:val="21"/>
              </w:rPr>
              <w:t>2022版）》和《医院内静脉血栓栓塞症防治质量评价与管理建议（2022版）》）。系统应满足《全国肺栓塞和深静脉血栓形成防治能力建设项目信息化应用与质控管理建议》中对VTE信息系统的四级及以上技术标准，并具备向五级互联互通升级的能力。</w:t>
            </w:r>
          </w:p>
          <w:p>
            <w:pPr>
              <w:pStyle w:val="null3"/>
              <w:ind w:firstLine="422"/>
              <w:jc w:val="both"/>
            </w:pPr>
            <w:r>
              <w:rPr>
                <w:rFonts w:ascii="仿宋_GB2312" w:hAnsi="仿宋_GB2312" w:cs="仿宋_GB2312" w:eastAsia="仿宋_GB2312"/>
                <w:sz w:val="21"/>
                <w:b/>
              </w:rPr>
              <w:t>二、系统功能需求与技术参数</w:t>
            </w:r>
          </w:p>
          <w:p>
            <w:pPr>
              <w:pStyle w:val="null3"/>
              <w:ind w:firstLine="422"/>
              <w:jc w:val="both"/>
            </w:pPr>
            <w:r>
              <w:rPr>
                <w:rFonts w:ascii="仿宋_GB2312" w:hAnsi="仿宋_GB2312" w:cs="仿宋_GB2312" w:eastAsia="仿宋_GB2312"/>
                <w:sz w:val="21"/>
                <w:b/>
              </w:rPr>
              <w:t>注：系统需满足以下功能要求，</w:t>
            </w:r>
            <w:r>
              <w:rPr>
                <w:rFonts w:ascii="仿宋_GB2312" w:hAnsi="仿宋_GB2312" w:cs="仿宋_GB2312" w:eastAsia="仿宋_GB2312"/>
                <w:sz w:val="21"/>
                <w:b/>
              </w:rPr>
              <w:t>▲为重要技术参数，需提供对应系统功能截图</w:t>
            </w:r>
            <w:r>
              <w:rPr>
                <w:rFonts w:ascii="仿宋_GB2312" w:hAnsi="仿宋_GB2312" w:cs="仿宋_GB2312" w:eastAsia="仿宋_GB2312"/>
                <w:sz w:val="21"/>
                <w:b/>
              </w:rPr>
              <w:t>或相关证明资料</w:t>
            </w:r>
            <w:r>
              <w:rPr>
                <w:rFonts w:ascii="仿宋_GB2312" w:hAnsi="仿宋_GB2312" w:cs="仿宋_GB2312" w:eastAsia="仿宋_GB2312"/>
                <w:sz w:val="21"/>
                <w:b/>
              </w:rPr>
              <w:t>，并进行现场模拟软件内容</w:t>
            </w:r>
            <w:r>
              <w:rPr>
                <w:rFonts w:ascii="仿宋_GB2312" w:hAnsi="仿宋_GB2312" w:cs="仿宋_GB2312" w:eastAsia="仿宋_GB2312"/>
                <w:sz w:val="21"/>
                <w:b/>
              </w:rPr>
              <w:t>演示</w:t>
            </w:r>
            <w:r>
              <w:rPr>
                <w:rFonts w:ascii="仿宋_GB2312" w:hAnsi="仿宋_GB2312" w:cs="仿宋_GB2312" w:eastAsia="仿宋_GB2312"/>
                <w:sz w:val="21"/>
                <w:b/>
              </w:rPr>
              <w:t>，</w:t>
            </w:r>
            <w:r>
              <w:rPr>
                <w:rFonts w:ascii="仿宋_GB2312" w:hAnsi="仿宋_GB2312" w:cs="仿宋_GB2312" w:eastAsia="仿宋_GB2312"/>
                <w:sz w:val="21"/>
                <w:b/>
              </w:rPr>
              <w:t>未提供相关佐证材料或未</w:t>
            </w:r>
            <w:r>
              <w:rPr>
                <w:rFonts w:ascii="仿宋_GB2312" w:hAnsi="仿宋_GB2312" w:cs="仿宋_GB2312" w:eastAsia="仿宋_GB2312"/>
                <w:sz w:val="21"/>
                <w:b/>
              </w:rPr>
              <w:t>提供现场模拟演示视按</w:t>
            </w:r>
            <w:r>
              <w:rPr>
                <w:rFonts w:ascii="仿宋_GB2312" w:hAnsi="仿宋_GB2312" w:cs="仿宋_GB2312" w:eastAsia="仿宋_GB2312"/>
                <w:sz w:val="21"/>
                <w:b/>
              </w:rPr>
              <w:t>不满足处理</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（一）数据集成与处理</w:t>
            </w:r>
          </w:p>
          <w:p>
            <w:pPr>
              <w:pStyle w:val="null3"/>
              <w:ind w:firstLine="422"/>
              <w:jc w:val="both"/>
            </w:pPr>
            <w:r>
              <w:rPr>
                <w:rFonts w:ascii="仿宋_GB2312" w:hAnsi="仿宋_GB2312" w:cs="仿宋_GB2312" w:eastAsia="仿宋_GB2312"/>
                <w:sz w:val="21"/>
                <w:b/>
              </w:rPr>
              <w:t>1、数据集成与治理</w:t>
            </w:r>
          </w:p>
          <w:p>
            <w:pPr>
              <w:pStyle w:val="null3"/>
              <w:ind w:firstLine="420"/>
              <w:jc w:val="both"/>
            </w:pPr>
            <w:r>
              <w:rPr>
                <w:rFonts w:ascii="仿宋_GB2312" w:hAnsi="仿宋_GB2312" w:cs="仿宋_GB2312" w:eastAsia="仿宋_GB2312"/>
                <w:sz w:val="21"/>
              </w:rPr>
              <w:t>支持通过数据库复制、</w:t>
            </w:r>
            <w:r>
              <w:rPr>
                <w:rFonts w:ascii="仿宋_GB2312" w:hAnsi="仿宋_GB2312" w:cs="仿宋_GB2312" w:eastAsia="仿宋_GB2312"/>
                <w:sz w:val="21"/>
              </w:rPr>
              <w:t>ETL、视图接口等多种方式，从HIS、EMR、LIS、PACS等系统实时/准实时采集数据，并承诺对生产系统性能无显著影响。</w:t>
            </w:r>
          </w:p>
          <w:p>
            <w:pPr>
              <w:pStyle w:val="null3"/>
              <w:ind w:firstLine="420"/>
              <w:jc w:val="both"/>
            </w:pPr>
            <w:r>
              <w:rPr>
                <w:rFonts w:ascii="仿宋_GB2312" w:hAnsi="仿宋_GB2312" w:cs="仿宋_GB2312" w:eastAsia="仿宋_GB2312"/>
                <w:sz w:val="21"/>
              </w:rPr>
              <w:t>支持治理后的数据自动汇总形成</w:t>
            </w:r>
            <w:r>
              <w:rPr>
                <w:rFonts w:ascii="仿宋_GB2312" w:hAnsi="仿宋_GB2312" w:cs="仿宋_GB2312" w:eastAsia="仿宋_GB2312"/>
                <w:sz w:val="21"/>
              </w:rPr>
              <w:t>VTE数据库，供后续辅助决策，智能评估，质控统计及科研使用。</w:t>
            </w:r>
          </w:p>
          <w:p>
            <w:pPr>
              <w:pStyle w:val="null3"/>
              <w:ind w:firstLine="422"/>
              <w:jc w:val="both"/>
            </w:pPr>
            <w:r>
              <w:rPr>
                <w:rFonts w:ascii="仿宋_GB2312" w:hAnsi="仿宋_GB2312" w:cs="仿宋_GB2312" w:eastAsia="仿宋_GB2312"/>
                <w:sz w:val="21"/>
                <w:b/>
              </w:rPr>
              <w:t>2、自然语言处理</w:t>
            </w:r>
          </w:p>
          <w:p>
            <w:pPr>
              <w:pStyle w:val="null3"/>
              <w:ind w:firstLine="420"/>
              <w:jc w:val="both"/>
            </w:pPr>
            <w:r>
              <w:rPr>
                <w:rFonts w:ascii="仿宋_GB2312" w:hAnsi="仿宋_GB2312" w:cs="仿宋_GB2312" w:eastAsia="仿宋_GB2312"/>
                <w:sz w:val="21"/>
              </w:rPr>
              <w:t>具备独立的</w:t>
            </w:r>
            <w:r>
              <w:rPr>
                <w:rFonts w:ascii="仿宋_GB2312" w:hAnsi="仿宋_GB2312" w:cs="仿宋_GB2312" w:eastAsia="仿宋_GB2312"/>
                <w:sz w:val="21"/>
              </w:rPr>
              <w:t>NLP引擎，能对出院记录、入院记录、病程记录、手术记录等非结构化文本进行实时分析。</w:t>
            </w:r>
          </w:p>
          <w:p>
            <w:pPr>
              <w:pStyle w:val="null3"/>
              <w:ind w:firstLine="420"/>
              <w:jc w:val="both"/>
            </w:pPr>
            <w:r>
              <w:rPr>
                <w:rFonts w:ascii="仿宋_GB2312" w:hAnsi="仿宋_GB2312" w:cs="仿宋_GB2312" w:eastAsia="仿宋_GB2312"/>
                <w:sz w:val="21"/>
              </w:rPr>
              <w:t>后结构化能力要求：自动分段分句：能准确解析出</w:t>
            </w:r>
            <w:r>
              <w:rPr>
                <w:rFonts w:ascii="仿宋_GB2312" w:hAnsi="仿宋_GB2312" w:cs="仿宋_GB2312" w:eastAsia="仿宋_GB2312"/>
                <w:sz w:val="21"/>
              </w:rPr>
              <w:t>“入院情况”、“诊疗经过”、“出院诊断”、“出院医嘱”等段落，并对段落内长句进行切分；医学实体识别：能准确识别文本中的医学实体，包括但不限于：疾病诊断（含VTE相关）、手术操作、药品、检验指标、症状体征、体征；实体关系抽取：能识别实体间关系。</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VTE风险自动评估与动态管理</w:t>
            </w:r>
          </w:p>
          <w:p>
            <w:pPr>
              <w:pStyle w:val="null3"/>
              <w:ind w:firstLine="422"/>
              <w:jc w:val="both"/>
            </w:pPr>
            <w:r>
              <w:rPr>
                <w:rFonts w:ascii="仿宋_GB2312" w:hAnsi="仿宋_GB2312" w:cs="仿宋_GB2312" w:eastAsia="仿宋_GB2312"/>
                <w:sz w:val="21"/>
                <w:b/>
              </w:rPr>
              <w:t>1、全量表支持</w:t>
            </w:r>
          </w:p>
          <w:p>
            <w:pPr>
              <w:pStyle w:val="null3"/>
              <w:ind w:firstLine="420"/>
              <w:jc w:val="both"/>
            </w:pPr>
            <w:r>
              <w:rPr>
                <w:rFonts w:ascii="仿宋_GB2312" w:hAnsi="仿宋_GB2312" w:cs="仿宋_GB2312" w:eastAsia="仿宋_GB2312"/>
                <w:sz w:val="21"/>
              </w:rPr>
              <w:t>根据</w:t>
            </w:r>
            <w:r>
              <w:rPr>
                <w:rFonts w:ascii="仿宋_GB2312" w:hAnsi="仿宋_GB2312" w:cs="仿宋_GB2312" w:eastAsia="仿宋_GB2312"/>
                <w:sz w:val="21"/>
              </w:rPr>
              <w:t>“全国肺栓塞和深静脉血栓形成防治能力建设办公室”2021年发行的《VTE防治质量评价与管理建议（试行版）》所推荐的评估表单要求进行配置，包括：Caprini评估模型、Padua评估模型、妇产科评估（基于2020年发布《上海市产科静脉血栓栓塞症防治的专家共识》，RCOG版量表）、肿瘤科评估（基于《肿瘤患者静脉血栓防治指南 CSCO 2020》）、外科出血风险评估模型、内科出血评估模型（参考《2018-中国肺栓塞诊治与预防指南-YX14A07指南规范》）、机械预防禁忌评估模型、DVT Wells评估模型、PE 简化Wells评估模型等。</w:t>
            </w:r>
          </w:p>
          <w:p>
            <w:pPr>
              <w:pStyle w:val="null3"/>
              <w:ind w:firstLine="422"/>
              <w:jc w:val="both"/>
            </w:pPr>
            <w:r>
              <w:rPr>
                <w:rFonts w:ascii="仿宋_GB2312" w:hAnsi="仿宋_GB2312" w:cs="仿宋_GB2312" w:eastAsia="仿宋_GB2312"/>
                <w:sz w:val="21"/>
                <w:b/>
              </w:rPr>
              <w:t>2、自定义评估节点</w:t>
            </w:r>
          </w:p>
          <w:p>
            <w:pPr>
              <w:pStyle w:val="null3"/>
              <w:ind w:firstLine="420"/>
              <w:jc w:val="both"/>
            </w:pPr>
            <w:r>
              <w:rPr>
                <w:rFonts w:ascii="仿宋_GB2312" w:hAnsi="仿宋_GB2312" w:cs="仿宋_GB2312" w:eastAsia="仿宋_GB2312"/>
                <w:sz w:val="21"/>
              </w:rPr>
              <w:t>评估时间节点支持按医院需求自定义，默认节点包含：入院评分、术后评分、病情变化后、出院评分、转科后评分、其他评分、阶段小结。</w:t>
            </w:r>
          </w:p>
          <w:p>
            <w:pPr>
              <w:pStyle w:val="null3"/>
              <w:ind w:firstLine="422"/>
              <w:jc w:val="both"/>
            </w:pPr>
            <w:r>
              <w:rPr>
                <w:rFonts w:ascii="仿宋_GB2312" w:hAnsi="仿宋_GB2312" w:cs="仿宋_GB2312" w:eastAsia="仿宋_GB2312"/>
                <w:sz w:val="21"/>
                <w:b/>
              </w:rPr>
              <w:t>3、AI评估与人工交互</w:t>
            </w:r>
          </w:p>
          <w:p>
            <w:pPr>
              <w:pStyle w:val="null3"/>
              <w:ind w:firstLine="420"/>
              <w:jc w:val="both"/>
            </w:pPr>
            <w:r>
              <w:rPr>
                <w:rFonts w:ascii="仿宋_GB2312" w:hAnsi="仿宋_GB2312" w:cs="仿宋_GB2312" w:eastAsia="仿宋_GB2312"/>
                <w:sz w:val="21"/>
              </w:rPr>
              <w:t>系统提供的</w:t>
            </w:r>
            <w:r>
              <w:rPr>
                <w:rFonts w:ascii="仿宋_GB2312" w:hAnsi="仿宋_GB2312" w:cs="仿宋_GB2312" w:eastAsia="仿宋_GB2312"/>
                <w:sz w:val="21"/>
              </w:rPr>
              <w:t>AI评估结果，必须与医生手工评估界面同屏对比展示，用颜色或图标清晰标示出差异项。</w:t>
            </w:r>
          </w:p>
          <w:p>
            <w:pPr>
              <w:pStyle w:val="null3"/>
              <w:ind w:firstLine="420"/>
              <w:jc w:val="both"/>
            </w:pPr>
            <w:r>
              <w:rPr>
                <w:rFonts w:ascii="仿宋_GB2312" w:hAnsi="仿宋_GB2312" w:cs="仿宋_GB2312" w:eastAsia="仿宋_GB2312"/>
                <w:sz w:val="21"/>
              </w:rPr>
              <w:t>医生可查看</w:t>
            </w:r>
            <w:r>
              <w:rPr>
                <w:rFonts w:ascii="仿宋_GB2312" w:hAnsi="仿宋_GB2312" w:cs="仿宋_GB2312" w:eastAsia="仿宋_GB2312"/>
                <w:sz w:val="21"/>
              </w:rPr>
              <w:t>“AI判断依据”，系统以浮窗形式展示其做出每一项判断所依赖的原始数据片段（如：根据出院记录中“患者因股骨颈骨折入院”判断“创伤”风险因素；根据检验报告中“D-二聚体: 5.6 mg/L”判断“D二聚体升高”）。</w:t>
            </w:r>
          </w:p>
          <w:p>
            <w:pPr>
              <w:pStyle w:val="null3"/>
              <w:ind w:firstLine="420"/>
              <w:jc w:val="both"/>
            </w:pPr>
            <w:r>
              <w:rPr>
                <w:rFonts w:ascii="仿宋_GB2312" w:hAnsi="仿宋_GB2312" w:cs="仿宋_GB2312" w:eastAsia="仿宋_GB2312"/>
                <w:sz w:val="21"/>
              </w:rPr>
              <w:t>（三）预防措施闭环管理与质控</w:t>
            </w:r>
          </w:p>
          <w:p>
            <w:pPr>
              <w:pStyle w:val="null3"/>
              <w:ind w:firstLine="422"/>
              <w:jc w:val="both"/>
            </w:pPr>
            <w:r>
              <w:rPr>
                <w:rFonts w:ascii="仿宋_GB2312" w:hAnsi="仿宋_GB2312" w:cs="仿宋_GB2312" w:eastAsia="仿宋_GB2312"/>
                <w:sz w:val="21"/>
                <w:b/>
              </w:rPr>
              <w:t>1、智能预防推荐</w:t>
            </w:r>
          </w:p>
          <w:p>
            <w:pPr>
              <w:pStyle w:val="null3"/>
              <w:ind w:firstLine="420"/>
              <w:jc w:val="both"/>
            </w:pPr>
            <w:r>
              <w:rPr>
                <w:rFonts w:ascii="仿宋_GB2312" w:hAnsi="仿宋_GB2312" w:cs="仿宋_GB2312" w:eastAsia="仿宋_GB2312"/>
                <w:sz w:val="21"/>
              </w:rPr>
              <w:t>系统根据</w:t>
            </w:r>
            <w:r>
              <w:rPr>
                <w:rFonts w:ascii="仿宋_GB2312" w:hAnsi="仿宋_GB2312" w:cs="仿宋_GB2312" w:eastAsia="仿宋_GB2312"/>
                <w:sz w:val="21"/>
              </w:rPr>
              <w:t>VTE风险等级、出血风险等级、机械预防禁忌评估结果，自动生成分层预防方案：当患者VTE评估结果为中/高危，出血风险为低危，且无机械禁忌，系统应主动推荐医生下达药物预防或药物联合机械预防医嘱；当患者VTE评估结果为中/高危，出血风险为低危，有机械禁忌，系统应主动推荐医生下达药物预防防医嘱；当患者VTE评估结果为中/高危，出血风险为高危，且无机械禁忌，系统应主动推荐医生下达物理预防医嘱。</w:t>
            </w:r>
          </w:p>
          <w:p>
            <w:pPr>
              <w:pStyle w:val="null3"/>
              <w:ind w:firstLine="422"/>
              <w:jc w:val="both"/>
            </w:pPr>
            <w:r>
              <w:rPr>
                <w:rFonts w:ascii="仿宋_GB2312" w:hAnsi="仿宋_GB2312" w:cs="仿宋_GB2312" w:eastAsia="仿宋_GB2312"/>
                <w:sz w:val="21"/>
                <w:b/>
              </w:rPr>
              <w:t>2、三级提醒与卡控</w:t>
            </w:r>
          </w:p>
          <w:p>
            <w:pPr>
              <w:pStyle w:val="null3"/>
              <w:ind w:firstLine="420"/>
              <w:jc w:val="both"/>
            </w:pPr>
            <w:r>
              <w:rPr>
                <w:rFonts w:ascii="仿宋_GB2312" w:hAnsi="仿宋_GB2312" w:cs="仿宋_GB2312" w:eastAsia="仿宋_GB2312"/>
                <w:sz w:val="21"/>
              </w:rPr>
              <w:t>一级（提示）：在患者列表、小助手界面以图标或颜色标识。</w:t>
            </w:r>
          </w:p>
          <w:p>
            <w:pPr>
              <w:pStyle w:val="null3"/>
              <w:ind w:firstLine="420"/>
              <w:jc w:val="both"/>
            </w:pPr>
            <w:r>
              <w:rPr>
                <w:rFonts w:ascii="仿宋_GB2312" w:hAnsi="仿宋_GB2312" w:cs="仿宋_GB2312" w:eastAsia="仿宋_GB2312"/>
                <w:sz w:val="21"/>
              </w:rPr>
              <w:t>二级（弹窗提醒）：在医生开具医嘱、保存病历时主动弹出，提醒医生处理，医生可跳过。</w:t>
            </w:r>
          </w:p>
          <w:p>
            <w:pPr>
              <w:pStyle w:val="null3"/>
              <w:ind w:firstLine="420"/>
              <w:jc w:val="both"/>
            </w:pPr>
            <w:r>
              <w:rPr>
                <w:rFonts w:ascii="仿宋_GB2312" w:hAnsi="仿宋_GB2312" w:cs="仿宋_GB2312" w:eastAsia="仿宋_GB2312"/>
                <w:sz w:val="21"/>
              </w:rPr>
              <w:t>三级（强制卡控）：医生保存病历文书或者下医嘱时，强制要求医生完成评估或开具合理预防医嘱。</w:t>
            </w:r>
          </w:p>
          <w:p>
            <w:pPr>
              <w:pStyle w:val="null3"/>
              <w:ind w:firstLine="420"/>
              <w:jc w:val="both"/>
            </w:pPr>
            <w:r>
              <w:rPr>
                <w:rFonts w:ascii="仿宋_GB2312" w:hAnsi="仿宋_GB2312" w:cs="仿宋_GB2312" w:eastAsia="仿宋_GB2312"/>
                <w:sz w:val="21"/>
              </w:rPr>
              <w:t>（四）筛查与诊断辅助路径</w:t>
            </w:r>
          </w:p>
          <w:p>
            <w:pPr>
              <w:pStyle w:val="null3"/>
              <w:ind w:firstLine="422"/>
              <w:jc w:val="both"/>
            </w:pPr>
            <w:r>
              <w:rPr>
                <w:rFonts w:ascii="仿宋_GB2312" w:hAnsi="仿宋_GB2312" w:cs="仿宋_GB2312" w:eastAsia="仿宋_GB2312"/>
                <w:sz w:val="21"/>
                <w:b/>
              </w:rPr>
              <w:t>筛查路径引导：</w:t>
            </w:r>
            <w:r>
              <w:rPr>
                <w:rFonts w:ascii="仿宋_GB2312" w:hAnsi="仿宋_GB2312" w:cs="仿宋_GB2312" w:eastAsia="仿宋_GB2312"/>
                <w:sz w:val="21"/>
              </w:rPr>
              <w:t>对</w:t>
            </w:r>
            <w:r>
              <w:rPr>
                <w:rFonts w:ascii="仿宋_GB2312" w:hAnsi="仿宋_GB2312" w:cs="仿宋_GB2312" w:eastAsia="仿宋_GB2312"/>
                <w:sz w:val="21"/>
              </w:rPr>
              <w:t>VTE中高危患者，系统强制要求进行Wells评分。</w:t>
            </w:r>
          </w:p>
          <w:p>
            <w:pPr>
              <w:pStyle w:val="null3"/>
              <w:ind w:firstLine="420"/>
              <w:jc w:val="both"/>
            </w:pPr>
            <w:r>
              <w:rPr>
                <w:rFonts w:ascii="仿宋_GB2312" w:hAnsi="仿宋_GB2312" w:cs="仿宋_GB2312" w:eastAsia="仿宋_GB2312"/>
                <w:sz w:val="21"/>
              </w:rPr>
              <w:t>若</w:t>
            </w:r>
            <w:r>
              <w:rPr>
                <w:rFonts w:ascii="仿宋_GB2312" w:hAnsi="仿宋_GB2312" w:cs="仿宋_GB2312" w:eastAsia="仿宋_GB2312"/>
                <w:sz w:val="21"/>
              </w:rPr>
              <w:t>DVT-Wells评分为中危时，系统会主动推荐并提醒医生“建议D-二聚体进一步检查”;若DVT-Wells评分为高危时，系统会主动推荐并提醒医生“建议进行B超检查”。</w:t>
            </w:r>
          </w:p>
          <w:p>
            <w:pPr>
              <w:pStyle w:val="null3"/>
              <w:ind w:firstLine="420"/>
              <w:jc w:val="both"/>
            </w:pPr>
            <w:r>
              <w:rPr>
                <w:rFonts w:ascii="仿宋_GB2312" w:hAnsi="仿宋_GB2312" w:cs="仿宋_GB2312" w:eastAsia="仿宋_GB2312"/>
                <w:sz w:val="21"/>
              </w:rPr>
              <w:t>若</w:t>
            </w:r>
            <w:r>
              <w:rPr>
                <w:rFonts w:ascii="仿宋_GB2312" w:hAnsi="仿宋_GB2312" w:cs="仿宋_GB2312" w:eastAsia="仿宋_GB2312"/>
                <w:sz w:val="21"/>
              </w:rPr>
              <w:t>PE-Wells评分为高危时，系统会主动推荐并提醒医生“建议进行进一步检查”。</w:t>
            </w:r>
          </w:p>
          <w:p>
            <w:pPr>
              <w:pStyle w:val="null3"/>
              <w:ind w:firstLine="420"/>
              <w:jc w:val="both"/>
            </w:pPr>
            <w:r>
              <w:rPr>
                <w:rFonts w:ascii="仿宋_GB2312" w:hAnsi="仿宋_GB2312" w:cs="仿宋_GB2312" w:eastAsia="仿宋_GB2312"/>
                <w:sz w:val="21"/>
              </w:rPr>
              <w:t>（五）全院级质控平台与数据可视化</w:t>
            </w:r>
          </w:p>
          <w:p>
            <w:pPr>
              <w:pStyle w:val="null3"/>
              <w:ind w:firstLine="422"/>
              <w:jc w:val="both"/>
            </w:pPr>
            <w:r>
              <w:rPr>
                <w:rFonts w:ascii="仿宋_GB2312" w:hAnsi="仿宋_GB2312" w:cs="仿宋_GB2312" w:eastAsia="仿宋_GB2312"/>
                <w:sz w:val="21"/>
                <w:b/>
              </w:rPr>
              <w:t>1、多维度指标体系</w:t>
            </w:r>
          </w:p>
          <w:p>
            <w:pPr>
              <w:pStyle w:val="null3"/>
              <w:ind w:firstLine="420"/>
              <w:jc w:val="both"/>
            </w:pPr>
            <w:r>
              <w:rPr>
                <w:rFonts w:ascii="仿宋_GB2312" w:hAnsi="仿宋_GB2312" w:cs="仿宋_GB2312" w:eastAsia="仿宋_GB2312"/>
                <w:sz w:val="21"/>
              </w:rPr>
              <w:t>指标需涵盖过程指标与结局等多环节指标，并支持按全院、科室、病区、医疗组、时间（年</w:t>
            </w:r>
            <w:r>
              <w:rPr>
                <w:rFonts w:ascii="仿宋_GB2312" w:hAnsi="仿宋_GB2312" w:cs="仿宋_GB2312" w:eastAsia="仿宋_GB2312"/>
                <w:sz w:val="21"/>
              </w:rPr>
              <w:t>/季/月/日）进行多维度钻取分析。</w:t>
            </w:r>
          </w:p>
          <w:p>
            <w:pPr>
              <w:pStyle w:val="null3"/>
              <w:ind w:firstLine="420"/>
              <w:jc w:val="both"/>
            </w:pPr>
            <w:r>
              <w:rPr>
                <w:rFonts w:ascii="仿宋_GB2312" w:hAnsi="仿宋_GB2312" w:cs="仿宋_GB2312" w:eastAsia="仿宋_GB2312"/>
                <w:sz w:val="21"/>
              </w:rPr>
              <w:t>评估类指标：</w:t>
            </w:r>
            <w:r>
              <w:rPr>
                <w:rFonts w:ascii="仿宋_GB2312" w:hAnsi="仿宋_GB2312" w:cs="仿宋_GB2312" w:eastAsia="仿宋_GB2312"/>
                <w:sz w:val="21"/>
              </w:rPr>
              <w:t>VTE风险评估率、24小时及时评估率、出血风险评估率、评估确认率。</w:t>
            </w:r>
          </w:p>
          <w:p>
            <w:pPr>
              <w:pStyle w:val="null3"/>
              <w:ind w:firstLine="420"/>
              <w:jc w:val="both"/>
            </w:pPr>
            <w:r>
              <w:rPr>
                <w:rFonts w:ascii="仿宋_GB2312" w:hAnsi="仿宋_GB2312" w:cs="仿宋_GB2312" w:eastAsia="仿宋_GB2312"/>
                <w:sz w:val="21"/>
              </w:rPr>
              <w:t>预防类指标：中高危患者预防措施率、药物预防率、机械预防率、规范预防率。</w:t>
            </w:r>
          </w:p>
          <w:p>
            <w:pPr>
              <w:pStyle w:val="null3"/>
              <w:ind w:firstLine="420"/>
              <w:jc w:val="both"/>
            </w:pPr>
            <w:r>
              <w:rPr>
                <w:rFonts w:ascii="仿宋_GB2312" w:hAnsi="仿宋_GB2312" w:cs="仿宋_GB2312" w:eastAsia="仿宋_GB2312"/>
                <w:sz w:val="21"/>
              </w:rPr>
              <w:t>诊断类指标：</w:t>
            </w:r>
            <w:r>
              <w:rPr>
                <w:rFonts w:ascii="仿宋_GB2312" w:hAnsi="仿宋_GB2312" w:cs="仿宋_GB2312" w:eastAsia="仿宋_GB2312"/>
                <w:sz w:val="21"/>
              </w:rPr>
              <w:t>D-二聚体检测率、下肢静脉超声执行率、CTPA执行率。</w:t>
            </w:r>
          </w:p>
          <w:p>
            <w:pPr>
              <w:pStyle w:val="null3"/>
              <w:ind w:firstLine="420"/>
              <w:jc w:val="both"/>
            </w:pPr>
            <w:r>
              <w:rPr>
                <w:rFonts w:ascii="仿宋_GB2312" w:hAnsi="仿宋_GB2312" w:cs="仿宋_GB2312" w:eastAsia="仿宋_GB2312"/>
                <w:sz w:val="21"/>
              </w:rPr>
              <w:t>结局类指标：院内</w:t>
            </w:r>
            <w:r>
              <w:rPr>
                <w:rFonts w:ascii="仿宋_GB2312" w:hAnsi="仿宋_GB2312" w:cs="仿宋_GB2312" w:eastAsia="仿宋_GB2312"/>
                <w:sz w:val="21"/>
              </w:rPr>
              <w:t>VTE发生率（需区分院前发生与院内新发）、VTE相关死亡率、抗凝治疗出血事件发生率。</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2、根因分析</w:t>
            </w:r>
          </w:p>
          <w:p>
            <w:pPr>
              <w:pStyle w:val="null3"/>
              <w:ind w:firstLine="420"/>
              <w:jc w:val="both"/>
            </w:pPr>
            <w:r>
              <w:rPr>
                <w:rFonts w:ascii="仿宋_GB2312" w:hAnsi="仿宋_GB2312" w:cs="仿宋_GB2312" w:eastAsia="仿宋_GB2312"/>
                <w:sz w:val="21"/>
              </w:rPr>
              <w:t>风险因素分布：支持数据统计：</w:t>
            </w:r>
            <w:r>
              <w:rPr>
                <w:rFonts w:ascii="仿宋_GB2312" w:hAnsi="仿宋_GB2312" w:cs="仿宋_GB2312" w:eastAsia="仿宋_GB2312"/>
                <w:sz w:val="21"/>
              </w:rPr>
              <w:t>Caprini评分分析、Padua评分分析、产前评分分析、产后评分分析、肿瘤评分分析、出血风险评估、Caprini出血风险评估、Padua出血风险评估、产前出血风险评估、产后出血风险评估、肿瘤出血风险评估、机械预防禁忌、Wells评分分析，支持按院区、科室、病区、出院时间进行数据筛选，支持柱状图、饼状图和统计数据列表展示各风险因素的命中情况，统计数据可下载导出。</w:t>
            </w:r>
          </w:p>
          <w:p>
            <w:pPr>
              <w:pStyle w:val="null3"/>
              <w:ind w:firstLine="422"/>
              <w:jc w:val="both"/>
            </w:pPr>
            <w:r>
              <w:rPr>
                <w:rFonts w:ascii="仿宋_GB2312" w:hAnsi="仿宋_GB2312" w:cs="仿宋_GB2312" w:eastAsia="仿宋_GB2312"/>
                <w:sz w:val="21"/>
                <w:b/>
              </w:rPr>
              <w:t>3、实时数据大屏</w:t>
            </w:r>
          </w:p>
          <w:p>
            <w:pPr>
              <w:pStyle w:val="null3"/>
              <w:ind w:firstLine="420"/>
              <w:jc w:val="both"/>
            </w:pPr>
            <w:r>
              <w:rPr>
                <w:rFonts w:ascii="仿宋_GB2312" w:hAnsi="仿宋_GB2312" w:cs="仿宋_GB2312" w:eastAsia="仿宋_GB2312"/>
                <w:sz w:val="21"/>
              </w:rPr>
              <w:t>提供面向管理层的可视化大屏，动态展示：全院在院患者</w:t>
            </w:r>
            <w:r>
              <w:rPr>
                <w:rFonts w:ascii="仿宋_GB2312" w:hAnsi="仿宋_GB2312" w:cs="仿宋_GB2312" w:eastAsia="仿宋_GB2312"/>
                <w:sz w:val="21"/>
              </w:rPr>
              <w:t>VTE风险分布（低、中、高危饼图）；各科室评估率、预防率排行榜；今日预警信息：24小时未评估患者、中高危未预防患者列表。</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4、数据上报</w:t>
            </w:r>
          </w:p>
          <w:p>
            <w:pPr>
              <w:pStyle w:val="null3"/>
              <w:ind w:firstLine="420"/>
              <w:jc w:val="both"/>
            </w:pPr>
            <w:r>
              <w:rPr>
                <w:rFonts w:ascii="仿宋_GB2312" w:hAnsi="仿宋_GB2312" w:cs="仿宋_GB2312" w:eastAsia="仿宋_GB2312"/>
                <w:sz w:val="21"/>
              </w:rPr>
              <w:t>支持对医院等级评审、</w:t>
            </w:r>
            <w:r>
              <w:rPr>
                <w:rFonts w:ascii="仿宋_GB2312" w:hAnsi="仿宋_GB2312" w:cs="仿宋_GB2312" w:eastAsia="仿宋_GB2312"/>
                <w:sz w:val="21"/>
              </w:rPr>
              <w:t>NCIS、</w:t>
            </w:r>
            <w:r>
              <w:rPr>
                <w:rFonts w:ascii="仿宋_GB2312" w:hAnsi="仿宋_GB2312" w:cs="仿宋_GB2312" w:eastAsia="仿宋_GB2312"/>
                <w:sz w:val="21"/>
              </w:rPr>
              <w:t>国家</w:t>
            </w:r>
            <w:r>
              <w:rPr>
                <w:rFonts w:ascii="仿宋_GB2312" w:hAnsi="仿宋_GB2312" w:cs="仿宋_GB2312" w:eastAsia="仿宋_GB2312"/>
                <w:sz w:val="21"/>
              </w:rPr>
              <w:t>VTE</w:t>
            </w:r>
            <w:r>
              <w:rPr>
                <w:rFonts w:ascii="仿宋_GB2312" w:hAnsi="仿宋_GB2312" w:cs="仿宋_GB2312" w:eastAsia="仿宋_GB2312"/>
                <w:sz w:val="21"/>
              </w:rPr>
              <w:t>防治</w:t>
            </w:r>
            <w:r>
              <w:rPr>
                <w:rFonts w:ascii="仿宋_GB2312" w:hAnsi="仿宋_GB2312" w:cs="仿宋_GB2312" w:eastAsia="仿宋_GB2312"/>
                <w:sz w:val="21"/>
              </w:rPr>
              <w:t>项目办公室、</w:t>
            </w:r>
            <w:r>
              <w:rPr>
                <w:rFonts w:ascii="仿宋_GB2312" w:hAnsi="仿宋_GB2312" w:cs="仿宋_GB2312" w:eastAsia="仿宋_GB2312"/>
                <w:sz w:val="21"/>
              </w:rPr>
              <w:t>VTE不良事件、VTE死亡事件中所有VTE相关数据的汇总、导出、上报。</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5、患者数据库</w:t>
            </w:r>
          </w:p>
          <w:p>
            <w:pPr>
              <w:pStyle w:val="null3"/>
              <w:ind w:firstLine="420"/>
              <w:jc w:val="both"/>
            </w:pPr>
            <w:r>
              <w:rPr>
                <w:rFonts w:ascii="仿宋_GB2312" w:hAnsi="仿宋_GB2312" w:cs="仿宋_GB2312" w:eastAsia="仿宋_GB2312"/>
                <w:sz w:val="21"/>
              </w:rPr>
              <w:t>支持以全息图（多维曲线）和时间轴的形式查看患者详情，展示患者</w:t>
            </w:r>
            <w:r>
              <w:rPr>
                <w:rFonts w:ascii="仿宋_GB2312" w:hAnsi="仿宋_GB2312" w:cs="仿宋_GB2312" w:eastAsia="仿宋_GB2312"/>
                <w:sz w:val="21"/>
              </w:rPr>
              <w:t>VTE防治全过程，其中包含数据曲线：住院进程、VTE风险评估、出血风险评估、机械预防禁忌、基础预防、药物预防、机械预防、超声检查、D-二聚体、静脉超声、肺动脉造影、介入、手术。支持显示或者关闭具体某个数据曲线，支持拖动底部操作条，拉伸或缩短时间轴。</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6、质量改进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1）评分质量</w:t>
            </w:r>
          </w:p>
          <w:p>
            <w:pPr>
              <w:pStyle w:val="null3"/>
              <w:ind w:firstLine="420"/>
              <w:jc w:val="both"/>
            </w:pPr>
            <w:r>
              <w:rPr>
                <w:rFonts w:ascii="仿宋_GB2312" w:hAnsi="仿宋_GB2312" w:cs="仿宋_GB2312" w:eastAsia="仿宋_GB2312"/>
                <w:sz w:val="21"/>
              </w:rPr>
              <w:t>支持数据统计在院未评分、出院未评分、出血未评分、评分未确认，支持按科室、病区、医疗组、入院时间、出院时间进行数据筛选，支持柱状图和统计数据列表展示，柱状图数据以统计比率展示，统计数据可下载导出，页面展示统计比率计算公式，支持查看原始数据、以及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2）预防质量</w:t>
            </w:r>
          </w:p>
          <w:p>
            <w:pPr>
              <w:pStyle w:val="null3"/>
              <w:ind w:firstLine="420"/>
              <w:jc w:val="both"/>
            </w:pPr>
            <w:r>
              <w:rPr>
                <w:rFonts w:ascii="仿宋_GB2312" w:hAnsi="仿宋_GB2312" w:cs="仿宋_GB2312" w:eastAsia="仿宋_GB2312"/>
                <w:sz w:val="21"/>
              </w:rPr>
              <w:t>支持数据统计在院和出院：未基础预防、中高危未预防（除基础预防）、未药物预防、未机械预防、未机械预防（有出血风险）、不合理预防、不合理药物预防、不合理机械预防、疑难患者，支持多种数据维度统计：科室、医疗组，支持按科室、病区、医疗组、入院时间进行数据筛选，支持柱状图和统计数据列表展示，柱状图数据以统计比率展示，统计数据可下载导出，页面展示统计比率计算公式，支持查看原始数据、以及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3）随访质量</w:t>
            </w:r>
          </w:p>
          <w:p>
            <w:pPr>
              <w:pStyle w:val="null3"/>
              <w:ind w:firstLine="420"/>
              <w:jc w:val="both"/>
            </w:pPr>
            <w:r>
              <w:rPr>
                <w:rFonts w:ascii="仿宋_GB2312" w:hAnsi="仿宋_GB2312" w:cs="仿宋_GB2312" w:eastAsia="仿宋_GB2312"/>
                <w:sz w:val="21"/>
              </w:rPr>
              <w:t>支持数据统计：未完成全周期随访率、</w:t>
            </w:r>
            <w:r>
              <w:rPr>
                <w:rFonts w:ascii="仿宋_GB2312" w:hAnsi="仿宋_GB2312" w:cs="仿宋_GB2312" w:eastAsia="仿宋_GB2312"/>
                <w:sz w:val="21"/>
              </w:rPr>
              <w:t>90天内未进行随访率、无效随访率，支持多种数据维度统计：全院、科室、病区、医疗组等，支持按院区、科室、病区、医疗组、出院时间进行数据筛选，支持柱状图和统计数据列表展示，柱状图数据可切换为统计比率吃或者具体数据，统计数据和柱状图可下载导出，页面展示统计比率计算公式，支持查看原始数据、以及导出。</w:t>
            </w:r>
          </w:p>
          <w:p>
            <w:pPr>
              <w:pStyle w:val="null3"/>
              <w:ind w:firstLine="420"/>
              <w:jc w:val="both"/>
            </w:pPr>
            <w:r>
              <w:rPr>
                <w:rFonts w:ascii="仿宋_GB2312" w:hAnsi="仿宋_GB2312" w:cs="仿宋_GB2312" w:eastAsia="仿宋_GB2312"/>
                <w:sz w:val="21"/>
              </w:rPr>
              <w:t>（六）患者全周期随访管理</w:t>
            </w:r>
          </w:p>
          <w:p>
            <w:pPr>
              <w:pStyle w:val="null3"/>
              <w:ind w:firstLine="422"/>
              <w:jc w:val="both"/>
            </w:pPr>
            <w:r>
              <w:rPr>
                <w:rFonts w:ascii="仿宋_GB2312" w:hAnsi="仿宋_GB2312" w:cs="仿宋_GB2312" w:eastAsia="仿宋_GB2312"/>
                <w:sz w:val="21"/>
                <w:b/>
              </w:rPr>
              <w:t>1、自动任务生成</w:t>
            </w:r>
          </w:p>
          <w:p>
            <w:pPr>
              <w:pStyle w:val="null3"/>
              <w:ind w:firstLine="420"/>
              <w:jc w:val="both"/>
            </w:pPr>
            <w:r>
              <w:rPr>
                <w:rFonts w:ascii="仿宋_GB2312" w:hAnsi="仿宋_GB2312" w:cs="仿宋_GB2312" w:eastAsia="仿宋_GB2312"/>
                <w:sz w:val="21"/>
              </w:rPr>
              <w:t>系统根据患者出院时的</w:t>
            </w:r>
            <w:r>
              <w:rPr>
                <w:rFonts w:ascii="仿宋_GB2312" w:hAnsi="仿宋_GB2312" w:cs="仿宋_GB2312" w:eastAsia="仿宋_GB2312"/>
                <w:sz w:val="21"/>
              </w:rPr>
              <w:t>VTE状态（确诊或高危），自动生成出院后30天、60天、90天的随访任务。</w:t>
            </w:r>
          </w:p>
          <w:p>
            <w:pPr>
              <w:pStyle w:val="null3"/>
              <w:ind w:firstLine="422"/>
              <w:jc w:val="both"/>
            </w:pPr>
            <w:r>
              <w:rPr>
                <w:rFonts w:ascii="仿宋_GB2312" w:hAnsi="仿宋_GB2312" w:cs="仿宋_GB2312" w:eastAsia="仿宋_GB2312"/>
                <w:sz w:val="21"/>
                <w:b/>
              </w:rPr>
              <w:t>2、随访执行与记录</w:t>
            </w:r>
          </w:p>
          <w:p>
            <w:pPr>
              <w:pStyle w:val="null3"/>
              <w:ind w:firstLine="420"/>
              <w:jc w:val="both"/>
            </w:pPr>
            <w:r>
              <w:rPr>
                <w:rFonts w:ascii="仿宋_GB2312" w:hAnsi="仿宋_GB2312" w:cs="仿宋_GB2312" w:eastAsia="仿宋_GB2312"/>
                <w:sz w:val="21"/>
              </w:rPr>
              <w:t>提供标准化随访表单，内容涵盖症状询问、用药情况、</w:t>
            </w:r>
            <w:r>
              <w:rPr>
                <w:rFonts w:ascii="仿宋_GB2312" w:hAnsi="仿宋_GB2312" w:cs="仿宋_GB2312" w:eastAsia="仿宋_GB2312"/>
                <w:sz w:val="21"/>
              </w:rPr>
              <w:t>INR值监测（若适用）、出血事件记录等。</w:t>
            </w:r>
          </w:p>
          <w:p>
            <w:pPr>
              <w:pStyle w:val="null3"/>
              <w:ind w:firstLine="420"/>
              <w:jc w:val="both"/>
            </w:pPr>
            <w:r>
              <w:rPr>
                <w:rFonts w:ascii="仿宋_GB2312" w:hAnsi="仿宋_GB2312" w:cs="仿宋_GB2312" w:eastAsia="仿宋_GB2312"/>
                <w:sz w:val="21"/>
              </w:rPr>
              <w:t>支持设置单次随访最短时间，以防止敷衍了事的随访行为。</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rPr>
              <w:t>（七）机械预防执行管理</w:t>
            </w:r>
          </w:p>
          <w:p>
            <w:pPr>
              <w:pStyle w:val="null3"/>
              <w:ind w:firstLine="420"/>
              <w:jc w:val="both"/>
            </w:pPr>
            <w:r>
              <w:rPr>
                <w:rFonts w:ascii="仿宋_GB2312" w:hAnsi="仿宋_GB2312" w:cs="仿宋_GB2312" w:eastAsia="仿宋_GB2312"/>
                <w:sz w:val="21"/>
              </w:rPr>
              <w:t>1、系统自动执行医嘱匹配，发现有机械泵预防相关医嘱后，系统根据医嘱描述生成相关预防任务，并提醒护士执行。</w:t>
            </w:r>
          </w:p>
          <w:p>
            <w:pPr>
              <w:pStyle w:val="null3"/>
              <w:ind w:firstLine="420"/>
              <w:jc w:val="both"/>
            </w:pPr>
            <w:r>
              <w:rPr>
                <w:rFonts w:ascii="仿宋_GB2312" w:hAnsi="仿宋_GB2312" w:cs="仿宋_GB2312" w:eastAsia="仿宋_GB2312"/>
                <w:sz w:val="21"/>
              </w:rPr>
              <w:t>2、机械泵开机后根据归属科室等信息，自动同步后台预防任务。</w:t>
            </w:r>
          </w:p>
          <w:p>
            <w:pPr>
              <w:pStyle w:val="null3"/>
              <w:ind w:firstLine="420"/>
              <w:jc w:val="both"/>
            </w:pPr>
            <w:r>
              <w:rPr>
                <w:rFonts w:ascii="仿宋_GB2312" w:hAnsi="仿宋_GB2312" w:cs="仿宋_GB2312" w:eastAsia="仿宋_GB2312"/>
                <w:sz w:val="21"/>
              </w:rPr>
              <w:t>3、在机械泵任务列表选择任务一键执行，根据实时医嘱自动调节机器参数。同时医护人员对特殊患者可手动调节参数：执行压力值、充放气间隔、执行时长等。</w:t>
            </w:r>
          </w:p>
          <w:p>
            <w:pPr>
              <w:pStyle w:val="null3"/>
              <w:ind w:firstLine="420"/>
              <w:jc w:val="both"/>
            </w:pPr>
            <w:r>
              <w:rPr>
                <w:rFonts w:ascii="仿宋_GB2312" w:hAnsi="仿宋_GB2312" w:cs="仿宋_GB2312" w:eastAsia="仿宋_GB2312"/>
                <w:sz w:val="21"/>
              </w:rPr>
              <w:t>4、后台展示待执行、执行中、已完成的任务列表，用于监控气压预防医嘱执行状态，可查看患者历史执行记录等详细信息。</w:t>
            </w:r>
          </w:p>
          <w:p>
            <w:pPr>
              <w:pStyle w:val="null3"/>
              <w:ind w:firstLine="420"/>
              <w:jc w:val="both"/>
            </w:pPr>
            <w:r>
              <w:rPr>
                <w:rFonts w:ascii="仿宋_GB2312" w:hAnsi="仿宋_GB2312" w:cs="仿宋_GB2312" w:eastAsia="仿宋_GB2312"/>
                <w:sz w:val="21"/>
              </w:rPr>
              <w:t>5、对患者信息、执行开始时间、执行结束时间、执行设备编号、执行内容、执行时患者快照等信息进行统计展示。</w:t>
            </w:r>
          </w:p>
          <w:p>
            <w:pPr>
              <w:pStyle w:val="null3"/>
              <w:ind w:firstLine="420"/>
              <w:jc w:val="both"/>
            </w:pPr>
            <w:r>
              <w:rPr>
                <w:rFonts w:ascii="仿宋_GB2312" w:hAnsi="仿宋_GB2312" w:cs="仿宋_GB2312" w:eastAsia="仿宋_GB2312"/>
                <w:sz w:val="21"/>
              </w:rPr>
              <w:t>6、对设备日均使用时长、单次预防人均等待时长、单次预防人均使用时长、医嘱下达规范率、医嘱执行规范率等进行统计及可视化展示。</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rPr>
              <w:t>（八）医护端小助手</w:t>
            </w:r>
          </w:p>
          <w:p>
            <w:pPr>
              <w:pStyle w:val="null3"/>
              <w:ind w:firstLine="422"/>
              <w:jc w:val="both"/>
            </w:pPr>
            <w:r>
              <w:rPr>
                <w:rFonts w:ascii="仿宋_GB2312" w:hAnsi="仿宋_GB2312" w:cs="仿宋_GB2312" w:eastAsia="仿宋_GB2312"/>
                <w:sz w:val="21"/>
                <w:b/>
              </w:rPr>
              <w:t>1、医生、护士所在科室或病区在院患者</w:t>
            </w:r>
          </w:p>
          <w:p>
            <w:pPr>
              <w:pStyle w:val="null3"/>
              <w:ind w:firstLine="420"/>
              <w:jc w:val="both"/>
            </w:pPr>
            <w:r>
              <w:rPr>
                <w:rFonts w:ascii="仿宋_GB2312" w:hAnsi="仿宋_GB2312" w:cs="仿宋_GB2312" w:eastAsia="仿宋_GB2312"/>
                <w:sz w:val="21"/>
              </w:rPr>
              <w:t>支持列表显示患者</w:t>
            </w:r>
            <w:r>
              <w:rPr>
                <w:rFonts w:ascii="仿宋_GB2312" w:hAnsi="仿宋_GB2312" w:cs="仿宋_GB2312" w:eastAsia="仿宋_GB2312"/>
                <w:sz w:val="21"/>
              </w:rPr>
              <w:t>VTE风险等级以标签形式显示，同时以红、黄、绿作为颜色区分，支持列表显示患者基本信息：床号、姓名、性别、年龄、住院号，支持列表显示患者D-二聚体升高警示，支持列表显示患者当前执行的预防措施，如患者有相关预防禁忌，执行的措施会显示为红色作为警示，支持列表显示患者患者预防禁忌图标，支持列表图标鼠标焦点释意。</w:t>
            </w:r>
          </w:p>
          <w:p>
            <w:pPr>
              <w:pStyle w:val="null3"/>
              <w:ind w:firstLine="420"/>
              <w:jc w:val="both"/>
            </w:pPr>
            <w:r>
              <w:rPr>
                <w:rFonts w:ascii="仿宋_GB2312" w:hAnsi="仿宋_GB2312" w:cs="仿宋_GB2312" w:eastAsia="仿宋_GB2312"/>
                <w:sz w:val="21"/>
              </w:rPr>
              <w:t>支持显示选中患者的部分诊疗信息：最新的评分信息、最新的</w:t>
            </w:r>
            <w:r>
              <w:rPr>
                <w:rFonts w:ascii="仿宋_GB2312" w:hAnsi="仿宋_GB2312" w:cs="仿宋_GB2312" w:eastAsia="仿宋_GB2312"/>
                <w:sz w:val="21"/>
              </w:rPr>
              <w:t>D-二聚体检验信息、最新的DVT影像报告、最新的PE影像报告、最新的VTE相关医嘱、最新的出血事件记录，支持点击“查看详情”跳转到后台患者评分记录页面，支持点击“创建评分”跳转到新建评分页面，支持以床号、姓名、住院号进行患者查找，支持气泡提醒评分未确认条数。</w:t>
            </w:r>
          </w:p>
          <w:p>
            <w:pPr>
              <w:pStyle w:val="null3"/>
              <w:ind w:firstLine="422"/>
              <w:jc w:val="both"/>
            </w:pPr>
            <w:r>
              <w:rPr>
                <w:rFonts w:ascii="仿宋_GB2312" w:hAnsi="仿宋_GB2312" w:cs="仿宋_GB2312" w:eastAsia="仿宋_GB2312"/>
                <w:sz w:val="21"/>
                <w:b/>
              </w:rPr>
              <w:t>2、医生、护士所在科室或病区评分未确认患者</w:t>
            </w:r>
          </w:p>
          <w:p>
            <w:pPr>
              <w:pStyle w:val="null3"/>
              <w:ind w:firstLine="420"/>
              <w:jc w:val="both"/>
            </w:pPr>
            <w:r>
              <w:rPr>
                <w:rFonts w:ascii="仿宋_GB2312" w:hAnsi="仿宋_GB2312" w:cs="仿宋_GB2312" w:eastAsia="仿宋_GB2312"/>
                <w:sz w:val="21"/>
              </w:rPr>
              <w:t>支持列表显示未确认评分的患者信息：床号、姓名、性别、年龄、住院号、未确认评分的信息来源，支持点击</w:t>
            </w:r>
            <w:r>
              <w:rPr>
                <w:rFonts w:ascii="仿宋_GB2312" w:hAnsi="仿宋_GB2312" w:cs="仿宋_GB2312" w:eastAsia="仿宋_GB2312"/>
                <w:sz w:val="21"/>
              </w:rPr>
              <w:t>“点击确认”跳转评分详情，支持以床号、姓名、住院号进行患者查找。</w:t>
            </w:r>
          </w:p>
          <w:p>
            <w:pPr>
              <w:pStyle w:val="null3"/>
              <w:ind w:firstLine="422"/>
              <w:jc w:val="both"/>
            </w:pPr>
            <w:r>
              <w:rPr>
                <w:rFonts w:ascii="仿宋_GB2312" w:hAnsi="仿宋_GB2312" w:cs="仿宋_GB2312" w:eastAsia="仿宋_GB2312"/>
                <w:sz w:val="21"/>
                <w:b/>
              </w:rPr>
              <w:t>3、医生、护士所在科室或病区72小时内出院患者</w:t>
            </w:r>
          </w:p>
          <w:p>
            <w:pPr>
              <w:pStyle w:val="null3"/>
            </w:pPr>
            <w:r>
              <w:rPr>
                <w:rFonts w:ascii="仿宋_GB2312" w:hAnsi="仿宋_GB2312" w:cs="仿宋_GB2312" w:eastAsia="仿宋_GB2312"/>
                <w:sz w:val="21"/>
              </w:rPr>
              <w:t>支持列表显示患者基本信息：姓名、性别、年龄、住院号、出院时间，支持点击患者查看详情，跳转评分记录页面，支持点击患者创建评分，跳转新建评分页面，支持以床号、姓名、住院号进行患者查找。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1、本项目投标报价应包括供应商完成本项目所需的一切费用包括全部接口费用。 2、“▲”技术参数通过腾讯会议进行现场模拟软件内容演示，演示时长不超过20分钟。腾讯会议邀请码于开标现场解密后由代理公司电话通知各投标供应商，请各投标供应商提前准备腾讯会议插件并保持电话畅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自合同签订后90个日历日内完成系统的实施、上线、安装及调试服务。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项目验收需根据招标文件以及合同的需求进行验收。系统验收之前，提供包括系统安装手册、数据结构手册、用户使用手册、系统维护手册等在内的完备准确的技术资料，以供验收。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验收满一年后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本项目所有涉及的软件维护期不低于3年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 一般资格要求.docx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一、评审内容 根据各投标人所投系统功能(性能)及配置、对采购文件各项技术参数及配置要求的逐项响应情况评定，供应商所投产品技术参数及配置要求均满足采购需求的得满分16分，其中“▲”标注参数为重要技术参数。二、评审依据 （带“▲”的技术参数一项不满足扣2分，其他技术参数一项不满足扣1分。扣完为止） 注：带“▲”的技术参数须按照要求提供佐证材料和演示，未提供相关佐证材料或未提供现场模拟演示视按不满足处理。）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一、评审标准：①服务内容分析及理解；②总体服务计划；③重难点分析；④项目实施安全管理措施；⑤信息保密措施。 二、评审依据 各项内容全面详细、阐述条理清晰，能有效保障本项目实施的得20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一、供应商针对本项目提出具体的服务保障措施，内容包含：①项目管理方案；②项目进度控制方案；③质量控制方案；④质量保证措施。 二、评审依据 各项内容全面详细、阐述条理清晰，能有效保障本项目实施的得16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一、供应商针对本项目提出具体的应急预案，内容包含：①特殊紧急情况时限响应方案；②有特殊的应急服务方案及处理补救措施。 二、评审依据 各项内容全面详细、阐述条理清晰，能有效保障本项目实施的得6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针对本项目的人员配备方案。包括但不限于：①人员配备清单；②岗位分工；③配备人员资质证书；④人员管理制度等。二、评审依据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针对本项目提供详细的售后服务方案。包括但不限于：①售后服务计划；②售后服务措施；③故障修复时间；④售后人员安排等。 二、评审依据 各项内容全面详细、阐述条理清晰、能有效保障本项目实施的得8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针对本项目提供合理的培训方案。包括但不限于：①培训内容；②培训方式；③培训计划安排；④培训人员安排等。二、评审依据 各项内容全面详细、阐述条理清晰，能有效保障本项目实施的得8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以合同的形式提供投标人2023年1月1日至今同类业绩，每提供一份得1分，满分4分； 评审标准：提供完整合同复印件。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详见附件：服务保障措施.docx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