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版本号：ZBY202600120260224001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秦岭生态环境保护“多长合一”综合监管（一期）技术服务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ZBY2026001</w:t>
      </w:r>
      <w:r>
        <w:br/>
      </w:r>
      <w:r>
        <w:br/>
      </w:r>
      <w:r>
        <w:br/>
      </w:r>
    </w:p>
    <w:p>
      <w:pPr>
        <w:pStyle w:val="null3"/>
        <w:jc w:val="center"/>
        <w:outlineLvl w:val="2"/>
      </w:pPr>
      <w:r>
        <w:rPr>
          <w:rFonts w:ascii="仿宋_GB2312" w:hAnsi="仿宋_GB2312" w:cs="仿宋_GB2312" w:eastAsia="仿宋_GB2312"/>
          <w:sz w:val="28"/>
          <w:b/>
        </w:rPr>
        <w:t>汉中市生态环境局留坝分局</w:t>
      </w:r>
    </w:p>
    <w:p>
      <w:pPr>
        <w:pStyle w:val="null3"/>
        <w:jc w:val="center"/>
        <w:outlineLvl w:val="2"/>
      </w:pPr>
      <w:r>
        <w:rPr>
          <w:rFonts w:ascii="仿宋_GB2312" w:hAnsi="仿宋_GB2312" w:cs="仿宋_GB2312" w:eastAsia="仿宋_GB2312"/>
          <w:sz w:val="28"/>
          <w:b/>
        </w:rPr>
        <w:t>西安中保研招标有限公司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西安中保研招标有限公司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汉中市生态环境局留坝分局</w:t>
      </w:r>
      <w:r>
        <w:rPr>
          <w:rFonts w:ascii="仿宋_GB2312" w:hAnsi="仿宋_GB2312" w:cs="仿宋_GB2312" w:eastAsia="仿宋_GB2312"/>
        </w:rPr>
        <w:t>委托，拟对</w:t>
      </w:r>
      <w:r>
        <w:rPr>
          <w:rFonts w:ascii="仿宋_GB2312" w:hAnsi="仿宋_GB2312" w:cs="仿宋_GB2312" w:eastAsia="仿宋_GB2312"/>
        </w:rPr>
        <w:t>秦岭生态环境保护“多长合一”综合监管（一期）技术服务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ZBY2026001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秦岭生态环境保护“多长合一”综合监管（一期）技术服务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采购人要求，为采购人提供秦岭生态环境保护“多长合一”综合监管（一期）技术服务，服务内容包括应用系统建设和平台运行环境建设等内容。要求服务标准满足国家及行业验收标准。详见磋商文件第三章磋商项目技术、服务、商务及其他要求，具体要求以磋商文件全部内容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1、主体资格：供应商应具有独立承担民事责任能力的法人、其他组织或自然人；提供有效存续的证明文件。</w:t>
      </w:r>
    </w:p>
    <w:p>
      <w:pPr>
        <w:pStyle w:val="null3"/>
      </w:pPr>
      <w:r>
        <w:rPr>
          <w:rFonts w:ascii="仿宋_GB2312" w:hAnsi="仿宋_GB2312" w:cs="仿宋_GB2312" w:eastAsia="仿宋_GB2312"/>
        </w:rPr>
        <w:t>2、汉中市政府采购供应商资格承诺函：供应商应按照汉中市财政局《关于全面推行政府采购供应商基本资格条件承诺制的通知》（汉采办采管〔2024〕20号）文件要求，提供加盖供应商公章的《汉中市政府采购供应商资格承诺函》。</w:t>
      </w:r>
    </w:p>
    <w:p>
      <w:pPr>
        <w:pStyle w:val="null3"/>
      </w:pPr>
      <w:r>
        <w:rPr>
          <w:rFonts w:ascii="仿宋_GB2312" w:hAnsi="仿宋_GB2312" w:cs="仿宋_GB2312" w:eastAsia="仿宋_GB2312"/>
        </w:rPr>
        <w:t>3、关联关系：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pStyle w:val="null3"/>
      </w:pPr>
      <w:r>
        <w:rPr>
          <w:rFonts w:ascii="仿宋_GB2312" w:hAnsi="仿宋_GB2312" w:cs="仿宋_GB2312" w:eastAsia="仿宋_GB2312"/>
        </w:rPr>
        <w:t>4、授权代表：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提供法定代表人授权书及授权代表合法有效的身份证扫描件；</w:t>
      </w:r>
    </w:p>
    <w:p>
      <w:pPr>
        <w:pStyle w:val="null3"/>
      </w:pPr>
      <w:r>
        <w:rPr>
          <w:rFonts w:ascii="仿宋_GB2312" w:hAnsi="仿宋_GB2312" w:cs="仿宋_GB2312" w:eastAsia="仿宋_GB2312"/>
        </w:rPr>
        <w:t>5、是否接受联合体投标：本项目不接受联合体投标。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汉中市生态环境局留坝分局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汉中市留坝县司法路6号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0916－3928628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西安中保研招标有限公司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陕西省西安市新城区金花新都汇写字楼A座7楼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杨丹、李创、朱小翠、孙桐、聂俊丽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13772150019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按成交金额作为收费的计算基数，收取标准参照国家计委颁发的《招标代理服务收费管理暂行办法》（计价格[2002]1980号）和国家发展改革委员会办公厅颁发的《关于招标代理服务收费有关问题的通知》（发改办价格[2003] 857号）的收费标准收取。 注：招标代理服务费在缴付时需备注xxxx项目简称招标代理服务费。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汉中市生态环境局留坝分局</w:t>
      </w:r>
      <w:r>
        <w:rPr>
          <w:rFonts w:ascii="仿宋_GB2312" w:hAnsi="仿宋_GB2312" w:cs="仿宋_GB2312" w:eastAsia="仿宋_GB2312"/>
        </w:rPr>
        <w:t>和</w:t>
      </w:r>
      <w:r>
        <w:rPr>
          <w:rFonts w:ascii="仿宋_GB2312" w:hAnsi="仿宋_GB2312" w:cs="仿宋_GB2312" w:eastAsia="仿宋_GB2312"/>
        </w:rPr>
        <w:t>西安中保研招标有限公司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汉中市生态环境局留坝分局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西安中保研招标有限公司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汉中市生态环境局留坝分局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西安中保研招标有限公司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西安中保研招标有限公司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西安中保研招标有限公司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西安中保研招标有限公司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联系人：复核办公室</w:t>
      </w:r>
    </w:p>
    <w:p>
      <w:pPr>
        <w:pStyle w:val="null3"/>
      </w:pPr>
      <w:r>
        <w:rPr>
          <w:rFonts w:ascii="仿宋_GB2312" w:hAnsi="仿宋_GB2312" w:cs="仿宋_GB2312" w:eastAsia="仿宋_GB2312"/>
        </w:rPr>
        <w:t>联系电话：13772150019</w:t>
      </w:r>
    </w:p>
    <w:p>
      <w:pPr>
        <w:pStyle w:val="null3"/>
      </w:pPr>
      <w:r>
        <w:rPr>
          <w:rFonts w:ascii="仿宋_GB2312" w:hAnsi="仿宋_GB2312" w:cs="仿宋_GB2312" w:eastAsia="仿宋_GB2312"/>
        </w:rPr>
        <w:t>地址：陕西省西安市新城区金花新都汇写字楼A座7楼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采购人要求，为采购人提供秦岭生态环境保护“多长合一”综合监管（一期）技术服务，服务内容包括应用系统建设和平台运行环境建设等内容。要求服务标准满足国家及行业验收标准。详见磋商文件第三章磋商项目技术、服务、商务及其他要求，具体要求以磋商文件全部内容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秦岭生态环境保护多长合一综合监管（一期）技术服务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标的名称：秦岭生态环境保护多长合一综合监管（一期）技术服务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一、项目概况</w:t>
            </w:r>
            <w:r>
              <w:br/>
            </w:r>
            <w:r>
              <w:rPr>
                <w:rFonts w:ascii="仿宋_GB2312" w:hAnsi="仿宋_GB2312" w:cs="仿宋_GB2312" w:eastAsia="仿宋_GB2312"/>
                <w:sz w:val="24"/>
              </w:rPr>
              <w:t xml:space="preserve">   根据采购人要求，为采购人提供秦岭生态环境保护“多长合一”综合监管（一期）技术服务，服务内容包括：应用系统建设和平台运行环境建设。</w:t>
            </w:r>
          </w:p>
          <w:p>
            <w:pPr>
              <w:pStyle w:val="null3"/>
            </w:pPr>
            <w:r>
              <w:rPr>
                <w:rFonts w:ascii="仿宋_GB2312" w:hAnsi="仿宋_GB2312" w:cs="仿宋_GB2312" w:eastAsia="仿宋_GB2312"/>
                <w:sz w:val="24"/>
              </w:rPr>
              <w:t>二、服务内容及要求</w:t>
            </w:r>
          </w:p>
          <w:p>
            <w:pPr>
              <w:pStyle w:val="null3"/>
            </w:pPr>
            <w:r>
              <w:rPr>
                <w:rFonts w:ascii="仿宋_GB2312" w:hAnsi="仿宋_GB2312" w:cs="仿宋_GB2312" w:eastAsia="仿宋_GB2312"/>
                <w:sz w:val="24"/>
              </w:rPr>
              <w:t>（一）应用系统建设</w:t>
            </w:r>
          </w:p>
          <w:tbl>
            <w:tblPr>
              <w:tblInd w:type="dxa" w:w="90"/>
              <w:tblBorders>
                <w:top w:val="none" w:color="000000" w:sz="4"/>
                <w:left w:val="none" w:color="000000" w:sz="4"/>
                <w:bottom w:val="none" w:color="000000" w:sz="4"/>
                <w:right w:val="none" w:color="000000" w:sz="4"/>
                <w:insideH w:val="none"/>
                <w:insideV w:val="none"/>
              </w:tblBorders>
            </w:tblPr>
            <w:tblGrid>
              <w:gridCol w:w="0"/>
              <w:gridCol w:w="293"/>
              <w:gridCol w:w="498"/>
              <w:gridCol w:w="1766"/>
              <w:gridCol w:w="298"/>
              <w:gridCol w:w="325"/>
            </w:tblGrid>
            <w:tr>
              <w:tc>
                <w:tcPr>
                  <w:tcW w:type="dxa" w:w="293"/>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9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功能模块</w:t>
                  </w:r>
                </w:p>
              </w:tc>
              <w:tc>
                <w:tcPr>
                  <w:tcW w:type="dxa" w:w="176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技术规格要求</w:t>
                  </w:r>
                </w:p>
              </w:tc>
              <w:tc>
                <w:tcPr>
                  <w:tcW w:type="dxa" w:w="29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32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93"/>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49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一张图数据管理与项目审查子系统</w:t>
                  </w:r>
                </w:p>
              </w:tc>
              <w:tc>
                <w:tcPr>
                  <w:tcW w:type="dxa" w:w="1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（1）自然资源一张图</w:t>
                  </w:r>
                  <w:r>
                    <w:br/>
                  </w:r>
                  <w:r>
                    <w:rPr>
                      <w:rFonts w:ascii="仿宋_GB2312" w:hAnsi="仿宋_GB2312" w:cs="仿宋_GB2312" w:eastAsia="仿宋_GB2312"/>
                      <w:sz w:val="24"/>
                    </w:rPr>
                    <w:t xml:space="preserve"> 基于统一数据库，构建实景三维地图底座，实现数据的整合管理、可视化表达和应用分析。主要功能包括三维一张图底座、数据管理和空间分析等。</w:t>
                  </w:r>
                </w:p>
              </w:tc>
              <w:tc>
                <w:tcPr>
                  <w:tcW w:type="dxa" w:w="2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项</w:t>
                  </w:r>
                </w:p>
              </w:tc>
              <w:tc>
                <w:tcPr>
                  <w:tcW w:type="dxa" w:w="3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r>
            <w:tr>
              <w:tc>
                <w:tcPr>
                  <w:tcW w:type="dxa" w:w="293"/>
                  <w:gridSpan w:val="2"/>
                  <w:vMerge/>
                  <w:tcBorders>
                    <w:top w:val="none" w:color="000000" w:sz="4"/>
                    <w:left w:val="single" w:color="000000" w:sz="4"/>
                    <w:bottom w:val="single" w:color="000000" w:sz="4"/>
                    <w:right w:val="single" w:color="000000" w:sz="4"/>
                  </w:tcBorders>
                </w:tcPr>
                <w:p/>
              </w:tc>
              <w:tc>
                <w:tcPr>
                  <w:tcW w:type="dxa" w:w="498"/>
                  <w:vMerge/>
                  <w:tcBorders>
                    <w:top w:val="none" w:color="000000" w:sz="4"/>
                    <w:left w:val="single" w:color="000000" w:sz="4"/>
                    <w:bottom w:val="single" w:color="000000" w:sz="4"/>
                    <w:right w:val="single" w:color="000000" w:sz="4"/>
                  </w:tcBorders>
                </w:tcPr>
                <w:p/>
              </w:tc>
              <w:tc>
                <w:tcPr>
                  <w:tcW w:type="dxa" w:w="1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（2）项目合规性分析</w:t>
                  </w:r>
                  <w:r>
                    <w:br/>
                  </w:r>
                  <w:r>
                    <w:rPr>
                      <w:rFonts w:ascii="仿宋_GB2312" w:hAnsi="仿宋_GB2312" w:cs="仿宋_GB2312" w:eastAsia="仿宋_GB2312"/>
                      <w:sz w:val="24"/>
                    </w:rPr>
                    <w:t xml:space="preserve"> 实现项目合规性分析功能，如在用地报批项目申报时，根据保护区数据、规划数据对项目合规性等进行统一核验与底线管控。实现产业准入、保护单元数据套和、国土空间规划符合性研判等空间叠加分析，并根据分析内容结合政策法规知识库给出辅助决策建议。</w:t>
                  </w:r>
                </w:p>
              </w:tc>
              <w:tc>
                <w:tcPr>
                  <w:tcW w:type="dxa" w:w="2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项</w:t>
                  </w:r>
                </w:p>
              </w:tc>
              <w:tc>
                <w:tcPr>
                  <w:tcW w:type="dxa" w:w="3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r>
            <w:tr>
              <w:tc>
                <w:tcPr>
                  <w:tcW w:type="dxa" w:w="293"/>
                  <w:gridSpan w:val="2"/>
                  <w:vMerge/>
                  <w:tcBorders>
                    <w:top w:val="none" w:color="000000" w:sz="4"/>
                    <w:left w:val="single" w:color="000000" w:sz="4"/>
                    <w:bottom w:val="single" w:color="000000" w:sz="4"/>
                    <w:right w:val="single" w:color="000000" w:sz="4"/>
                  </w:tcBorders>
                </w:tcPr>
                <w:p/>
              </w:tc>
              <w:tc>
                <w:tcPr>
                  <w:tcW w:type="dxa" w:w="498"/>
                  <w:vMerge/>
                  <w:tcBorders>
                    <w:top w:val="none" w:color="000000" w:sz="4"/>
                    <w:left w:val="single" w:color="000000" w:sz="4"/>
                    <w:bottom w:val="single" w:color="000000" w:sz="4"/>
                    <w:right w:val="single" w:color="000000" w:sz="4"/>
                  </w:tcBorders>
                </w:tcPr>
                <w:p/>
              </w:tc>
              <w:tc>
                <w:tcPr>
                  <w:tcW w:type="dxa" w:w="1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（3）建设留坝县秦岭生态环境保护空间数据库，支撑开展三维场景构建、数据管理、空间分析等工作。</w:t>
                  </w:r>
                </w:p>
              </w:tc>
              <w:tc>
                <w:tcPr>
                  <w:tcW w:type="dxa" w:w="2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项</w:t>
                  </w:r>
                </w:p>
              </w:tc>
              <w:tc>
                <w:tcPr>
                  <w:tcW w:type="dxa" w:w="3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r>
            <w:tr>
              <w:tc>
                <w:tcPr>
                  <w:tcW w:type="dxa" w:w="293"/>
                  <w:gridSpan w:val="2"/>
                  <w:vMerge/>
                  <w:tcBorders>
                    <w:top w:val="none" w:color="000000" w:sz="4"/>
                    <w:left w:val="single" w:color="000000" w:sz="4"/>
                    <w:bottom w:val="single" w:color="000000" w:sz="4"/>
                    <w:right w:val="single" w:color="000000" w:sz="4"/>
                  </w:tcBorders>
                </w:tcPr>
                <w:p/>
              </w:tc>
              <w:tc>
                <w:tcPr>
                  <w:tcW w:type="dxa" w:w="498"/>
                  <w:vMerge/>
                  <w:tcBorders>
                    <w:top w:val="none" w:color="000000" w:sz="4"/>
                    <w:left w:val="single" w:color="000000" w:sz="4"/>
                    <w:bottom w:val="single" w:color="000000" w:sz="4"/>
                    <w:right w:val="single" w:color="000000" w:sz="4"/>
                  </w:tcBorders>
                </w:tcPr>
                <w:p/>
              </w:tc>
              <w:tc>
                <w:tcPr>
                  <w:tcW w:type="dxa" w:w="1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（4）知识库建设</w:t>
                  </w:r>
                  <w:r>
                    <w:br/>
                  </w:r>
                  <w:r>
                    <w:rPr>
                      <w:rFonts w:ascii="仿宋_GB2312" w:hAnsi="仿宋_GB2312" w:cs="仿宋_GB2312" w:eastAsia="仿宋_GB2312"/>
                      <w:sz w:val="24"/>
                    </w:rPr>
                    <w:t xml:space="preserve"> 政策、法规资料数据收集、整合、治理和知识库建设，支撑对项目合规性审查和辅助决策。</w:t>
                  </w:r>
                </w:p>
              </w:tc>
              <w:tc>
                <w:tcPr>
                  <w:tcW w:type="dxa" w:w="2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项</w:t>
                  </w:r>
                </w:p>
              </w:tc>
              <w:tc>
                <w:tcPr>
                  <w:tcW w:type="dxa" w:w="3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r>
            <w:tr>
              <w:tc>
                <w:tcPr>
                  <w:tcW w:type="dxa" w:w="0"/>
                </w:tcPr>
                <w:p>
                  <w:pPr>
                    <w:pStyle w:val="null3"/>
                  </w:pPr>
                </w:p>
              </w:tc>
              <w:tc>
                <w:tcPr>
                  <w:tcW w:type="dxa" w:w="2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网格巡护子系统</w:t>
                  </w:r>
                </w:p>
              </w:tc>
              <w:tc>
                <w:tcPr>
                  <w:tcW w:type="dxa" w:w="1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建设“多长合一”网格巡护系统，统一管理林业、水利、自然资源和秦岭监管各级巡护人员，实现人员统一管理，建立统一巡护模式。包括统计概况、组织管理、网格管理、巡护管理等。</w:t>
                  </w:r>
                </w:p>
              </w:tc>
              <w:tc>
                <w:tcPr>
                  <w:tcW w:type="dxa" w:w="2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项</w:t>
                  </w:r>
                </w:p>
              </w:tc>
              <w:tc>
                <w:tcPr>
                  <w:tcW w:type="dxa" w:w="3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r>
            <w:tr>
              <w:tc>
                <w:tcPr>
                  <w:tcW w:type="dxa" w:w="0"/>
                </w:tcPr>
                <w:p>
                  <w:pPr>
                    <w:pStyle w:val="null3"/>
                  </w:pPr>
                </w:p>
              </w:tc>
              <w:tc>
                <w:tcPr>
                  <w:tcW w:type="dxa" w:w="2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p>
              </w:tc>
              <w:tc>
                <w:tcPr>
                  <w:tcW w:type="dxa" w:w="4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统一监管APP</w:t>
                  </w:r>
                </w:p>
              </w:tc>
              <w:tc>
                <w:tcPr>
                  <w:tcW w:type="dxa" w:w="1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开发统一监管APP，用于网格员日常巡查、问题上报等。</w:t>
                  </w:r>
                </w:p>
              </w:tc>
              <w:tc>
                <w:tcPr>
                  <w:tcW w:type="dxa" w:w="2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项</w:t>
                  </w:r>
                </w:p>
              </w:tc>
              <w:tc>
                <w:tcPr>
                  <w:tcW w:type="dxa" w:w="3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r>
            <w:tr>
              <w:tc>
                <w:tcPr>
                  <w:tcW w:type="dxa" w:w="0"/>
                </w:tcPr>
                <w:p>
                  <w:pPr>
                    <w:pStyle w:val="null3"/>
                  </w:pPr>
                </w:p>
              </w:tc>
              <w:tc>
                <w:tcPr>
                  <w:tcW w:type="dxa" w:w="2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4</w:t>
                  </w:r>
                </w:p>
              </w:tc>
              <w:tc>
                <w:tcPr>
                  <w:tcW w:type="dxa" w:w="4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运维管理子系统</w:t>
                  </w:r>
                </w:p>
              </w:tc>
              <w:tc>
                <w:tcPr>
                  <w:tcW w:type="dxa" w:w="17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实现数据服务的管理分发、用户管理、系统配置、角色权限、字典、日志等功能。</w:t>
                  </w:r>
                </w:p>
              </w:tc>
              <w:tc>
                <w:tcPr>
                  <w:tcW w:type="dxa" w:w="2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项</w:t>
                  </w:r>
                </w:p>
              </w:tc>
              <w:tc>
                <w:tcPr>
                  <w:tcW w:type="dxa" w:w="3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r>
          </w:tbl>
          <w:p>
            <w:pPr>
              <w:pStyle w:val="null3"/>
            </w:pPr>
            <w:r>
              <w:rPr>
                <w:rFonts w:ascii="仿宋_GB2312" w:hAnsi="仿宋_GB2312" w:cs="仿宋_GB2312" w:eastAsia="仿宋_GB2312"/>
                <w:sz w:val="24"/>
              </w:rPr>
              <w:t>（二）平台运行环境建设</w:t>
            </w:r>
          </w:p>
          <w:tbl>
            <w:tblPr>
              <w:tblInd w:type="dxa" w:w="105"/>
              <w:tblBorders>
                <w:top w:val="none" w:color="000000" w:sz="4"/>
                <w:left w:val="none" w:color="000000" w:sz="4"/>
                <w:bottom w:val="none" w:color="000000" w:sz="4"/>
                <w:right w:val="none" w:color="000000" w:sz="4"/>
                <w:insideH w:val="none"/>
                <w:insideV w:val="none"/>
              </w:tblBorders>
            </w:tblPr>
            <w:tblGrid>
              <w:gridCol w:w="210"/>
              <w:gridCol w:w="563"/>
              <w:gridCol w:w="1789"/>
              <w:gridCol w:w="294"/>
              <w:gridCol w:w="321"/>
            </w:tblGrid>
            <w:tr>
              <w:tc>
                <w:tcPr>
                  <w:tcW w:type="dxa" w:w="2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功能模块</w:t>
                  </w:r>
                </w:p>
              </w:tc>
              <w:tc>
                <w:tcPr>
                  <w:tcW w:type="dxa" w:w="178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技术规格要求</w:t>
                  </w:r>
                </w:p>
              </w:tc>
              <w:tc>
                <w:tcPr>
                  <w:tcW w:type="dxa" w:w="29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32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5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高性能图形工作站</w:t>
                  </w:r>
                </w:p>
              </w:tc>
              <w:tc>
                <w:tcPr>
                  <w:tcW w:type="dxa" w:w="17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用于空间数据管理和空间数据库部署，支撑项目审查和合规性分析。主要技术参数如下：</w:t>
                  </w:r>
                  <w:r>
                    <w:br/>
                  </w:r>
                  <w:r>
                    <w:rPr>
                      <w:rFonts w:ascii="仿宋_GB2312" w:hAnsi="仿宋_GB2312" w:cs="仿宋_GB2312" w:eastAsia="仿宋_GB2312"/>
                      <w:sz w:val="24"/>
                    </w:rPr>
                    <w:t xml:space="preserve"> 处理器：≥12核；</w:t>
                  </w:r>
                  <w:r>
                    <w:br/>
                  </w:r>
                  <w:r>
                    <w:rPr>
                      <w:rFonts w:ascii="仿宋_GB2312" w:hAnsi="仿宋_GB2312" w:cs="仿宋_GB2312" w:eastAsia="仿宋_GB2312"/>
                      <w:sz w:val="24"/>
                    </w:rPr>
                    <w:t xml:space="preserve"> 内存：≥64GB;</w:t>
                  </w:r>
                  <w:r>
                    <w:br/>
                  </w:r>
                  <w:r>
                    <w:rPr>
                      <w:rFonts w:ascii="仿宋_GB2312" w:hAnsi="仿宋_GB2312" w:cs="仿宋_GB2312" w:eastAsia="仿宋_GB2312"/>
                      <w:sz w:val="24"/>
                    </w:rPr>
                    <w:t xml:space="preserve"> 显卡类型：独立显卡；</w:t>
                  </w:r>
                  <w:r>
                    <w:br/>
                  </w:r>
                  <w:r>
                    <w:rPr>
                      <w:rFonts w:ascii="仿宋_GB2312" w:hAnsi="仿宋_GB2312" w:cs="仿宋_GB2312" w:eastAsia="仿宋_GB2312"/>
                      <w:sz w:val="24"/>
                    </w:rPr>
                    <w:t xml:space="preserve"> 显存：≥16GB;</w:t>
                  </w:r>
                </w:p>
              </w:tc>
              <w:tc>
                <w:tcPr>
                  <w:tcW w:type="dxa" w:w="2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项</w:t>
                  </w:r>
                </w:p>
              </w:tc>
              <w:tc>
                <w:tcPr>
                  <w:tcW w:type="dxa" w:w="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r>
          </w:tbl>
          <w:p>
            <w:pPr>
              <w:pStyle w:val="null3"/>
            </w:pPr>
            <w:r>
              <w:rPr>
                <w:rFonts w:ascii="仿宋_GB2312" w:hAnsi="仿宋_GB2312" w:cs="仿宋_GB2312" w:eastAsia="仿宋_GB2312"/>
                <w:sz w:val="24"/>
              </w:rPr>
              <w:t>三、服务要求</w:t>
            </w:r>
          </w:p>
          <w:p>
            <w:pPr>
              <w:pStyle w:val="null3"/>
              <w:ind w:firstLine="400"/>
            </w:pPr>
            <w:r>
              <w:rPr>
                <w:rFonts w:ascii="仿宋_GB2312" w:hAnsi="仿宋_GB2312" w:cs="仿宋_GB2312" w:eastAsia="仿宋_GB2312"/>
                <w:sz w:val="24"/>
              </w:rPr>
              <w:t>1、人员要求</w:t>
            </w:r>
          </w:p>
          <w:p>
            <w:pPr>
              <w:pStyle w:val="null3"/>
              <w:ind w:firstLine="400"/>
            </w:pPr>
            <w:r>
              <w:rPr>
                <w:rFonts w:ascii="仿宋_GB2312" w:hAnsi="仿宋_GB2312" w:cs="仿宋_GB2312" w:eastAsia="仿宋_GB2312"/>
                <w:sz w:val="24"/>
              </w:rPr>
              <w:t>供应商应提供拟投入本项目团队服务人员，能够满足本项目技术服务要求，服务人员应是供应商在职人员，人员能力结构合理、职责明确。</w:t>
            </w:r>
          </w:p>
          <w:p>
            <w:pPr>
              <w:pStyle w:val="null3"/>
              <w:ind w:firstLine="400"/>
            </w:pPr>
            <w:r>
              <w:rPr>
                <w:rFonts w:ascii="仿宋_GB2312" w:hAnsi="仿宋_GB2312" w:cs="仿宋_GB2312" w:eastAsia="仿宋_GB2312"/>
                <w:sz w:val="24"/>
              </w:rPr>
              <w:t>项目负责人具有一定的技术及管理知识和经验，能很好的执行与完成本项目服务工作，项目团队人员应取得相应的专业技术资格证。</w:t>
            </w:r>
          </w:p>
          <w:p>
            <w:pPr>
              <w:pStyle w:val="null3"/>
              <w:ind w:firstLine="400"/>
            </w:pPr>
            <w:r>
              <w:rPr>
                <w:rFonts w:ascii="仿宋_GB2312" w:hAnsi="仿宋_GB2312" w:cs="仿宋_GB2312" w:eastAsia="仿宋_GB2312"/>
                <w:sz w:val="24"/>
              </w:rPr>
              <w:t>2、项目成果及要求</w:t>
            </w:r>
          </w:p>
          <w:p>
            <w:pPr>
              <w:pStyle w:val="null3"/>
              <w:ind w:firstLine="400"/>
            </w:pPr>
            <w:r>
              <w:rPr>
                <w:rFonts w:ascii="仿宋_GB2312" w:hAnsi="仿宋_GB2312" w:cs="仿宋_GB2312" w:eastAsia="仿宋_GB2312"/>
                <w:sz w:val="24"/>
              </w:rPr>
              <w:t>本项目中涉及的所有成果归采购人所有，文档成果除提交电子档外提交两套纸质档案存档。项目成果包含但不限于如下：</w:t>
            </w:r>
          </w:p>
          <w:p>
            <w:pPr>
              <w:pStyle w:val="null3"/>
              <w:ind w:firstLine="400"/>
            </w:pPr>
            <w:r>
              <w:rPr>
                <w:rFonts w:ascii="仿宋_GB2312" w:hAnsi="仿宋_GB2312" w:cs="仿宋_GB2312" w:eastAsia="仿宋_GB2312"/>
                <w:sz w:val="24"/>
              </w:rPr>
              <w:t>1）《实施方案》；</w:t>
            </w:r>
          </w:p>
          <w:p>
            <w:pPr>
              <w:pStyle w:val="null3"/>
              <w:ind w:firstLine="400"/>
            </w:pPr>
            <w:r>
              <w:rPr>
                <w:rFonts w:ascii="仿宋_GB2312" w:hAnsi="仿宋_GB2312" w:cs="仿宋_GB2312" w:eastAsia="仿宋_GB2312"/>
                <w:sz w:val="24"/>
              </w:rPr>
              <w:t>2）《需求规格说明书》；</w:t>
            </w:r>
          </w:p>
          <w:p>
            <w:pPr>
              <w:pStyle w:val="null3"/>
              <w:ind w:firstLine="400"/>
            </w:pPr>
            <w:r>
              <w:rPr>
                <w:rFonts w:ascii="仿宋_GB2312" w:hAnsi="仿宋_GB2312" w:cs="仿宋_GB2312" w:eastAsia="仿宋_GB2312"/>
                <w:sz w:val="24"/>
              </w:rPr>
              <w:t>3）《设计方案》；</w:t>
            </w:r>
          </w:p>
          <w:p>
            <w:pPr>
              <w:pStyle w:val="null3"/>
              <w:ind w:firstLine="400"/>
            </w:pPr>
            <w:r>
              <w:rPr>
                <w:rFonts w:ascii="仿宋_GB2312" w:hAnsi="仿宋_GB2312" w:cs="仿宋_GB2312" w:eastAsia="仿宋_GB2312"/>
                <w:sz w:val="24"/>
              </w:rPr>
              <w:t xml:space="preserve">4）《测试报告》； </w:t>
            </w:r>
          </w:p>
          <w:p>
            <w:pPr>
              <w:pStyle w:val="null3"/>
              <w:ind w:firstLine="400"/>
            </w:pPr>
            <w:r>
              <w:rPr>
                <w:rFonts w:ascii="仿宋_GB2312" w:hAnsi="仿宋_GB2312" w:cs="仿宋_GB2312" w:eastAsia="仿宋_GB2312"/>
                <w:sz w:val="24"/>
              </w:rPr>
              <w:t>5）《用户操作手册》；</w:t>
            </w:r>
          </w:p>
          <w:p>
            <w:pPr>
              <w:pStyle w:val="null3"/>
              <w:ind w:firstLine="400"/>
            </w:pPr>
            <w:r>
              <w:rPr>
                <w:rFonts w:ascii="仿宋_GB2312" w:hAnsi="仿宋_GB2312" w:cs="仿宋_GB2312" w:eastAsia="仿宋_GB2312"/>
                <w:sz w:val="24"/>
              </w:rPr>
              <w:t>6）《实施总结报告》；</w:t>
            </w:r>
          </w:p>
          <w:p>
            <w:pPr>
              <w:pStyle w:val="null3"/>
              <w:ind w:firstLine="400"/>
            </w:pPr>
            <w:r>
              <w:rPr>
                <w:rFonts w:ascii="仿宋_GB2312" w:hAnsi="仿宋_GB2312" w:cs="仿宋_GB2312" w:eastAsia="仿宋_GB2312"/>
                <w:sz w:val="24"/>
              </w:rPr>
              <w:t>7） 高性能图形工作站1台。</w:t>
            </w:r>
          </w:p>
          <w:p>
            <w:pPr>
              <w:pStyle w:val="null3"/>
              <w:ind w:firstLine="400"/>
            </w:pPr>
            <w:r>
              <w:rPr>
                <w:rFonts w:ascii="仿宋_GB2312" w:hAnsi="仿宋_GB2312" w:cs="仿宋_GB2312" w:eastAsia="仿宋_GB2312"/>
                <w:sz w:val="24"/>
              </w:rPr>
              <w:t xml:space="preserve">项目实施完成后，提交的成果经采购人确认后，由采购人验收。  </w:t>
            </w:r>
            <w:r>
              <w:br/>
            </w:r>
            <w:r>
              <w:rPr>
                <w:rFonts w:ascii="仿宋_GB2312" w:hAnsi="仿宋_GB2312" w:cs="仿宋_GB2312" w:eastAsia="仿宋_GB2312"/>
                <w:sz w:val="24"/>
              </w:rPr>
              <w:t xml:space="preserve">    3、运维服务要求：</w:t>
            </w:r>
          </w:p>
          <w:p>
            <w:pPr>
              <w:pStyle w:val="null3"/>
              <w:ind w:firstLine="200"/>
            </w:pPr>
            <w:r>
              <w:rPr>
                <w:rFonts w:ascii="仿宋_GB2312" w:hAnsi="仿宋_GB2312" w:cs="仿宋_GB2312" w:eastAsia="仿宋_GB2312"/>
                <w:sz w:val="24"/>
              </w:rPr>
              <w:t>（1）自系统验收合格之日起，提供一年的运维服务；</w:t>
            </w:r>
          </w:p>
          <w:p>
            <w:pPr>
              <w:pStyle w:val="null3"/>
              <w:ind w:firstLine="200"/>
            </w:pPr>
            <w:r>
              <w:rPr>
                <w:rFonts w:ascii="仿宋_GB2312" w:hAnsi="仿宋_GB2312" w:cs="仿宋_GB2312" w:eastAsia="仿宋_GB2312"/>
                <w:sz w:val="24"/>
              </w:rPr>
              <w:t>（2）服务保障基础要求：</w:t>
            </w:r>
          </w:p>
          <w:p>
            <w:pPr>
              <w:pStyle w:val="null3"/>
              <w:ind w:firstLine="400"/>
            </w:pPr>
            <w:r>
              <w:rPr>
                <w:rFonts w:ascii="仿宋_GB2312" w:hAnsi="仿宋_GB2312" w:cs="仿宋_GB2312" w:eastAsia="仿宋_GB2312"/>
                <w:sz w:val="24"/>
              </w:rPr>
              <w:t>a)提供多种形式支持服务，包含电话、电子邮件、远程连接、支持在线问题反馈等；</w:t>
            </w:r>
          </w:p>
          <w:p>
            <w:pPr>
              <w:pStyle w:val="null3"/>
              <w:ind w:firstLine="400"/>
            </w:pPr>
            <w:r>
              <w:rPr>
                <w:rFonts w:ascii="仿宋_GB2312" w:hAnsi="仿宋_GB2312" w:cs="仿宋_GB2312" w:eastAsia="仿宋_GB2312"/>
                <w:sz w:val="24"/>
              </w:rPr>
              <w:t>b)提供技术支持服务，7*24小时的服务响应，支持同城4h、异地12h响应要求，两个工作日解决问题，对于未能解决的问题和故障提供可行的升级方案；</w:t>
            </w:r>
          </w:p>
          <w:p>
            <w:pPr>
              <w:pStyle w:val="null3"/>
              <w:ind w:firstLine="400"/>
            </w:pPr>
            <w:r>
              <w:rPr>
                <w:rFonts w:ascii="仿宋_GB2312" w:hAnsi="仿宋_GB2312" w:cs="仿宋_GB2312" w:eastAsia="仿宋_GB2312"/>
                <w:sz w:val="24"/>
              </w:rPr>
              <w:t>c)提供培训材料、产品手册、培训视频等培训相关内容； 使全体人员能熟练地使用应用系统。要求提供至少1次的集中培训，培训内容包括业务操作培训和系统维护培训。</w:t>
            </w:r>
          </w:p>
          <w:p>
            <w:pPr>
              <w:pStyle w:val="null3"/>
              <w:ind w:firstLine="400"/>
            </w:pPr>
            <w:r>
              <w:rPr>
                <w:rFonts w:ascii="仿宋_GB2312" w:hAnsi="仿宋_GB2312" w:cs="仿宋_GB2312" w:eastAsia="仿宋_GB2312"/>
                <w:sz w:val="24"/>
              </w:rPr>
              <w:t>4、质量保障</w:t>
            </w:r>
          </w:p>
          <w:p>
            <w:pPr>
              <w:pStyle w:val="null3"/>
              <w:ind w:firstLine="400"/>
            </w:pPr>
            <w:r>
              <w:rPr>
                <w:rFonts w:ascii="仿宋_GB2312" w:hAnsi="仿宋_GB2312" w:cs="仿宋_GB2312" w:eastAsia="仿宋_GB2312"/>
                <w:sz w:val="24"/>
              </w:rPr>
              <w:t>供应商应建立完善的质量控制体系，确保服务过程和成果符合国家、陕西省及行业相关规定，且内容真实、准确、完整。</w:t>
            </w:r>
          </w:p>
          <w:p>
            <w:pPr>
              <w:pStyle w:val="null3"/>
            </w:pPr>
            <w:r>
              <w:rPr>
                <w:rFonts w:ascii="仿宋_GB2312" w:hAnsi="仿宋_GB2312" w:cs="仿宋_GB2312" w:eastAsia="仿宋_GB2312"/>
                <w:sz w:val="24"/>
              </w:rPr>
              <w:t>四、报价要求</w:t>
            </w:r>
          </w:p>
          <w:p>
            <w:pPr>
              <w:pStyle w:val="null3"/>
              <w:ind w:firstLine="400"/>
            </w:pPr>
            <w:r>
              <w:rPr>
                <w:rFonts w:ascii="仿宋_GB2312" w:hAnsi="仿宋_GB2312" w:cs="仿宋_GB2312" w:eastAsia="仿宋_GB2312"/>
                <w:sz w:val="24"/>
              </w:rPr>
              <w:t>供应商的响应报价应包括完成本项目服务要求和内容的全部费用，供应商对报价的准确性负责，任何漏报、错报等风险均由供应商自行承担。</w:t>
            </w:r>
          </w:p>
          <w:p>
            <w:pPr>
              <w:pStyle w:val="null3"/>
              <w:ind w:left="405"/>
            </w:pPr>
            <w:r>
              <w:rPr>
                <w:rFonts w:ascii="仿宋_GB2312" w:hAnsi="仿宋_GB2312" w:cs="仿宋_GB2312" w:eastAsia="仿宋_GB2312"/>
                <w:sz w:val="24"/>
              </w:rPr>
              <w:t>五、需要由供应商提供的设计方案、解决方案或者组织方案</w:t>
            </w:r>
            <w:r>
              <w:br/>
            </w:r>
            <w:r>
              <w:rPr>
                <w:rFonts w:ascii="仿宋_GB2312" w:hAnsi="仿宋_GB2312" w:cs="仿宋_GB2312" w:eastAsia="仿宋_GB2312"/>
                <w:sz w:val="24"/>
              </w:rPr>
              <w:t xml:space="preserve"> 1、重点难点分析及解决方案</w:t>
            </w:r>
          </w:p>
          <w:p>
            <w:pPr>
              <w:pStyle w:val="null3"/>
              <w:ind w:firstLine="400"/>
            </w:pPr>
            <w:r>
              <w:rPr>
                <w:rFonts w:ascii="仿宋_GB2312" w:hAnsi="仿宋_GB2312" w:cs="仿宋_GB2312" w:eastAsia="仿宋_GB2312"/>
                <w:sz w:val="24"/>
              </w:rPr>
              <w:t xml:space="preserve">供应商应针对本项目实际情况结合过往经验分析并指出项目实施过程中潜在的困难点、风险点，并能够给出妥善的解决方案。  </w:t>
            </w:r>
          </w:p>
          <w:p>
            <w:pPr>
              <w:pStyle w:val="null3"/>
              <w:ind w:firstLine="400"/>
            </w:pPr>
            <w:r>
              <w:rPr>
                <w:rFonts w:ascii="仿宋_GB2312" w:hAnsi="仿宋_GB2312" w:cs="仿宋_GB2312" w:eastAsia="仿宋_GB2312"/>
                <w:sz w:val="24"/>
              </w:rPr>
              <w:t>2、应急保障组织方案</w:t>
            </w:r>
          </w:p>
          <w:p>
            <w:pPr>
              <w:pStyle w:val="null3"/>
              <w:ind w:firstLine="400"/>
            </w:pPr>
            <w:r>
              <w:rPr>
                <w:rFonts w:ascii="仿宋_GB2312" w:hAnsi="仿宋_GB2312" w:cs="仿宋_GB2312" w:eastAsia="仿宋_GB2312"/>
                <w:sz w:val="24"/>
              </w:rPr>
              <w:t>供应商应制定合理可行的应急保障组织方案，通过优化组织程序，提高不可预见事件的处理效率、加强控制保障等多种手段，确保项目顺利进行。</w:t>
            </w:r>
          </w:p>
          <w:p>
            <w:pPr>
              <w:pStyle w:val="null3"/>
              <w:ind w:firstLine="400"/>
            </w:pPr>
            <w:r>
              <w:rPr>
                <w:rFonts w:ascii="仿宋_GB2312" w:hAnsi="仿宋_GB2312" w:cs="仿宋_GB2312" w:eastAsia="仿宋_GB2312"/>
                <w:sz w:val="24"/>
              </w:rPr>
              <w:t>3、保密措施解决方案</w:t>
            </w:r>
          </w:p>
          <w:p>
            <w:pPr>
              <w:pStyle w:val="null3"/>
              <w:ind w:firstLine="400"/>
            </w:pPr>
            <w:r>
              <w:rPr>
                <w:rFonts w:ascii="仿宋_GB2312" w:hAnsi="仿宋_GB2312" w:cs="仿宋_GB2312" w:eastAsia="仿宋_GB2312"/>
                <w:sz w:val="24"/>
              </w:rPr>
              <w:t>供应商应制定合理保密措施解决方案，确保项目团队对项目执行中所获知信息保密。本项目所形成的数据成果归采购人所有。未经采购人同意，供应商不得以商业目的使用该资料或者开发和生产其他产品。</w:t>
            </w:r>
          </w:p>
          <w:p>
            <w:pPr>
              <w:pStyle w:val="null3"/>
              <w:ind w:firstLine="400"/>
            </w:pPr>
            <w:r>
              <w:rPr>
                <w:rFonts w:ascii="仿宋_GB2312" w:hAnsi="仿宋_GB2312" w:cs="仿宋_GB2312" w:eastAsia="仿宋_GB2312"/>
                <w:sz w:val="24"/>
              </w:rPr>
              <w:t>4、服务承诺</w:t>
            </w:r>
          </w:p>
          <w:p>
            <w:pPr>
              <w:pStyle w:val="null3"/>
            </w:pPr>
            <w:r>
              <w:rPr>
                <w:rFonts w:ascii="仿宋_GB2312" w:hAnsi="仿宋_GB2312" w:cs="仿宋_GB2312" w:eastAsia="仿宋_GB2312"/>
                <w:sz w:val="24"/>
              </w:rPr>
              <w:t>供应商应根据本项目服务要求，针对本项目服务工作中的常见质量和服务问题进行梳理，供应商可根据自身情况对服务标准、过程管理、质量保证、人员培训、后续服务等方面作出有利于本项目开展的承诺。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1、供应商应提供满足本项目服务需求的人员配置，具体详见3.2.2服务要求。 2、服务人员在工作期间发生任何经济赔偿、劳动纠纷、法律纠纷、安全事故、疾病等等有关问题均由成交人负责处理并承担相应责任，采购人不承担连带责任。</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本项目如有配套工具采购，最终归采购人所有和保管使用。在本项目验收完成后，由成交人配合采购人完成清单交付，具体详见3.2.2服务要求。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符合国家相关标准、行业验收标准及磋商文件要求。 根据成交人提供的成果资料，由采购人自行组织验收。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合同签订后，乙方向甲方开具相应额度发票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乙方完成服务内容并通过甲方验收后，乙方向甲方提出付款申请，并向甲方开具剩余相应额度的发票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3.4.1保证金的收取与退回 1、本项目的保证金是否收取、收取金额及缴交渠道详见供应商须知前附表，其他要求如下： （1）如同时参与多个标包，分别递交。 （2）磋商保证金到账时间：响应文件提交截止时间前。 （3）供应商缴交保证金时须在支付凭据附言栏写明项目编号、标包号（如有）及用途（保证金）。 （4）保证金应当采用对公转账、支票、汇票、本票或者金融机构、担保机构出具的保函等非现金形式交纳。 2、保证金的退还 采购代理机构应当在采购活动结束后及时退还供应商的磋商保证金，但因供应商自身原因导致无法及时退还的除外。未成交供应商的磋商保证金应当在成交通知书发出后5个工作日内退还，成交供应商的磋商保证金应当在采购合同签订后5个工作日内退还。 3、有下列情形之一的，磋商保证金不予退还： （1）供应商在提交响应文件截止时间后撤回响应文件的； （2）供应商在响应文件中提供虚假材料的； （3）除因不可抗力或磋商文件认可的情形以外，成交供应商不与采购人签订合同的； （4）供应商与采购人、其他供应商或者采购代理机构恶意串通的； （5）磋商文件规定的其他情形。 3.4.2 评分标准释义 1、内容不足或存在缺陷是指：方案内容不完整或缺少关键要素；对同一问题的阐述前后矛盾；存在逻辑漏洞、科学原理错误或违背常识；不利于实现本项目采购目标等任意一种情形，包括但不限于： 关键要素缺失：对项目实施起决定性作用的关键要素有遗漏，致使方案完整性与可操作性严重不足，无法为项目开展提供充分指导，严重影响采购目标实现。 前后表述矛盾：针对关键问题或重要事项，方案不同章节、段落、条款的阐述相互冲突，破坏逻辑连贯性与准确性，严重影响方案可信度与有效性。 逻辑性、科学性或常识性错误：方案存在明显逻辑推理错误，如前提与结论脱节、论证不合理；涉及专业技术、科学原理、行业常识时，表述与公认标准、理论相悖；或者出现常识性错误，脱离实际，难以付诸实践。 不利于采购目标实现：方案未围绕本项目采购核心需求响应，在项目范围、质量标准、交付成果等关键方面，与采购预期方向和实际要求偏差过大，无法保障采购目标达成，甚至对项目实施产生负面影响。 2、内容存在部分瑕疵是指：方案内容大体上完备，具备一定的可行性，但在某些方面与项目的实际需求不符；商务技术方案的响应内容与评分标准中的评分点未能完全对应；或存在细节上的错误；不利于项目等任意一种情形，包括但不限于： 适配性问题：方案整体框架完整，主要内容可行，有实施基础，但部分细节未结合项目特定环境、资源条件、业务流程等进行针对性设计，实际应用可能出现适配问题，影响项目采购目标实现。 细节错误：方案存在数据精度不准、商务技术方案响应与评分标准未能完全对应、格式不合项目规范、文字表述有歧义或错别字等细节问题。这些虽不改变方案整体方向与可行性，但降低专业性和严谨性，对采购目标实现和高质量实施产生不利影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供应商应按照汉中市财政局《关于全面推行政府采购供应商基本资格条件承诺制的通知》（汉采办采管〔2024〕20号）文件要求，提供加盖供应商公章的《汉中市政府采购供应商资格承诺函》。</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本采购包不专门面向中小企业采购</w:t>
            </w:r>
          </w:p>
        </w:tc>
        <w:tc>
          <w:tcPr>
            <w:tcW w:type="dxa" w:w="3322"/>
          </w:tcPr>
          <w:p>
            <w:pPr>
              <w:pStyle w:val="null3"/>
            </w:pPr>
            <w:r>
              <w:rPr>
                <w:rFonts w:ascii="仿宋_GB2312" w:hAnsi="仿宋_GB2312" w:cs="仿宋_GB2312" w:eastAsia="仿宋_GB2312"/>
              </w:rPr>
              <w:t>（1）本采购包不专门面向中小企业采购。 （2）《关于在政府采购活动中查询及使用信用记录有关问题的通知》（财库〔2016〕125号）； （3）《政府采购促进中小企业发展管理办法》（财库〔2020〕46号）、《关于进一步加大政府采购支持中小企业力度的通知》（财库〔2022〕 19 号）《关于政府采购支持监狱企业发展有关问题的通知》（财库〔2014〕68号）以及《关于促进残疾人就业政府采购政策的通知》（财库〔2017〕141号）； （4）国务院办公厅《关于建立政府强制采购节能产品制度的通知》（国办发〔2007〕51号）、财政部、国家发改委、生态环境部、市场监督管理总局联合印发《关于调整优化节能产品、环境标志产品政府采购执行机制的通知》（财库〔2019〕9号） （5）《陕西省财政厅关于加快推进我省中小企业政府采购信用融资工作的通知》（陕财办采〔2020〕15 号）、陕西省财政厅关于印发《陕西省中小企业政府采购信用融资办法》（陕财办采〔2018〕23 号）； （6）如有颁布最新的政策，以最新已生效的政策为准。</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供应商应具有独立承担民事责任能力的法人、其他组织或自然人；提供有效存续的证明文件。</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供应商应按照汉中市财政局《关于全面推行政府采购供应商基本资格条件承诺制的通知》（汉采办采管〔2024〕20号）文件要求，提供加盖供应商公章的《汉中市政府采购供应商资格承诺函》。</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提供法定代表人授权书及授权代表合法有效的身份证扫描件；</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1-资格证明文件.docx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（一）根据财政部《关于推动解决政府采购异常低价问题的通知》（财库〔2026〕2号），政府采购评审中出现下列情形之一的，磋商小组应当启动异常低价响应审查程序：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2.响应报价低于通过符合性审查的次低报价供应商投标响应报价50%的，即响应报价&lt;通过符合性审查的次低报价供应商响应报价×50%；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磋商小组启动异常低价响应审查后，属于前述第1项至第4项情形的，应当要求相关供应商在评审现场合理的时间内对响应价格作出解释，通过项目电子化交易系统提交项目具体成本测算等与报价合理性相关的书面说明及必要的证明材料并加盖供应商（法定名称）电子印章，包括但不限于原材料成本、人工成本、制造费用等，给予相关供应商的合理时间为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响应供应商不能提供书面说明、证明材料，或者提供的书面说明、证明材料不能证明其报价合理性的，磋商小组应当将其作为无效响应处理。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异常低价响应审查的启动原因、审查意见报告中记录，并随和审查结果应当在评审供应商提供的相关书面说明及证明材料，以及评审委员会有关互联网浏览、查询历史一并归档。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 2-分项报价明细表.docx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按磋商文件要求方式签署、盖章</w:t>
            </w:r>
          </w:p>
        </w:tc>
        <w:tc>
          <w:tcPr>
            <w:tcW w:type="dxa" w:w="1661"/>
          </w:tcPr>
          <w:p>
            <w:pPr>
              <w:pStyle w:val="null3"/>
            </w:pPr>
            <w:r>
              <w:rPr>
                <w:rFonts w:ascii="仿宋_GB2312" w:hAnsi="仿宋_GB2312" w:cs="仿宋_GB2312" w:eastAsia="仿宋_GB2312"/>
              </w:rPr>
              <w:t>响应文件封面 4-评分细则相应的商务技术资料.docx 6-政府采购拒绝商业贿赂书.docx 中小企业声明函 残疾人福利性单位声明函 3-商务技术偏离表.docx 标的清单 报价表 1-资格证明文件.docx 2-分项报价明细表.docx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响应报价未超过磋商文件中规定的预算金额或者最高限价</w:t>
            </w:r>
          </w:p>
        </w:tc>
        <w:tc>
          <w:tcPr>
            <w:tcW w:type="dxa" w:w="1661"/>
          </w:tcPr>
          <w:p>
            <w:pPr>
              <w:pStyle w:val="null3"/>
            </w:pPr>
            <w:r>
              <w:rPr>
                <w:rFonts w:ascii="仿宋_GB2312" w:hAnsi="仿宋_GB2312" w:cs="仿宋_GB2312" w:eastAsia="仿宋_GB2312"/>
              </w:rPr>
              <w:t>标的清单 报价表 2-分项报价明细表.docx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响应文件符合磋商文件中标注 “★”的实质性条款要求</w:t>
            </w:r>
          </w:p>
        </w:tc>
        <w:tc>
          <w:tcPr>
            <w:tcW w:type="dxa" w:w="1661"/>
          </w:tcPr>
          <w:p>
            <w:pPr>
              <w:pStyle w:val="null3"/>
            </w:pPr>
            <w:r>
              <w:rPr>
                <w:rFonts w:ascii="仿宋_GB2312" w:hAnsi="仿宋_GB2312" w:cs="仿宋_GB2312" w:eastAsia="仿宋_GB2312"/>
              </w:rPr>
              <w:t>响应文件封面 4-评分细则相应的商务技术资料.docx 6-政府采购拒绝商业贿赂书.docx 中小企业声明函 残疾人福利性单位声明函 3-商务技术偏离表.docx 报价表 1-资格证明文件.docx 2-分项报价明细表.docx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根据供应商提供针对本项目实际情况提供重点难点分析及解决方案，至少应包括：①工作重点；②关键点分析；③工作难点；④服务优势；⑤合理化建议。包含但不限于上述全部内容，且方案详细，清晰有利于项目的得满分(如有缺陷或不足在此分数基础上进行扣分)，以上5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针对本项目提供周密详细的开发建设服务方案，至少应包括：①一张图数据管理与项目审查子系统建设方案；②网格巡护子系统建设方案；③统一监管APP与运维管理系统建设方案；④平台运行环境建设设施部署；⑤测试、调试上线使用方案； 包含但不限于上述全部内容，且方案详细，清晰有利于项目的得满分(如有缺陷或不足在此分数基础上进行扣分)，以上5项中： （1）每有1项缺失或内容无法满足项目需求的扣5分； （2）有1项中内容存在缺陷或不足（是指内容方案缺少关键点；对同一问题前后表述矛盾；存在逻辑漏洞、科学原理或常识错误；不利于本项目采购目标实现等任意一种情形）扣3分；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根据供应商提供针对本项目提供完整详细的项目管理方案，至少应包括：①服务质量保障措施；②进度保障措施；③应急保障组织方案；④风险防范及保密措施；包含但不限于上述全部内容，且方案详细，清晰有利于项目的得满分(如有缺陷或不足在此分数基础上进行扣分)，以上4项中： （1）每有1项缺失或内容无法满足项目需求的扣5分； （2）有1项中内容存在缺陷或不足（是指内容方案缺少关键点；对同一问题前后表述矛盾；存在逻辑漏洞、科学原理或常识错误；不利于本项目采购目标实现等任意一种情形）扣3分；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成果质量保证</w:t>
            </w:r>
          </w:p>
        </w:tc>
        <w:tc>
          <w:tcPr>
            <w:tcW w:type="dxa" w:w="2492"/>
          </w:tcPr>
          <w:p>
            <w:pPr>
              <w:pStyle w:val="null3"/>
            </w:pPr>
            <w:r>
              <w:rPr>
                <w:rFonts w:ascii="仿宋_GB2312" w:hAnsi="仿宋_GB2312" w:cs="仿宋_GB2312" w:eastAsia="仿宋_GB2312"/>
              </w:rPr>
              <w:t>根据供应商提供针对项目的成果质量保证措施，至少应包括：①质量保障措施；②质量检查措施；③质量管理体系建设及证明文件。包含但不限于上述全部内容，且方案详细，清晰有利于项目的得满分(如有缺陷或不足在此分数基础上进行扣分)，以上3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服务支持和保障方案</w:t>
            </w:r>
          </w:p>
        </w:tc>
        <w:tc>
          <w:tcPr>
            <w:tcW w:type="dxa" w:w="2492"/>
          </w:tcPr>
          <w:p>
            <w:pPr>
              <w:pStyle w:val="null3"/>
            </w:pPr>
            <w:r>
              <w:rPr>
                <w:rFonts w:ascii="仿宋_GB2312" w:hAnsi="仿宋_GB2312" w:cs="仿宋_GB2312" w:eastAsia="仿宋_GB2312"/>
              </w:rPr>
              <w:t>根据供应商提供针对项目的服务支持和保障方案，至少包含：①服务资源配置和保障方案；②响应与解决时效方案。 包含但不限于上述全部内容，且方案详细，清晰有利于项目的得满分(如有缺陷或不足在此分数基础上进行扣分)，以上2项中：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供应商提供项目团队人员配置清单或人员配置承诺函，其中团队人员： （1）具有不限专业的计算机类或测绘类高级职称人员每有1人得2分； （2）具有不限专业计算机类或测绘类中级职称人员每有1人得1分； 以上人员不可重复得分，供应商仅提供团队人员配置清单或人员配置承诺函未提供证明材料的，本项最高得1分，满分8分。 注：供应商应提供上述人员有效职称证书复印件、响应截止日前六个月内任意一个月任意类别社保缴纳证明文件，未提供或提供不全不得分。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1.承诺接受采购人对服务的考核、监督及管理，定期调研采购人对服务质量的满意度 并加以改进，确保服务工作的优质高效，得1分。 2.针对本项目服务工作中的常见质量和服务问题进行梳理，供应商可根据自身情况对服务标准、过程管理、后续服务等方面作出有利于本项目开展的承诺，每提供1条有效承诺，得0.5分，最高得1分。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供应商提供自2023年1月1日起至响应截止日期，承接的类似项目业绩，每份合格业绩计1分，满分5分； 备注：供应商需提供业绩合同证明材料（至少应包含内容关键页、签订日期与签章页、对应业绩合同任意发票复印件）相关证明文件，未提供或无法辨识的不得分。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报价采用低价优先法计算，即满足磋商文件要求且最后响应报价最低的报价为评审基准价，其价格分为满分。其他供应商的价格分统一按照下列公式计算：响应报价得分=（评审基准价/最后报价）×10。 若落实政府采购政策的，以调整后的价格参与评审。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详见附件：2-分项报价明细表.docx</w:t>
      </w:r>
    </w:p>
    <w:p>
      <w:pPr>
        <w:pStyle w:val="null3"/>
        <w:ind w:firstLine="960"/>
      </w:pPr>
      <w:r>
        <w:rPr>
          <w:rFonts w:ascii="仿宋_GB2312" w:hAnsi="仿宋_GB2312" w:cs="仿宋_GB2312" w:eastAsia="仿宋_GB2312"/>
        </w:rPr>
        <w:t>详见附件：3-商务技术偏离表.docx</w:t>
      </w:r>
    </w:p>
    <w:p>
      <w:pPr>
        <w:pStyle w:val="null3"/>
        <w:ind w:firstLine="960"/>
      </w:pPr>
      <w:r>
        <w:rPr>
          <w:rFonts w:ascii="仿宋_GB2312" w:hAnsi="仿宋_GB2312" w:cs="仿宋_GB2312" w:eastAsia="仿宋_GB2312"/>
        </w:rPr>
        <w:t>详见附件：4-评分细则相应的商务技术资料.docx</w:t>
      </w:r>
    </w:p>
    <w:p>
      <w:pPr>
        <w:pStyle w:val="null3"/>
        <w:ind w:firstLine="960"/>
      </w:pPr>
      <w:r>
        <w:rPr>
          <w:rFonts w:ascii="仿宋_GB2312" w:hAnsi="仿宋_GB2312" w:cs="仿宋_GB2312" w:eastAsia="仿宋_GB2312"/>
        </w:rPr>
        <w:t>详见附件：6-政府采购拒绝商业贿赂书.docx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详见附件：5-拟签订的合同文本.docx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