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版本号：ZJHZ-ZC2600820260224001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《汉中市旅居康养产业发展规划（2026-2030）》编制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ZJHZ-ZC26008</w:t>
      </w:r>
      <w:r>
        <w:br/>
      </w:r>
      <w:r>
        <w:br/>
      </w:r>
      <w:r>
        <w:br/>
      </w:r>
    </w:p>
    <w:p>
      <w:pPr>
        <w:pStyle w:val="null3"/>
        <w:jc w:val="center"/>
        <w:outlineLvl w:val="2"/>
      </w:pPr>
      <w:r>
        <w:rPr>
          <w:rFonts w:ascii="仿宋_GB2312" w:hAnsi="仿宋_GB2312" w:cs="仿宋_GB2312" w:eastAsia="仿宋_GB2312"/>
          <w:sz w:val="28"/>
          <w:b/>
        </w:rPr>
        <w:t>汉中市民政局</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汉中市民政局</w:t>
      </w:r>
      <w:r>
        <w:rPr>
          <w:rFonts w:ascii="仿宋_GB2312" w:hAnsi="仿宋_GB2312" w:cs="仿宋_GB2312" w:eastAsia="仿宋_GB2312"/>
        </w:rPr>
        <w:t>委托，拟对</w:t>
      </w:r>
      <w:r>
        <w:rPr>
          <w:rFonts w:ascii="仿宋_GB2312" w:hAnsi="仿宋_GB2312" w:cs="仿宋_GB2312" w:eastAsia="仿宋_GB2312"/>
        </w:rPr>
        <w:t>《汉中市旅居康养产业发展规划（2026-2030）》编制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ZJHZ-ZC26008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《汉中市旅居康养产业发展规划（2026-2030）》编制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旅居康养产业发展规划（2026-2030）》文本编制。包括产业规划编制、政策申报指导、首批试点项目策划等。《规划》编制是落实国家积极应对人口老龄化战略的具体举措，是破解养老产业发展难点，整合优势资源的现实需要，是升级养老服务，满足群众多样化需求的民生工程。通过《规划》编制，可以进一步明确我市旅居康养产业发展定位，目标任务，明确产业重点发展区域，核心项目与投资方向，为我市打造全国旅居康养示范区提供规划指引和实践路径，促进全市经济社会高质量发展。进一步明确我市旅居康养产业发展定位、目标任务，明确产业重点发展区域，核心项目与投资方向，为我市打造全国旅居康养示范区提供规划指引和实践路径，促进全市经济社会高质量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采购包1（《汉中市旅居康养产业发展规划（2026-2030）》编制）：属于专门面向中小企业采购。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2、授权委托书：供应商需提供法定代表人授权书（附法定代表人身份证复印件）及被授权人身份证复印件（法定代表人直接参加投标只须提供法定代表人身份证复印件）</w:t>
      </w:r>
    </w:p>
    <w:p>
      <w:pPr>
        <w:pStyle w:val="null3"/>
      </w:pPr>
      <w:r>
        <w:rPr>
          <w:rFonts w:ascii="仿宋_GB2312" w:hAnsi="仿宋_GB2312" w:cs="仿宋_GB2312" w:eastAsia="仿宋_GB2312"/>
        </w:rPr>
        <w:t>3、资格承诺函：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号）文件要求，提供资格承诺函，（未提供承诺函的，应当按照《中华人民共和国政府采购法》及其实施条例等相关法律法规规定提供相应的证明材料）供应商需在项目电子化交易系统中按要求上传相应证明文件并进行电子签章</w:t>
      </w:r>
    </w:p>
    <w:p>
      <w:pPr>
        <w:pStyle w:val="null3"/>
      </w:pPr>
      <w:r>
        <w:rPr>
          <w:rFonts w:ascii="仿宋_GB2312" w:hAnsi="仿宋_GB2312" w:cs="仿宋_GB2312" w:eastAsia="仿宋_GB2312"/>
        </w:rPr>
        <w:t>4、非联合体声明：本项目不接受联合体投标。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市政府五楼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18829207071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汉中市汉台区北团结街与莲湖路十字华建新城 1 号电梯2楼左侧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0916-8822133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开户名称：致君项目管理有限公司汉中分公司</w:t>
            </w:r>
          </w:p>
          <w:p>
            <w:pPr>
              <w:pStyle w:val="null3"/>
            </w:pPr>
            <w:r>
              <w:rPr>
                <w:rFonts w:ascii="仿宋_GB2312" w:hAnsi="仿宋_GB2312" w:cs="仿宋_GB2312" w:eastAsia="仿宋_GB2312"/>
              </w:rPr>
              <w:t>开户银行：工行汉中北团结街支行</w:t>
            </w:r>
          </w:p>
          <w:p>
            <w:pPr>
              <w:pStyle w:val="null3"/>
            </w:pPr>
            <w:r>
              <w:rPr>
                <w:rFonts w:ascii="仿宋_GB2312" w:hAnsi="仿宋_GB2312" w:cs="仿宋_GB2312" w:eastAsia="仿宋_GB2312"/>
              </w:rPr>
              <w:t>银行账号：2606050319200280123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 号)《招标代理服务收费管理暂行办法》和国家发展改革委办公厅（发改办价格【2003】857 号）和国家发展改革委（发改价格【2011】534 号）文件的服务类规定计取；在领取成交通知书前，须向采购代理机构一次性缴纳。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汉中市民政局</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按国家和行业验收合格标准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联系人：刘女士</w:t>
      </w:r>
    </w:p>
    <w:p>
      <w:pPr>
        <w:pStyle w:val="null3"/>
      </w:pPr>
      <w:r>
        <w:rPr>
          <w:rFonts w:ascii="仿宋_GB2312" w:hAnsi="仿宋_GB2312" w:cs="仿宋_GB2312" w:eastAsia="仿宋_GB2312"/>
        </w:rPr>
        <w:t>联系电话：0916-8822133</w:t>
      </w:r>
    </w:p>
    <w:p>
      <w:pPr>
        <w:pStyle w:val="null3"/>
      </w:pPr>
      <w:r>
        <w:rPr>
          <w:rFonts w:ascii="仿宋_GB2312" w:hAnsi="仿宋_GB2312" w:cs="仿宋_GB2312" w:eastAsia="仿宋_GB2312"/>
        </w:rPr>
        <w:t>地址：汉中市汉台区北团结街与莲湖路十字华建新城1号电梯2楼左侧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《汉中市旅居康养产业发展规划（2026-2030）》文本。包括产业规划编制、政策申报指导、首批试点项目策划等。 《规划》编制是落实国家积极应对人口老龄化战略的具体举措，是破解养老产业发展难点，整合优势资源的现实需要，是升级养老服务，满足群众多样化需求的民生工程。通过《规划》编制，可以进一步明确我市旅居康养产业发展定位，目标任务，明确产业重点发展区域，核心项目与投资方向，为我市打造全国旅居康养示范区提供规划指引和实践路径，促进全市经济社会高质量发展。进一步明确我市旅居康养产业发展定位、目标任务，明确产业重点发展区域，核心项目与投资方向，为我市打造全国旅居康养示范区提供规划指引和实践路径，促进全市经济社会高质量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400000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rPr>
              <w:t>《汉中市旅居康养产业发展规划（</w:t>
            </w:r>
            <w:r>
              <w:rPr>
                <w:rFonts w:ascii="仿宋_GB2312" w:hAnsi="仿宋_GB2312" w:cs="仿宋_GB2312" w:eastAsia="仿宋_GB2312"/>
                <w:sz w:val="32"/>
              </w:rPr>
              <w:t>2026-2030</w:t>
            </w:r>
            <w:r>
              <w:rPr>
                <w:rFonts w:ascii="仿宋_GB2312" w:hAnsi="仿宋_GB2312" w:cs="仿宋_GB2312" w:eastAsia="仿宋_GB2312"/>
                <w:sz w:val="32"/>
              </w:rPr>
              <w:t>）》文本编制。包括产业规划编制、政策申报指导、首批试点项目策划等。《</w:t>
            </w:r>
            <w:r>
              <w:rPr>
                <w:rFonts w:ascii="仿宋_GB2312" w:hAnsi="仿宋_GB2312" w:cs="仿宋_GB2312" w:eastAsia="仿宋_GB2312"/>
                <w:sz w:val="32"/>
              </w:rPr>
              <w:t>规划》编制是落实国家积极应对人口老龄化战略的具体举措，是破解养老产业发展难点，整合优势资源的现实需要，是升级养老服务，满足群众多样化需求的民生工程。通过《规划》编制，可以进一步明确我市旅居康养产业发展定位，目标任务，明确产业重点发展区域，核心项目与投资方向，为我市打造全国旅居康养示范区提供规划指引和实践路径，促进全市经济社会高质量发展。进一步明确我市旅居康养产业发展定位、目标任务，明确产业重点发展区域，核心项目与投资方向，为我市打造全国旅居康养示范区提供规划指引和实践路径，促进全市经济社会高质量发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达到国家和行业验收合格标准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甲乙双方如违反合同规定，应承担违约责任和相应的经济处罚。具体规定如下： 1、如果乙方未按国家或省、市有关技术标准、规程、规定完成任务，甲方有权要求乙方返工或解除合同，甲方解除合同的，乙方应向甲方支付违约金。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3、如乙方因个人原因造成延误的，甲方有权追偿乙方的违约责任。 （2）解决争议的方法 履行本合同时发生的争议，双方应通过友好协商解决。协商不成时，可向汉中市人民法院提起诉讼或向汉中仲裁委员会按其仲裁规则申请仲裁，在仲裁或诉讼期间，本合同应继续履行。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因本项目为不见面开标，供应商无需在开标现场提交纸质响应文件，待采购结果发布后 3 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供应商需提供法定代表人授权书（附法定代表人身份证复印件）及被授权人身份证复印件（法定代表人直接参加投标只须提供法定代表人身份证复印件）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号）文件要求，提供资格承诺函，（未提供承诺函的，应当按照《中华人民共和国政府采购法》及其实施条例等相关法律法规规定提供相应的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 章</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商务应答表 服务方案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对本项目的分析理解</w:t>
            </w:r>
          </w:p>
        </w:tc>
        <w:tc>
          <w:tcPr>
            <w:tcW w:type="dxa" w:w="2492"/>
          </w:tcPr>
          <w:p>
            <w:pPr>
              <w:pStyle w:val="null3"/>
            </w:pPr>
            <w:r>
              <w:rPr>
                <w:rFonts w:ascii="仿宋_GB2312" w:hAnsi="仿宋_GB2312" w:cs="仿宋_GB2312" w:eastAsia="仿宋_GB2312"/>
              </w:rPr>
              <w:t>根据投标供应商提供的针对本项目的分析理解，对项目理解和项目所在地区条件的认识，方案中包括但不限于：①项目的必要性分析；②发展思路及目标；③任务和要求；④对本项目重难点分析以及解决方案；⑤主要框架项目分析理解各部分内容全面详细、阐述条理清晰详尽、符合本项目采购需求得 14-20分；实施方案简单，内容不全面得计 7-13.9 分；有内容但不符合项目要求得计 1-6.9 分；没有不得分。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根据投标供应商提供的针对本项目的实施方案，方案中包括但不限于：①调查研究；②问题分析、研究；③规划及报告编制；④政策研究；⑤服 务保障措施。方案各部分内容全面详细、阐述条理清晰详尽、符合本项目采购需求得10-15分；实施方案简单，内容不全面得计5-9.9 分；有内容但不符合项目要求得计1-4.9 分；没有不得分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根据投标供应商提供的针对本项目的质量保证措施进行评审，方案中包括但不限于：①质量管理方案及制度；②质量保证措施及承诺；③质量校核流程；④处罚承诺。方案各部分内容全面详细、阐述条理清晰详尽、符合本项目采购需求得 9-12 分；实施方案简单，内容不全面得计 5-8.9 分；有内容但不符合项目要求得计 1-4.9 分；没有不得分。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工作进度计划和进度保障措施</w:t>
            </w:r>
          </w:p>
        </w:tc>
        <w:tc>
          <w:tcPr>
            <w:tcW w:type="dxa" w:w="2492"/>
          </w:tcPr>
          <w:p>
            <w:pPr>
              <w:pStyle w:val="null3"/>
            </w:pPr>
            <w:r>
              <w:rPr>
                <w:rFonts w:ascii="仿宋_GB2312" w:hAnsi="仿宋_GB2312" w:cs="仿宋_GB2312" w:eastAsia="仿宋_GB2312"/>
              </w:rPr>
              <w:t>根据投标供应商针对本项目提供的工作进度计划和进度保障措施等内容进行评审，方案中包括但不限于：①项目进度保障管理及措施；②服务响应及时程度、现场管理；③时间节点划分。方案各部分内容全面详细、阐述条理清晰详尽、符合本项目采购需求得 7-10 分；实施方案简单，内容不全面得计 4-6.9 分；有内容但不符合项目要求得计 1-3.9 分；没有不得分。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供应商需结合项目的实际制定符合本项目的合理化建议及承诺，方案中包括但不限于：①编制工作中可能遇到的问题进行预计、识别并清晰地加以阐述和分析，提出合理化建议；②承诺成果能够通过各主管部门组织的技术审查和论证。方案各部分内容全面详细、阐述条理清晰详尽、符合本项目采购需求得5-10分；有内容但不符合项目要求得计1-4.9 分；没有不得分。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根据投标供应商的保密方案，包括但不限于：①保密承诺；②保密岗位责任。方案各部分内容全面详细、阐述条理清晰详尽、符合本项目采购需求得 5-10分；有内容但不符合项目要求得计 1-4.9 分；没有不得分。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项目组成人员</w:t>
            </w:r>
          </w:p>
        </w:tc>
        <w:tc>
          <w:tcPr>
            <w:tcW w:type="dxa" w:w="2492"/>
          </w:tcPr>
          <w:p>
            <w:pPr>
              <w:pStyle w:val="null3"/>
            </w:pPr>
            <w:r>
              <w:rPr>
                <w:rFonts w:ascii="仿宋_GB2312" w:hAnsi="仿宋_GB2312" w:cs="仿宋_GB2312" w:eastAsia="仿宋_GB2312"/>
              </w:rPr>
              <w:t>配备项目组成员专业技术能力强，人员组成合理，具有相关工作经验，能全面高效地完成本项目计 4-6 分；人员配备不充足，不符合项目要求得计 1-3.9 分（须提供项目组成员相关证明材料，包括但不限于身份证、学历证、职称证等）。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满足竞争性磋商文件要求且投标价格最低的投标报价为评标基准价，其价格分为满分。其他投标供应商的价格分统一按照下列公式计算：投标报价得分=（评标基准价/投标报价） ×15%×100。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