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版本号：FHGJ-HZ-2026051号20260225001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FHGJ-HZ-2026051号</w:t>
      </w:r>
      <w:r>
        <w:br/>
      </w:r>
      <w:r>
        <w:br/>
      </w:r>
      <w:r>
        <w:br/>
      </w:r>
    </w:p>
    <w:p>
      <w:pPr>
        <w:pStyle w:val="null3"/>
        <w:jc w:val="center"/>
        <w:outlineLvl w:val="2"/>
      </w:pPr>
      <w:r>
        <w:rPr>
          <w:rFonts w:ascii="仿宋_GB2312" w:hAnsi="仿宋_GB2312" w:cs="仿宋_GB2312" w:eastAsia="仿宋_GB2312"/>
          <w:sz w:val="28"/>
          <w:b/>
        </w:rPr>
        <w:t>汉中市生态环境局留坝分局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汉中市生态环境局留坝分局</w:t>
      </w:r>
      <w:r>
        <w:rPr>
          <w:rFonts w:ascii="仿宋_GB2312" w:hAnsi="仿宋_GB2312" w:cs="仿宋_GB2312" w:eastAsia="仿宋_GB2312"/>
        </w:rPr>
        <w:t>委托，拟对</w:t>
      </w:r>
      <w:r>
        <w:rPr>
          <w:rFonts w:ascii="仿宋_GB2312" w:hAnsi="仿宋_GB2312" w:cs="仿宋_GB2312" w:eastAsia="仿宋_GB2312"/>
        </w:rPr>
        <w:t>应急物资采购项目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FHGJ-HZ-2026051号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应急物资采购项目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针对留坝县生态环境应急能力现状及实际工作需要，采购吸油索、吸油毡等一批应急物资，提升留坝县生态环境应急能力。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采购包1（汉中市生态环境局留坝分局应急物资采购项目）：属于专门面向中小企业采购。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授权代表：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p>
      <w:pPr>
        <w:pStyle w:val="null3"/>
      </w:pPr>
      <w:r>
        <w:rPr>
          <w:rFonts w:ascii="仿宋_GB2312" w:hAnsi="仿宋_GB2312" w:cs="仿宋_GB2312" w:eastAsia="仿宋_GB2312"/>
        </w:rPr>
        <w:t>2、主体资格：具有独立承担民事责任能力的法人、其他组织或自然人，并出具合法有效的营业执照或事业单位法人 证书等国家规定的相关证明，自然人参与的提供其身份证明。(提供加盖投标供应商公章的营业执照复印件)；</w:t>
      </w:r>
    </w:p>
    <w:p>
      <w:pPr>
        <w:pStyle w:val="null3"/>
      </w:pPr>
      <w:r>
        <w:rPr>
          <w:rFonts w:ascii="仿宋_GB2312" w:hAnsi="仿宋_GB2312" w:cs="仿宋_GB2312" w:eastAsia="仿宋_GB2312"/>
        </w:rPr>
        <w:t>3、投标供应商资格承诺函：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汉中市生态环境局留坝分局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汉中市留坝县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0916-3928628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汉中市汉台区兴汉路中段自强大厦东二楼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17792197572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开户名称：丰汇国际项目管理有限公司汉中分公司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银行账号：102490275472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代理服务费收费标准：按照国家计委颁发的《采购代理服务收费管理暂行办法》（计价格 [2002]1980号）、国家发展改革委员会办公厅颁发的《关于采购代理服务收费有关问题的通知》（发改办价格[2003]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汉中市生态环境局留坝分局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汉中市生态环境局留坝分局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汉中市生态环境局留坝分局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丰汇国际项目管理有限公司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联系人：陈先生</w:t>
      </w:r>
    </w:p>
    <w:p>
      <w:pPr>
        <w:pStyle w:val="null3"/>
      </w:pPr>
      <w:r>
        <w:rPr>
          <w:rFonts w:ascii="仿宋_GB2312" w:hAnsi="仿宋_GB2312" w:cs="仿宋_GB2312" w:eastAsia="仿宋_GB2312"/>
        </w:rPr>
        <w:t>联系电话：17792197572</w:t>
      </w:r>
    </w:p>
    <w:p>
      <w:pPr>
        <w:pStyle w:val="null3"/>
      </w:pPr>
      <w:r>
        <w:rPr>
          <w:rFonts w:ascii="仿宋_GB2312" w:hAnsi="仿宋_GB2312" w:cs="仿宋_GB2312" w:eastAsia="仿宋_GB2312"/>
        </w:rPr>
        <w:t>地址：汉中市汉台区兴汉路中段自强大厦东二楼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针对留坝县生态环境应急能力现状及实际工作需要，采购吸油索、吸油毡等一批应急物资，提升留坝县生态环境应急能力。</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吸油毡和吸油索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标的名称：吸油毡和吸油索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1"/>
              <w:gridCol w:w="484"/>
              <w:gridCol w:w="1045"/>
              <w:gridCol w:w="265"/>
              <w:gridCol w:w="265"/>
            </w:tblGrid>
            <w:tr>
              <w:tc>
                <w:tcPr>
                  <w:tcW w:type="dxa" w:w="251"/>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序号</w:t>
                  </w:r>
                </w:p>
              </w:tc>
              <w:tc>
                <w:tcPr>
                  <w:tcW w:type="dxa" w:w="48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应急资源名称</w:t>
                  </w:r>
                </w:p>
              </w:tc>
              <w:tc>
                <w:tcPr>
                  <w:tcW w:type="dxa" w:w="104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技术参数</w:t>
                  </w:r>
                </w:p>
              </w:tc>
              <w:tc>
                <w:tcPr>
                  <w:tcW w:type="dxa" w:w="26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b/>
                    </w:rPr>
                    <w:t>单位</w:t>
                  </w:r>
                </w:p>
              </w:tc>
              <w:tc>
                <w:tcPr>
                  <w:tcW w:type="dxa" w:w="265"/>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b/>
                    </w:rPr>
                    <w:t>数量</w:t>
                  </w:r>
                </w:p>
              </w:tc>
            </w:tr>
            <w:tr>
              <w:tc>
                <w:tcPr>
                  <w:tcW w:type="dxa" w:w="25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4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吸油索</w:t>
                  </w:r>
                </w:p>
              </w:tc>
              <w:tc>
                <w:tcPr>
                  <w:tcW w:type="dxa" w:w="10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直径</w:t>
                  </w:r>
                  <w:r>
                    <w:rPr>
                      <w:rFonts w:ascii="仿宋_GB2312" w:hAnsi="仿宋_GB2312" w:cs="仿宋_GB2312" w:eastAsia="仿宋_GB2312"/>
                      <w:sz w:val="21"/>
                    </w:rPr>
                    <w:t>≥20cm</w:t>
                  </w:r>
                </w:p>
                <w:p>
                  <w:pPr>
                    <w:pStyle w:val="null3"/>
                    <w:jc w:val="both"/>
                  </w:pPr>
                  <w:r>
                    <w:rPr>
                      <w:rFonts w:ascii="仿宋_GB2312" w:hAnsi="仿宋_GB2312" w:cs="仿宋_GB2312" w:eastAsia="仿宋_GB2312"/>
                      <w:sz w:val="21"/>
                    </w:rPr>
                    <w:t>长度</w:t>
                  </w:r>
                  <w:r>
                    <w:rPr>
                      <w:rFonts w:ascii="仿宋_GB2312" w:hAnsi="仿宋_GB2312" w:cs="仿宋_GB2312" w:eastAsia="仿宋_GB2312"/>
                      <w:sz w:val="21"/>
                    </w:rPr>
                    <w:t>≥300cm</w:t>
                  </w:r>
                </w:p>
                <w:p>
                  <w:pPr>
                    <w:pStyle w:val="null3"/>
                    <w:jc w:val="both"/>
                  </w:pPr>
                  <w:r>
                    <w:rPr>
                      <w:rFonts w:ascii="仿宋_GB2312" w:hAnsi="仿宋_GB2312" w:cs="仿宋_GB2312" w:eastAsia="仿宋_GB2312"/>
                      <w:sz w:val="21"/>
                    </w:rPr>
                    <w:t>材质：以聚丙烯为原料制成的超细纤维吸附材料</w:t>
                  </w:r>
                </w:p>
                <w:p>
                  <w:pPr>
                    <w:pStyle w:val="null3"/>
                    <w:jc w:val="both"/>
                  </w:pPr>
                  <w:r>
                    <w:rPr>
                      <w:rFonts w:ascii="仿宋_GB2312" w:hAnsi="仿宋_GB2312" w:cs="仿宋_GB2312" w:eastAsia="仿宋_GB2312"/>
                      <w:sz w:val="21"/>
                    </w:rPr>
                    <w:t>功效：可吸附拦截水面浮油，外部采用弹性网套，末端为双金属扣，吸油前后浮于水面，吸油率为自身重量的</w:t>
                  </w:r>
                  <w:r>
                    <w:rPr>
                      <w:rFonts w:ascii="仿宋_GB2312" w:hAnsi="仿宋_GB2312" w:cs="仿宋_GB2312" w:eastAsia="仿宋_GB2312"/>
                      <w:sz w:val="21"/>
                    </w:rPr>
                    <w:t>10-15倍</w:t>
                  </w:r>
                  <w:r>
                    <w:rPr>
                      <w:rFonts w:ascii="仿宋_GB2312" w:hAnsi="仿宋_GB2312" w:cs="仿宋_GB2312" w:eastAsia="仿宋_GB2312"/>
                      <w:sz w:val="21"/>
                    </w:rPr>
                    <w:t>，</w:t>
                  </w:r>
                  <w:r>
                    <w:rPr>
                      <w:rFonts w:ascii="仿宋_GB2312" w:hAnsi="仿宋_GB2312" w:cs="仿宋_GB2312" w:eastAsia="仿宋_GB2312"/>
                      <w:sz w:val="21"/>
                    </w:rPr>
                    <w:t>可重复使用。</w:t>
                  </w:r>
                </w:p>
                <w:p>
                  <w:pPr>
                    <w:pStyle w:val="null3"/>
                    <w:jc w:val="both"/>
                  </w:pPr>
                  <w:r>
                    <w:rPr>
                      <w:rFonts w:ascii="仿宋_GB2312" w:hAnsi="仿宋_GB2312" w:cs="仿宋_GB2312" w:eastAsia="仿宋_GB2312"/>
                      <w:sz w:val="21"/>
                    </w:rPr>
                    <w:t>每包</w:t>
                  </w:r>
                  <w:r>
                    <w:rPr>
                      <w:rFonts w:ascii="仿宋_GB2312" w:hAnsi="仿宋_GB2312" w:cs="仿宋_GB2312" w:eastAsia="仿宋_GB2312"/>
                      <w:sz w:val="21"/>
                    </w:rPr>
                    <w:t>≥4</w:t>
                  </w:r>
                  <w:r>
                    <w:rPr>
                      <w:rFonts w:ascii="仿宋_GB2312" w:hAnsi="仿宋_GB2312" w:cs="仿宋_GB2312" w:eastAsia="仿宋_GB2312"/>
                      <w:sz w:val="21"/>
                    </w:rPr>
                    <w:t>条</w:t>
                  </w:r>
                </w:p>
                <w:p>
                  <w:pPr>
                    <w:pStyle w:val="null3"/>
                    <w:jc w:val="both"/>
                  </w:pPr>
                  <w:r>
                    <w:rPr>
                      <w:rFonts w:ascii="仿宋_GB2312" w:hAnsi="仿宋_GB2312" w:cs="仿宋_GB2312" w:eastAsia="仿宋_GB2312"/>
                      <w:sz w:val="21"/>
                    </w:rPr>
                    <w:t>提供产品授权书，产品合格证书。</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c>
                <w:tcPr>
                  <w:tcW w:type="dxa" w:w="265"/>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rPr>
                    <w:t>135</w:t>
                  </w:r>
                </w:p>
              </w:tc>
            </w:tr>
            <w:tr>
              <w:tc>
                <w:tcPr>
                  <w:tcW w:type="dxa" w:w="25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48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吸油毡</w:t>
                  </w:r>
                </w:p>
              </w:tc>
              <w:tc>
                <w:tcPr>
                  <w:tcW w:type="dxa" w:w="104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宽度</w:t>
                  </w:r>
                  <w:r>
                    <w:rPr>
                      <w:rFonts w:ascii="仿宋_GB2312" w:hAnsi="仿宋_GB2312" w:cs="仿宋_GB2312" w:eastAsia="仿宋_GB2312"/>
                      <w:sz w:val="21"/>
                    </w:rPr>
                    <w:t>≥1m</w:t>
                  </w:r>
                </w:p>
                <w:p>
                  <w:pPr>
                    <w:pStyle w:val="null3"/>
                    <w:jc w:val="both"/>
                  </w:pPr>
                  <w:r>
                    <w:rPr>
                      <w:rFonts w:ascii="仿宋_GB2312" w:hAnsi="仿宋_GB2312" w:cs="仿宋_GB2312" w:eastAsia="仿宋_GB2312"/>
                      <w:sz w:val="21"/>
                    </w:rPr>
                    <w:t>长度</w:t>
                  </w:r>
                  <w:r>
                    <w:rPr>
                      <w:rFonts w:ascii="仿宋_GB2312" w:hAnsi="仿宋_GB2312" w:cs="仿宋_GB2312" w:eastAsia="仿宋_GB2312"/>
                      <w:sz w:val="21"/>
                    </w:rPr>
                    <w:t>≥2m</w:t>
                  </w:r>
                </w:p>
                <w:p>
                  <w:pPr>
                    <w:pStyle w:val="null3"/>
                    <w:jc w:val="both"/>
                  </w:pPr>
                  <w:r>
                    <w:rPr>
                      <w:rFonts w:ascii="仿宋_GB2312" w:hAnsi="仿宋_GB2312" w:cs="仿宋_GB2312" w:eastAsia="仿宋_GB2312"/>
                      <w:sz w:val="21"/>
                    </w:rPr>
                    <w:t>材质：</w:t>
                  </w:r>
                  <w:r>
                    <w:rPr>
                      <w:rFonts w:ascii="仿宋_GB2312" w:hAnsi="仿宋_GB2312" w:cs="仿宋_GB2312" w:eastAsia="仿宋_GB2312"/>
                      <w:sz w:val="21"/>
                    </w:rPr>
                    <w:t>PP-2型聚丙烯油毡</w:t>
                  </w:r>
                </w:p>
                <w:p>
                  <w:pPr>
                    <w:pStyle w:val="null3"/>
                    <w:jc w:val="both"/>
                  </w:pPr>
                  <w:r>
                    <w:rPr>
                      <w:rFonts w:ascii="仿宋_GB2312" w:hAnsi="仿宋_GB2312" w:cs="仿宋_GB2312" w:eastAsia="仿宋_GB2312"/>
                      <w:sz w:val="21"/>
                    </w:rPr>
                    <w:t>功效：吸油性大于自重的</w:t>
                  </w:r>
                  <w:r>
                    <w:rPr>
                      <w:rFonts w:ascii="仿宋_GB2312" w:hAnsi="仿宋_GB2312" w:cs="仿宋_GB2312" w:eastAsia="仿宋_GB2312"/>
                      <w:sz w:val="21"/>
                    </w:rPr>
                    <w:t>10倍以上，吸水性小于自身重量的10%，持油性油保持率80%以上，吸油毡可反复使用，长期保存不变质；熔点165-170℃，使用温度120℃以下。</w:t>
                  </w:r>
                </w:p>
                <w:p>
                  <w:pPr>
                    <w:pStyle w:val="null3"/>
                    <w:jc w:val="both"/>
                  </w:pPr>
                  <w:r>
                    <w:rPr>
                      <w:rFonts w:ascii="仿宋_GB2312" w:hAnsi="仿宋_GB2312" w:cs="仿宋_GB2312" w:eastAsia="仿宋_GB2312"/>
                      <w:sz w:val="21"/>
                    </w:rPr>
                    <w:t>重量</w:t>
                  </w:r>
                  <w:r>
                    <w:rPr>
                      <w:rFonts w:ascii="仿宋_GB2312" w:hAnsi="仿宋_GB2312" w:cs="仿宋_GB2312" w:eastAsia="仿宋_GB2312"/>
                      <w:sz w:val="21"/>
                    </w:rPr>
                    <w:t>≥20kg/包</w:t>
                  </w:r>
                </w:p>
                <w:p>
                  <w:pPr>
                    <w:pStyle w:val="null3"/>
                    <w:jc w:val="both"/>
                  </w:pPr>
                  <w:r>
                    <w:rPr>
                      <w:rFonts w:ascii="仿宋_GB2312" w:hAnsi="仿宋_GB2312" w:cs="仿宋_GB2312" w:eastAsia="仿宋_GB2312"/>
                      <w:sz w:val="21"/>
                    </w:rPr>
                    <w:t>提供产品授权书，产品合格证书。</w:t>
                  </w:r>
                </w:p>
              </w:tc>
              <w:tc>
                <w:tcPr>
                  <w:tcW w:type="dxa" w:w="26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包</w:t>
                  </w:r>
                </w:p>
              </w:tc>
              <w:tc>
                <w:tcPr>
                  <w:tcW w:type="dxa" w:w="265"/>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pPr>
                  <w:r>
                    <w:rPr>
                      <w:rFonts w:ascii="仿宋_GB2312" w:hAnsi="仿宋_GB2312" w:cs="仿宋_GB2312" w:eastAsia="仿宋_GB2312"/>
                      <w:sz w:val="21"/>
                    </w:rPr>
                    <w:t>150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自合同签订之日起10个日历天内完成供货及验收。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 ，按照实际供货数量</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根据最终签订的合同内容执行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法定代表人身份证明或授权委托书：法定代表人参加投标须提供《法定代表人身份证明》及身份证扫描件；法定代表人授权他人参加投标，须提供《法定代表人授权委托书》、委托代理人身份证扫描件 ；(提供加盖投标供应商公章的法定代表人身份证明原件和其身份证扫描件或法定代表人授权委托书原件及被授权人身份证扫描件)；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 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 供应商提供《汉中市政府采购供应商资格承诺函》；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电子签章</w:t>
            </w:r>
          </w:p>
        </w:tc>
        <w:tc>
          <w:tcPr>
            <w:tcW w:type="dxa" w:w="3322"/>
          </w:tcPr>
          <w:p>
            <w:pPr>
              <w:pStyle w:val="null3"/>
            </w:pPr>
            <w:r>
              <w:rPr>
                <w:rFonts w:ascii="仿宋_GB2312" w:hAnsi="仿宋_GB2312" w:cs="仿宋_GB2312" w:eastAsia="仿宋_GB2312"/>
              </w:rPr>
              <w:t>供应商应对谈判响应文件进行逐页电子签章</w:t>
            </w:r>
          </w:p>
        </w:tc>
        <w:tc>
          <w:tcPr>
            <w:tcW w:type="dxa" w:w="1661"/>
          </w:tcPr>
          <w:p>
            <w:pPr>
              <w:pStyle w:val="null3"/>
            </w:pPr>
            <w:r>
              <w:rPr>
                <w:rFonts w:ascii="仿宋_GB2312" w:hAnsi="仿宋_GB2312" w:cs="仿宋_GB2312" w:eastAsia="仿宋_GB2312"/>
              </w:rPr>
              <w:t>响应文件封面 产品技术参数表 分项报价表.docx 供应商应提交的相关资格证明材料.docx 中小企业声明函 残疾人福利性单位声明函 商务应答表 标的清单 报价表 响应函 监狱企业的证明文件 投标保证金.docx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