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版本号：YJXM2026-000220260226001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留坝县2025年生物多样性保护与可持续利用及生态修复治理项目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YJXM2026-0002</w:t>
      </w:r>
      <w:r>
        <w:br/>
      </w:r>
      <w:r>
        <w:br/>
      </w:r>
      <w:r>
        <w:br/>
      </w:r>
    </w:p>
    <w:p>
      <w:pPr>
        <w:pStyle w:val="null3"/>
        <w:jc w:val="center"/>
        <w:outlineLvl w:val="2"/>
      </w:pPr>
      <w:r>
        <w:rPr>
          <w:rFonts w:ascii="仿宋_GB2312" w:hAnsi="仿宋_GB2312" w:cs="仿宋_GB2312" w:eastAsia="仿宋_GB2312"/>
          <w:sz w:val="28"/>
          <w:b/>
        </w:rPr>
        <w:t>汉中市生态环境局留坝分局</w:t>
      </w:r>
    </w:p>
    <w:p>
      <w:pPr>
        <w:pStyle w:val="null3"/>
        <w:jc w:val="center"/>
        <w:outlineLvl w:val="2"/>
      </w:pPr>
      <w:r>
        <w:rPr>
          <w:rFonts w:ascii="仿宋_GB2312" w:hAnsi="仿宋_GB2312" w:cs="仿宋_GB2312" w:eastAsia="仿宋_GB2312"/>
          <w:sz w:val="28"/>
          <w:b/>
        </w:rPr>
        <w:t>远见项目管理（陕西）有限公司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远见项目管理（陕西）有限公司</w:t>
      </w:r>
      <w:r>
        <w:rPr>
          <w:rFonts w:ascii="仿宋_GB2312" w:hAnsi="仿宋_GB2312" w:cs="仿宋_GB2312" w:eastAsia="仿宋_GB2312"/>
        </w:rPr>
        <w:t>（以下简称“代理机构”）受</w:t>
      </w:r>
      <w:r>
        <w:rPr>
          <w:rFonts w:ascii="仿宋_GB2312" w:hAnsi="仿宋_GB2312" w:cs="仿宋_GB2312" w:eastAsia="仿宋_GB2312"/>
        </w:rPr>
        <w:t>汉中市生态环境局留坝分局</w:t>
      </w:r>
      <w:r>
        <w:rPr>
          <w:rFonts w:ascii="仿宋_GB2312" w:hAnsi="仿宋_GB2312" w:cs="仿宋_GB2312" w:eastAsia="仿宋_GB2312"/>
        </w:rPr>
        <w:t>委托，拟对</w:t>
      </w:r>
      <w:r>
        <w:rPr>
          <w:rFonts w:ascii="仿宋_GB2312" w:hAnsi="仿宋_GB2312" w:cs="仿宋_GB2312" w:eastAsia="仿宋_GB2312"/>
        </w:rPr>
        <w:t>留坝县2025年生物多样性保护与可持续利用及生态修复治理项目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YJXM2026-0002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留坝县2025年生物多样性保护与可持续利用及生态修复治理项目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留坝县2025年生物多样性保护与可持续利用及生态修复治理项目，主要包括生物多样性监测体系建设与生物遗传资源保护两方面内容，项目的实施是落实国家、陕西省及汉中市生物多样性保护相关政策的重要手段和具体措施，也是创新践行“绿水青山就是金山银山”重要理念的重要途径。</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参加投标须提供《法定代表人身份证明》及身份证复印件；法定代表人授权他人参加投标，须提供《法定代表人授权委托书》及委托代理人身份证复印件。（提供加盖投标供应商公章的法定代表人身份证明原件和其身份证复印件或法定代表人授权委托书原件及被授权人身份证复印件）；</w:t>
      </w:r>
    </w:p>
    <w:p>
      <w:pPr>
        <w:pStyle w:val="null3"/>
      </w:pPr>
      <w:r>
        <w:rPr>
          <w:rFonts w:ascii="仿宋_GB2312" w:hAnsi="仿宋_GB2312" w:cs="仿宋_GB2312" w:eastAsia="仿宋_GB2312"/>
        </w:rPr>
        <w:t>3、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)；（供应商应按照汉中市财政局《关于全面推行政府采购供应商基本资格条件承诺制的通知》（汉采办采管〔2024〕20号）文件要求，需提供加盖公章的《汉中市政府采购供应商资格承诺函》）；</w:t>
      </w:r>
    </w:p>
    <w:p>
      <w:pPr>
        <w:pStyle w:val="null3"/>
      </w:pPr>
      <w:r>
        <w:rPr>
          <w:rFonts w:ascii="仿宋_GB2312" w:hAnsi="仿宋_GB2312" w:cs="仿宋_GB2312" w:eastAsia="仿宋_GB2312"/>
        </w:rPr>
        <w:t>4、非联合体投标声明：本项目不接受联合体投标（须提供声明函）。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汉中市生态环境局留坝分局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汉中市留坝县司法路6号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0916-3928628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远见项目管理（陕西）有限公司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陕西省西安市未央区欧亚大道欧亚国际B座1302</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029-81703089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开户名称：远见项目管理（陕西）有限公司</w:t>
            </w:r>
          </w:p>
          <w:p>
            <w:pPr>
              <w:pStyle w:val="null3"/>
            </w:pPr>
            <w:r>
              <w:rPr>
                <w:rFonts w:ascii="仿宋_GB2312" w:hAnsi="仿宋_GB2312" w:cs="仿宋_GB2312" w:eastAsia="仿宋_GB2312"/>
              </w:rPr>
              <w:t>开户银行：兴业银行股份有限公司西安分行营业部</w:t>
            </w:r>
          </w:p>
          <w:p>
            <w:pPr>
              <w:pStyle w:val="null3"/>
            </w:pPr>
            <w:r>
              <w:rPr>
                <w:rFonts w:ascii="仿宋_GB2312" w:hAnsi="仿宋_GB2312" w:cs="仿宋_GB2312" w:eastAsia="仿宋_GB2312"/>
              </w:rPr>
              <w:t>银行账号：456010100101147232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说明：在签订合同前供应商应按签约合同价的3%缴纳履约保证金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代理服务费收费标准：参照国家计委计价格[2002]1980号及发改办价格[2003]857号通知规定，由中标人支付代理服务费。 代理服务费缴纳账号： 账户名称：远见项目管理（陕西）有限公司 开户行：兴业银行股份有限公司西安分行营业部 银行账号：456010100101147232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汉中市生态环境局留坝分局</w:t>
      </w:r>
      <w:r>
        <w:rPr>
          <w:rFonts w:ascii="仿宋_GB2312" w:hAnsi="仿宋_GB2312" w:cs="仿宋_GB2312" w:eastAsia="仿宋_GB2312"/>
        </w:rPr>
        <w:t>和</w:t>
      </w:r>
      <w:r>
        <w:rPr>
          <w:rFonts w:ascii="仿宋_GB2312" w:hAnsi="仿宋_GB2312" w:cs="仿宋_GB2312" w:eastAsia="仿宋_GB2312"/>
        </w:rPr>
        <w:t>远见项目管理（陕西）有限公司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汉中市生态环境局留坝分局</w:t>
      </w:r>
      <w:r>
        <w:rPr>
          <w:rFonts w:ascii="仿宋_GB2312" w:hAnsi="仿宋_GB2312" w:cs="仿宋_GB2312" w:eastAsia="仿宋_GB2312"/>
        </w:rPr>
        <w:t>负责解释。除上述招标文件内容，其他内容由</w:t>
      </w:r>
      <w:r>
        <w:rPr>
          <w:rFonts w:ascii="仿宋_GB2312" w:hAnsi="仿宋_GB2312" w:cs="仿宋_GB2312" w:eastAsia="仿宋_GB2312"/>
        </w:rPr>
        <w:t>远见项目管理（陕西）有限公司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汉中市生态环境局留坝分局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远见项目管理（陕西）有限公司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远见项目管理（陕西）有限公司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远见项目管理（陕西）有限公司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远见项目管理（陕西）有限公司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联系电话：029-81703089</w:t>
      </w:r>
    </w:p>
    <w:p>
      <w:pPr>
        <w:pStyle w:val="null3"/>
      </w:pPr>
      <w:r>
        <w:rPr>
          <w:rFonts w:ascii="仿宋_GB2312" w:hAnsi="仿宋_GB2312" w:cs="仿宋_GB2312" w:eastAsia="仿宋_GB2312"/>
        </w:rPr>
        <w:t>地址：陕西省西安市未央区欧亚大道欧亚国际B座1302</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构建生物多样性监测体系，建设自动化、智能化且聚焦生物物种监测与识别的生物多样性智慧监测体系，构建生物多样性图像、声纹数据库，有效提升区域生物多样性保护监管能力；</w:t>
      </w:r>
      <w:r>
        <w:rPr>
          <w:rFonts w:ascii="仿宋_GB2312" w:hAnsi="仿宋_GB2312" w:cs="仿宋_GB2312" w:eastAsia="仿宋_GB2312"/>
          <w:sz w:val="21"/>
        </w:rPr>
        <w:t>开展生物遗传资源保护，</w:t>
      </w:r>
      <w:r>
        <w:rPr>
          <w:rFonts w:ascii="仿宋_GB2312" w:hAnsi="仿宋_GB2312" w:cs="仿宋_GB2312" w:eastAsia="仿宋_GB2312"/>
          <w:sz w:val="21"/>
        </w:rPr>
        <w:t>完成留坝县生物遗传资源调查与编目</w:t>
      </w:r>
      <w:r>
        <w:rPr>
          <w:rFonts w:ascii="仿宋_GB2312" w:hAnsi="仿宋_GB2312" w:cs="仿宋_GB2312" w:eastAsia="仿宋_GB2312"/>
          <w:sz w:val="21"/>
        </w:rPr>
        <w:t>，</w:t>
      </w:r>
      <w:r>
        <w:rPr>
          <w:rFonts w:ascii="仿宋_GB2312" w:hAnsi="仿宋_GB2312" w:cs="仿宋_GB2312" w:eastAsia="仿宋_GB2312"/>
          <w:sz w:val="21"/>
        </w:rPr>
        <w:t>建设药用植物资源圃</w:t>
      </w:r>
      <w:r>
        <w:rPr>
          <w:rFonts w:ascii="仿宋_GB2312" w:hAnsi="仿宋_GB2312" w:cs="仿宋_GB2312" w:eastAsia="仿宋_GB2312"/>
          <w:sz w:val="21"/>
        </w:rPr>
        <w:t>，</w:t>
      </w:r>
      <w:r>
        <w:rPr>
          <w:rFonts w:ascii="仿宋_GB2312" w:hAnsi="仿宋_GB2312" w:cs="仿宋_GB2312" w:eastAsia="仿宋_GB2312"/>
          <w:sz w:val="21"/>
        </w:rPr>
        <w:t>打造生物遗传资源科普示范区，进一步提高生物遗传资源保护能力，提升公众生物多样性保护意识。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10,050,000.00</w:t>
      </w:r>
    </w:p>
    <w:p>
      <w:pPr>
        <w:pStyle w:val="null3"/>
      </w:pPr>
      <w:r>
        <w:rPr>
          <w:rFonts w:ascii="仿宋_GB2312" w:hAnsi="仿宋_GB2312" w:cs="仿宋_GB2312" w:eastAsia="仿宋_GB2312"/>
        </w:rPr>
        <w:t>采购包最高限价（元）: 10,050,000.00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留坝县2025年生物多样性保护与可持续利用及生态修复治理项目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标的名称：留坝县2025年生物多样性保护与可持续利用及生态修复治理项目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1、生物多样性监测体系建设</w:t>
            </w:r>
          </w:p>
          <w:p>
            <w:pPr>
              <w:pStyle w:val="null3"/>
              <w:ind w:firstLine="480"/>
            </w:pPr>
            <w:r>
              <w:rPr>
                <w:rFonts w:ascii="仿宋_GB2312" w:hAnsi="仿宋_GB2312" w:cs="仿宋_GB2312" w:eastAsia="仿宋_GB2312"/>
              </w:rPr>
              <w:t>1）生物多样性常规监测体系建设，根据《全国生态质量监督监测工作方案（2023-2025年）》等要求，建立13个生物多样性综合监测样地，设立植物监测样方39个，哺乳动物监测点位117个，鸟类监测样线13条，两栖爬行动物监测样线91条，蝴蝶监测样线26条，对植物、哺乳动物、鸟类、两栖爬行动物、蝴蝶等物种多样性开展常规监测。</w:t>
            </w:r>
          </w:p>
          <w:p>
            <w:pPr>
              <w:pStyle w:val="null3"/>
              <w:ind w:firstLine="480"/>
            </w:pPr>
            <w:r>
              <w:rPr>
                <w:rFonts w:ascii="仿宋_GB2312" w:hAnsi="仿宋_GB2312" w:cs="仿宋_GB2312" w:eastAsia="仿宋_GB2312"/>
              </w:rPr>
              <w:t>2）生物多样性智慧监测体系建设，结合在重点区域布设自动化、智能化的生物多样性监测设备，并配置红外相机117台，鸟类鸣声记录仪130台，两栖爬行动物雷达相机130台，对哺乳动物、鸟类、两栖爬行动物等物种多样性开展智慧监测。</w:t>
            </w:r>
          </w:p>
          <w:p>
            <w:pPr>
              <w:pStyle w:val="null3"/>
              <w:ind w:firstLine="480"/>
            </w:pPr>
            <w:r>
              <w:rPr>
                <w:rFonts w:ascii="仿宋_GB2312" w:hAnsi="仿宋_GB2312" w:cs="仿宋_GB2312" w:eastAsia="仿宋_GB2312"/>
              </w:rPr>
              <w:t>3）生物多样性智慧监管系统建设，基于生物多样性监测体系，构建生物多样性智慧监管系统，通过生物多样性数据库建设、物种识别模型搭建、应用服务系统建设，实现信息集成、存储、综合查询、统计分析、场景展示、实时传输、综合监管、应用服务等功能。</w:t>
            </w:r>
          </w:p>
          <w:p>
            <w:pPr>
              <w:pStyle w:val="null3"/>
            </w:pPr>
            <w:r>
              <w:rPr>
                <w:rFonts w:ascii="仿宋_GB2312" w:hAnsi="仿宋_GB2312" w:cs="仿宋_GB2312" w:eastAsia="仿宋_GB2312"/>
              </w:rPr>
              <w:t>2、</w:t>
            </w:r>
            <w:r>
              <w:rPr>
                <w:rFonts w:ascii="仿宋_GB2312" w:hAnsi="仿宋_GB2312" w:cs="仿宋_GB2312" w:eastAsia="仿宋_GB2312"/>
              </w:rPr>
              <w:t>生物遗传资源保护</w:t>
            </w:r>
          </w:p>
          <w:p>
            <w:pPr>
              <w:pStyle w:val="null3"/>
            </w:pPr>
            <w:r>
              <w:rPr>
                <w:rFonts w:ascii="仿宋_GB2312" w:hAnsi="仿宋_GB2312" w:cs="仿宋_GB2312" w:eastAsia="仿宋_GB2312"/>
              </w:rPr>
              <w:t>1）留坝县生物遗传资源调查与编目，完成7个乡镇及1个街道生物遗传资源调查与编目，至少收集100种生物遗传资源及相关传统知识，并筛选重点案例，形成留坝县生物遗传资源调查报告。</w:t>
            </w:r>
          </w:p>
          <w:p>
            <w:pPr>
              <w:pStyle w:val="null3"/>
            </w:pPr>
            <w:r>
              <w:rPr>
                <w:rFonts w:ascii="仿宋_GB2312" w:hAnsi="仿宋_GB2312" w:cs="仿宋_GB2312" w:eastAsia="仿宋_GB2312"/>
              </w:rPr>
              <w:t>2）药用植物资源圃建设，完成60-100种药用植物种质资源的收集与保存，建设药用植物资源圃1座，打造生物遗传资源科普示范区。</w:t>
            </w:r>
          </w:p>
          <w:p>
            <w:pPr>
              <w:pStyle w:val="null3"/>
            </w:pPr>
            <w:r>
              <w:rPr>
                <w:rFonts w:ascii="仿宋_GB2312" w:hAnsi="仿宋_GB2312" w:cs="仿宋_GB2312" w:eastAsia="仿宋_GB2312"/>
              </w:rPr>
              <w:t>3）生物多样性宣传教育行动，构建生物多样性品牌体系，制定生物多样性相关标准1项，并开展至少1次生多样性保护主题的宣传活动。</w:t>
            </w:r>
          </w:p>
          <w:p>
            <w:pPr>
              <w:pStyle w:val="null3"/>
            </w:pPr>
            <w:r>
              <w:rPr>
                <w:rFonts w:ascii="仿宋_GB2312" w:hAnsi="仿宋_GB2312" w:cs="仿宋_GB2312" w:eastAsia="仿宋_GB2312"/>
              </w:rPr>
              <w:t>提交成果：</w:t>
            </w:r>
          </w:p>
          <w:p>
            <w:pPr>
              <w:pStyle w:val="null3"/>
            </w:pPr>
            <w:r>
              <w:rPr>
                <w:rFonts w:ascii="仿宋_GB2312" w:hAnsi="仿宋_GB2312" w:cs="仿宋_GB2312" w:eastAsia="仿宋_GB2312"/>
              </w:rPr>
              <w:t>1.生物多样性常规监测体系1套；</w:t>
            </w:r>
          </w:p>
          <w:p>
            <w:pPr>
              <w:pStyle w:val="null3"/>
            </w:pPr>
            <w:r>
              <w:rPr>
                <w:rFonts w:ascii="仿宋_GB2312" w:hAnsi="仿宋_GB2312" w:cs="仿宋_GB2312" w:eastAsia="仿宋_GB2312"/>
              </w:rPr>
              <w:t>2.生物多样性智慧监测体系1套；</w:t>
            </w:r>
          </w:p>
          <w:p>
            <w:pPr>
              <w:pStyle w:val="null3"/>
            </w:pPr>
            <w:r>
              <w:rPr>
                <w:rFonts w:ascii="仿宋_GB2312" w:hAnsi="仿宋_GB2312" w:cs="仿宋_GB2312" w:eastAsia="仿宋_GB2312"/>
              </w:rPr>
              <w:t>3.生物多样性监管系统1个；</w:t>
            </w:r>
          </w:p>
          <w:p>
            <w:pPr>
              <w:pStyle w:val="null3"/>
            </w:pPr>
            <w:r>
              <w:rPr>
                <w:rFonts w:ascii="仿宋_GB2312" w:hAnsi="仿宋_GB2312" w:cs="仿宋_GB2312" w:eastAsia="仿宋_GB2312"/>
              </w:rPr>
              <w:t>4.生物多样性年度监测报告1份；</w:t>
            </w:r>
          </w:p>
          <w:p>
            <w:pPr>
              <w:pStyle w:val="null3"/>
            </w:pPr>
            <w:r>
              <w:rPr>
                <w:rFonts w:ascii="仿宋_GB2312" w:hAnsi="仿宋_GB2312" w:cs="仿宋_GB2312" w:eastAsia="仿宋_GB2312"/>
              </w:rPr>
              <w:t>5.生物遗传资源调查报告1份；</w:t>
            </w:r>
          </w:p>
          <w:p>
            <w:pPr>
              <w:pStyle w:val="null3"/>
            </w:pPr>
            <w:r>
              <w:rPr>
                <w:rFonts w:ascii="仿宋_GB2312" w:hAnsi="仿宋_GB2312" w:cs="仿宋_GB2312" w:eastAsia="仿宋_GB2312"/>
              </w:rPr>
              <w:t>6.药用植物资源圃1个；</w:t>
            </w:r>
          </w:p>
          <w:p>
            <w:pPr>
              <w:pStyle w:val="null3"/>
            </w:pPr>
            <w:r>
              <w:rPr>
                <w:rFonts w:ascii="仿宋_GB2312" w:hAnsi="仿宋_GB2312" w:cs="仿宋_GB2312" w:eastAsia="仿宋_GB2312"/>
              </w:rPr>
              <w:t>7.生物遗传资源科普示范区1个；</w:t>
            </w:r>
          </w:p>
          <w:p>
            <w:pPr>
              <w:pStyle w:val="null3"/>
            </w:pPr>
            <w:r>
              <w:rPr>
                <w:rFonts w:ascii="仿宋_GB2312" w:hAnsi="仿宋_GB2312" w:cs="仿宋_GB2312" w:eastAsia="仿宋_GB2312"/>
              </w:rPr>
              <w:t>8.制定</w:t>
            </w:r>
            <w:r>
              <w:rPr>
                <w:rFonts w:ascii="仿宋_GB2312" w:hAnsi="仿宋_GB2312" w:cs="仿宋_GB2312" w:eastAsia="仿宋_GB2312"/>
              </w:rPr>
              <w:t>生物多样性相关</w:t>
            </w:r>
            <w:r>
              <w:rPr>
                <w:rFonts w:ascii="仿宋_GB2312" w:hAnsi="仿宋_GB2312" w:cs="仿宋_GB2312" w:eastAsia="仿宋_GB2312"/>
              </w:rPr>
              <w:t>标准</w:t>
            </w:r>
            <w:r>
              <w:rPr>
                <w:rFonts w:ascii="仿宋_GB2312" w:hAnsi="仿宋_GB2312" w:cs="仿宋_GB2312" w:eastAsia="仿宋_GB2312"/>
              </w:rPr>
              <w:t>1项；</w:t>
            </w:r>
          </w:p>
          <w:p>
            <w:pPr>
              <w:pStyle w:val="null3"/>
            </w:pPr>
            <w:r>
              <w:rPr>
                <w:rFonts w:ascii="仿宋_GB2312" w:hAnsi="仿宋_GB2312" w:cs="仿宋_GB2312" w:eastAsia="仿宋_GB2312"/>
              </w:rPr>
              <w:t>9.举办生物多样性相关宣传教育活动1场；</w:t>
            </w:r>
          </w:p>
          <w:tbl>
            <w:tblPr>
              <w:tblBorders>
                <w:top w:val="none" w:color="000000" w:sz="4"/>
                <w:left w:val="none" w:color="000000" w:sz="4"/>
                <w:bottom w:val="none" w:color="000000" w:sz="4"/>
                <w:right w:val="none" w:color="000000" w:sz="4"/>
                <w:insideH w:val="none"/>
                <w:insideV w:val="none"/>
              </w:tblBorders>
            </w:tblPr>
            <w:tblGrid>
              <w:gridCol w:w="149"/>
              <w:gridCol w:w="321"/>
              <w:gridCol w:w="202"/>
              <w:gridCol w:w="172"/>
              <w:gridCol w:w="1707"/>
            </w:tblGrid>
            <w:tr>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17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1</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红外相机</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117</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台</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1.支持GPS定位与经纬度显示功能。</w:t>
                  </w:r>
                </w:p>
                <w:p>
                  <w:pPr>
                    <w:pStyle w:val="null3"/>
                    <w:ind w:firstLine="400"/>
                    <w:jc w:val="both"/>
                  </w:pPr>
                  <w:r>
                    <w:rPr>
                      <w:rFonts w:ascii="仿宋_GB2312" w:hAnsi="仿宋_GB2312" w:cs="仿宋_GB2312" w:eastAsia="仿宋_GB2312"/>
                      <w:sz w:val="19"/>
                    </w:rPr>
                    <w:t>2</w:t>
                  </w:r>
                  <w:r>
                    <w:rPr>
                      <w:rFonts w:ascii="仿宋_GB2312" w:hAnsi="仿宋_GB2312" w:cs="仿宋_GB2312" w:eastAsia="仿宋_GB2312"/>
                      <w:sz w:val="19"/>
                    </w:rPr>
                    <w:t>.</w:t>
                  </w:r>
                  <w:r>
                    <w:rPr>
                      <w:rFonts w:ascii="仿宋_GB2312" w:hAnsi="仿宋_GB2312" w:cs="仿宋_GB2312" w:eastAsia="仿宋_GB2312"/>
                      <w:sz w:val="20"/>
                      <w:color w:val="000000"/>
                    </w:rPr>
                    <w:t>▲</w:t>
                  </w:r>
                  <w:r>
                    <w:rPr>
                      <w:rFonts w:ascii="仿宋_GB2312" w:hAnsi="仿宋_GB2312" w:cs="仿宋_GB2312" w:eastAsia="仿宋_GB2312"/>
                      <w:sz w:val="19"/>
                    </w:rPr>
                    <w:t>支持不小于</w:t>
                  </w:r>
                  <w:r>
                    <w:rPr>
                      <w:rFonts w:ascii="仿宋_GB2312" w:hAnsi="仿宋_GB2312" w:cs="仿宋_GB2312" w:eastAsia="仿宋_GB2312"/>
                      <w:sz w:val="19"/>
                    </w:rPr>
                    <w:t>3</w:t>
                  </w:r>
                  <w:r>
                    <w:rPr>
                      <w:rFonts w:ascii="仿宋_GB2312" w:hAnsi="仿宋_GB2312" w:cs="仿宋_GB2312" w:eastAsia="仿宋_GB2312"/>
                      <w:sz w:val="19"/>
                    </w:rPr>
                    <w:t>2</w:t>
                  </w:r>
                  <w:r>
                    <w:rPr>
                      <w:rFonts w:ascii="仿宋_GB2312" w:hAnsi="仿宋_GB2312" w:cs="仿宋_GB2312" w:eastAsia="仿宋_GB2312"/>
                      <w:sz w:val="19"/>
                    </w:rPr>
                    <w:t>00万图片像素，不小于1080P超高清视频。</w:t>
                  </w:r>
                </w:p>
                <w:p>
                  <w:pPr>
                    <w:pStyle w:val="null3"/>
                    <w:ind w:firstLine="400"/>
                    <w:jc w:val="both"/>
                  </w:pPr>
                  <w:r>
                    <w:rPr>
                      <w:rFonts w:ascii="仿宋_GB2312" w:hAnsi="仿宋_GB2312" w:cs="仿宋_GB2312" w:eastAsia="仿宋_GB2312"/>
                      <w:sz w:val="19"/>
                    </w:rPr>
                    <w:t>3.≥2.4英寸高清屏，且可旋转随盖板翻动，安装时方便查看监测区域；</w:t>
                  </w:r>
                  <w:r>
                    <w:br/>
                  </w:r>
                  <w:r>
                    <w:rPr>
                      <w:rFonts w:ascii="仿宋_GB2312" w:hAnsi="仿宋_GB2312" w:cs="仿宋_GB2312" w:eastAsia="仿宋_GB2312"/>
                      <w:sz w:val="19"/>
                    </w:rPr>
                    <w:t xml:space="preserve">    </w:t>
                  </w:r>
                  <w:r>
                    <w:rPr>
                      <w:rFonts w:ascii="仿宋_GB2312" w:hAnsi="仿宋_GB2312" w:cs="仿宋_GB2312" w:eastAsia="仿宋_GB2312"/>
                      <w:sz w:val="19"/>
                    </w:rPr>
                    <w:t>4.相机录像与拍照同步启动，启动时间≤0.2秒，绝不漏拍动物且节省功耗；</w:t>
                  </w:r>
                </w:p>
                <w:p>
                  <w:pPr>
                    <w:pStyle w:val="null3"/>
                    <w:ind w:firstLine="400"/>
                    <w:jc w:val="both"/>
                  </w:pPr>
                  <w:r>
                    <w:rPr>
                      <w:rFonts w:ascii="仿宋_GB2312" w:hAnsi="仿宋_GB2312" w:cs="仿宋_GB2312" w:eastAsia="仿宋_GB2312"/>
                      <w:sz w:val="19"/>
                    </w:rPr>
                    <w:t>5</w:t>
                  </w:r>
                  <w:r>
                    <w:rPr>
                      <w:rFonts w:ascii="仿宋_GB2312" w:hAnsi="仿宋_GB2312" w:cs="仿宋_GB2312" w:eastAsia="仿宋_GB2312"/>
                      <w:sz w:val="19"/>
                    </w:rPr>
                    <w:t>.支持纯照片，纯视频，照片加视频三种拍摄模式。</w:t>
                  </w:r>
                </w:p>
                <w:p>
                  <w:pPr>
                    <w:pStyle w:val="null3"/>
                    <w:ind w:firstLine="400"/>
                    <w:jc w:val="both"/>
                  </w:pPr>
                  <w:r>
                    <w:rPr>
                      <w:rFonts w:ascii="仿宋_GB2312" w:hAnsi="仿宋_GB2312" w:cs="仿宋_GB2312" w:eastAsia="仿宋_GB2312"/>
                      <w:sz w:val="19"/>
                    </w:rPr>
                    <w:t>6.存储扩展：设备应支持</w:t>
                  </w:r>
                  <w:r>
                    <w:rPr>
                      <w:rFonts w:ascii="仿宋_GB2312" w:hAnsi="仿宋_GB2312" w:cs="仿宋_GB2312" w:eastAsia="仿宋_GB2312"/>
                      <w:sz w:val="20"/>
                      <w:color w:val="000000"/>
                    </w:rPr>
                    <w:t>≥</w:t>
                  </w:r>
                  <w:r>
                    <w:rPr>
                      <w:rFonts w:ascii="仿宋_GB2312" w:hAnsi="仿宋_GB2312" w:cs="仿宋_GB2312" w:eastAsia="仿宋_GB2312"/>
                      <w:sz w:val="19"/>
                    </w:rPr>
                    <w:t>512GB的SD存储卡，兼容各种品牌</w:t>
                  </w:r>
                </w:p>
                <w:p>
                  <w:pPr>
                    <w:pStyle w:val="null3"/>
                    <w:ind w:firstLine="400"/>
                    <w:jc w:val="both"/>
                  </w:pPr>
                  <w:r>
                    <w:rPr>
                      <w:rFonts w:ascii="仿宋_GB2312" w:hAnsi="仿宋_GB2312" w:cs="仿宋_GB2312" w:eastAsia="仿宋_GB2312"/>
                      <w:sz w:val="19"/>
                    </w:rPr>
                    <w:t>7</w:t>
                  </w:r>
                  <w:r>
                    <w:rPr>
                      <w:rFonts w:ascii="仿宋_GB2312" w:hAnsi="仿宋_GB2312" w:cs="仿宋_GB2312" w:eastAsia="仿宋_GB2312"/>
                      <w:sz w:val="19"/>
                    </w:rPr>
                    <w:t>.工作温度范围：设备应在-40至+80摄氏度的环境下正常工作。</w:t>
                  </w:r>
                </w:p>
                <w:p>
                  <w:pPr>
                    <w:pStyle w:val="null3"/>
                    <w:ind w:firstLine="400"/>
                    <w:jc w:val="both"/>
                  </w:pPr>
                  <w:r>
                    <w:rPr>
                      <w:rFonts w:ascii="仿宋_GB2312" w:hAnsi="仿宋_GB2312" w:cs="仿宋_GB2312" w:eastAsia="仿宋_GB2312"/>
                      <w:sz w:val="20"/>
                      <w:color w:val="000000"/>
                    </w:rPr>
                    <w:t>8. IP68防水防尘</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2</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雷达相机</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130</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1.最大支持3K（2560*1920）有声视频，照片像素3200万。</w:t>
                  </w:r>
                </w:p>
                <w:p>
                  <w:pPr>
                    <w:pStyle w:val="null3"/>
                    <w:ind w:firstLine="400"/>
                    <w:jc w:val="both"/>
                  </w:pPr>
                  <w:r>
                    <w:rPr>
                      <w:rFonts w:ascii="仿宋_GB2312" w:hAnsi="仿宋_GB2312" w:cs="仿宋_GB2312" w:eastAsia="仿宋_GB2312"/>
                      <w:sz w:val="19"/>
                    </w:rPr>
                    <w:t>2.支持相机Wifi直连手机APP，通过手机设置参数。</w:t>
                  </w:r>
                </w:p>
                <w:p>
                  <w:pPr>
                    <w:pStyle w:val="null3"/>
                    <w:ind w:firstLine="400"/>
                    <w:jc w:val="both"/>
                  </w:pPr>
                  <w:r>
                    <w:rPr>
                      <w:rFonts w:ascii="仿宋_GB2312" w:hAnsi="仿宋_GB2312" w:cs="仿宋_GB2312" w:eastAsia="仿宋_GB2312"/>
                      <w:sz w:val="19"/>
                    </w:rPr>
                    <w:t>3.可通过手机APP实时预览监控区域画面。</w:t>
                  </w:r>
                </w:p>
                <w:p>
                  <w:pPr>
                    <w:pStyle w:val="null3"/>
                    <w:ind w:firstLine="400"/>
                    <w:jc w:val="both"/>
                  </w:pPr>
                  <w:r>
                    <w:rPr>
                      <w:rFonts w:ascii="仿宋_GB2312" w:hAnsi="仿宋_GB2312" w:cs="仿宋_GB2312" w:eastAsia="仿宋_GB2312"/>
                      <w:sz w:val="19"/>
                    </w:rPr>
                    <w:t>4</w:t>
                  </w:r>
                  <w:r>
                    <w:rPr>
                      <w:rFonts w:ascii="仿宋_GB2312" w:hAnsi="仿宋_GB2312" w:cs="仿宋_GB2312" w:eastAsia="仿宋_GB2312"/>
                      <w:sz w:val="19"/>
                    </w:rPr>
                    <w:t>.相机录像与拍照同步启动，启动时间小于0.2秒。</w:t>
                  </w:r>
                </w:p>
                <w:p>
                  <w:pPr>
                    <w:pStyle w:val="null3"/>
                    <w:ind w:firstLine="400"/>
                    <w:jc w:val="both"/>
                  </w:pPr>
                  <w:r>
                    <w:rPr>
                      <w:rFonts w:ascii="仿宋_GB2312" w:hAnsi="仿宋_GB2312" w:cs="仿宋_GB2312" w:eastAsia="仿宋_GB2312"/>
                      <w:sz w:val="19"/>
                    </w:rPr>
                    <w:t>5</w:t>
                  </w:r>
                  <w:r>
                    <w:rPr>
                      <w:rFonts w:ascii="仿宋_GB2312" w:hAnsi="仿宋_GB2312" w:cs="仿宋_GB2312" w:eastAsia="仿宋_GB2312"/>
                      <w:sz w:val="19"/>
                    </w:rPr>
                    <w:t>.支持拍照、录像、拍照+录像的工作模式。</w:t>
                  </w:r>
                </w:p>
                <w:p>
                  <w:pPr>
                    <w:pStyle w:val="null3"/>
                    <w:ind w:firstLine="400"/>
                    <w:jc w:val="both"/>
                  </w:pPr>
                  <w:r>
                    <w:rPr>
                      <w:rFonts w:ascii="仿宋_GB2312" w:hAnsi="仿宋_GB2312" w:cs="仿宋_GB2312" w:eastAsia="仿宋_GB2312"/>
                      <w:sz w:val="19"/>
                    </w:rPr>
                    <w:t>6</w:t>
                  </w:r>
                  <w:r>
                    <w:rPr>
                      <w:rFonts w:ascii="仿宋_GB2312" w:hAnsi="仿宋_GB2312" w:cs="仿宋_GB2312" w:eastAsia="仿宋_GB2312"/>
                      <w:sz w:val="19"/>
                    </w:rPr>
                    <w:t>.工作温度-30至+80摄氏度。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3</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鸟类鸣声记录仪</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130</w:t>
                  </w:r>
                </w:p>
              </w:tc>
              <w:tc>
                <w:tcPr>
                  <w:tcW w:type="dxa" w:w="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19"/>
                    </w:rPr>
                    <w:t>1.频响范围：不低于20HZ-24KHz。</w:t>
                  </w:r>
                </w:p>
                <w:p>
                  <w:pPr>
                    <w:pStyle w:val="null3"/>
                    <w:ind w:firstLine="400"/>
                    <w:jc w:val="both"/>
                  </w:pPr>
                  <w:r>
                    <w:rPr>
                      <w:rFonts w:ascii="仿宋_GB2312" w:hAnsi="仿宋_GB2312" w:cs="仿宋_GB2312" w:eastAsia="仿宋_GB2312"/>
                      <w:sz w:val="19"/>
                    </w:rPr>
                    <w:t>2</w:t>
                  </w:r>
                  <w:r>
                    <w:rPr>
                      <w:rFonts w:ascii="仿宋_GB2312" w:hAnsi="仿宋_GB2312" w:cs="仿宋_GB2312" w:eastAsia="仿宋_GB2312"/>
                      <w:sz w:val="19"/>
                    </w:rPr>
                    <w:t>.支持的采样率（Hz）至少包含24kHz</w:t>
                  </w:r>
                  <w:r>
                    <w:rPr>
                      <w:rFonts w:ascii="仿宋_GB2312" w:hAnsi="仿宋_GB2312" w:cs="仿宋_GB2312" w:eastAsia="仿宋_GB2312"/>
                      <w:sz w:val="19"/>
                    </w:rPr>
                    <w:t>/</w:t>
                  </w:r>
                  <w:r>
                    <w:rPr>
                      <w:rFonts w:ascii="仿宋_GB2312" w:hAnsi="仿宋_GB2312" w:cs="仿宋_GB2312" w:eastAsia="仿宋_GB2312"/>
                      <w:sz w:val="19"/>
                    </w:rPr>
                    <w:t>32kHz</w:t>
                  </w:r>
                  <w:r>
                    <w:rPr>
                      <w:rFonts w:ascii="仿宋_GB2312" w:hAnsi="仿宋_GB2312" w:cs="仿宋_GB2312" w:eastAsia="仿宋_GB2312"/>
                      <w:sz w:val="19"/>
                    </w:rPr>
                    <w:t>/</w:t>
                  </w:r>
                  <w:r>
                    <w:rPr>
                      <w:rFonts w:ascii="仿宋_GB2312" w:hAnsi="仿宋_GB2312" w:cs="仿宋_GB2312" w:eastAsia="仿宋_GB2312"/>
                      <w:sz w:val="19"/>
                    </w:rPr>
                    <w:t>48kHz等</w:t>
                  </w:r>
                  <w:r>
                    <w:rPr>
                      <w:rFonts w:ascii="仿宋_GB2312" w:hAnsi="仿宋_GB2312" w:cs="仿宋_GB2312" w:eastAsia="仿宋_GB2312"/>
                      <w:sz w:val="19"/>
                    </w:rPr>
                    <w:t>。</w:t>
                  </w:r>
                </w:p>
                <w:p>
                  <w:pPr>
                    <w:pStyle w:val="null3"/>
                    <w:ind w:firstLine="400"/>
                    <w:jc w:val="both"/>
                  </w:pPr>
                  <w:r>
                    <w:rPr>
                      <w:rFonts w:ascii="仿宋_GB2312" w:hAnsi="仿宋_GB2312" w:cs="仿宋_GB2312" w:eastAsia="仿宋_GB2312"/>
                      <w:sz w:val="19"/>
                    </w:rPr>
                    <w:t>3</w:t>
                  </w:r>
                  <w:r>
                    <w:rPr>
                      <w:rFonts w:ascii="仿宋_GB2312" w:hAnsi="仿宋_GB2312" w:cs="仿宋_GB2312" w:eastAsia="仿宋_GB2312"/>
                      <w:sz w:val="19"/>
                    </w:rPr>
                    <w:t>.拾音距离≥50米 。</w:t>
                  </w:r>
                </w:p>
                <w:p>
                  <w:pPr>
                    <w:pStyle w:val="null3"/>
                    <w:ind w:firstLine="400"/>
                    <w:jc w:val="both"/>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20"/>
                      <w:color w:val="000000"/>
                    </w:rPr>
                    <w:t>▲</w:t>
                  </w:r>
                  <w:r>
                    <w:rPr>
                      <w:rFonts w:ascii="仿宋_GB2312" w:hAnsi="仿宋_GB2312" w:cs="仿宋_GB2312" w:eastAsia="仿宋_GB2312"/>
                      <w:sz w:val="19"/>
                    </w:rPr>
                    <w:t>麦克风数量</w:t>
                  </w:r>
                  <w:r>
                    <w:rPr>
                      <w:rFonts w:ascii="仿宋_GB2312" w:hAnsi="仿宋_GB2312" w:cs="仿宋_GB2312" w:eastAsia="仿宋_GB2312"/>
                      <w:sz w:val="19"/>
                    </w:rPr>
                    <w:t>≥2，全向麦克风</w:t>
                  </w:r>
                  <w:r>
                    <w:rPr>
                      <w:rFonts w:ascii="仿宋_GB2312" w:hAnsi="仿宋_GB2312" w:cs="仿宋_GB2312" w:eastAsia="仿宋_GB2312"/>
                      <w:sz w:val="19"/>
                    </w:rPr>
                    <w:t>。</w:t>
                  </w:r>
                </w:p>
                <w:p>
                  <w:pPr>
                    <w:pStyle w:val="null3"/>
                    <w:ind w:firstLine="400"/>
                    <w:jc w:val="both"/>
                  </w:pPr>
                  <w:r>
                    <w:rPr>
                      <w:rFonts w:ascii="仿宋_GB2312" w:hAnsi="仿宋_GB2312" w:cs="仿宋_GB2312" w:eastAsia="仿宋_GB2312"/>
                      <w:sz w:val="19"/>
                    </w:rPr>
                    <w:t>5.</w:t>
                  </w:r>
                  <w:r>
                    <w:rPr>
                      <w:rFonts w:ascii="仿宋_GB2312" w:hAnsi="仿宋_GB2312" w:cs="仿宋_GB2312" w:eastAsia="仿宋_GB2312"/>
                      <w:sz w:val="19"/>
                    </w:rPr>
                    <w:t>IP68防水防尘 。</w:t>
                  </w:r>
                </w:p>
                <w:p>
                  <w:pPr>
                    <w:pStyle w:val="null3"/>
                    <w:ind w:firstLine="400"/>
                    <w:jc w:val="both"/>
                  </w:pP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支持定时录制</w:t>
                  </w:r>
                  <w:r>
                    <w:rPr>
                      <w:rFonts w:ascii="仿宋_GB2312" w:hAnsi="仿宋_GB2312" w:cs="仿宋_GB2312" w:eastAsia="仿宋_GB2312"/>
                      <w:sz w:val="19"/>
                    </w:rPr>
                    <w:t>。</w:t>
                  </w:r>
                </w:p>
                <w:p>
                  <w:pPr>
                    <w:pStyle w:val="null3"/>
                    <w:ind w:firstLine="400"/>
                    <w:jc w:val="both"/>
                  </w:pPr>
                  <w:r>
                    <w:rPr>
                      <w:rFonts w:ascii="仿宋_GB2312" w:hAnsi="仿宋_GB2312" w:cs="仿宋_GB2312" w:eastAsia="仿宋_GB2312"/>
                      <w:sz w:val="19"/>
                    </w:rPr>
                    <w:t>7.可设置日期、时间、时区和位置信息。</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留坝县全域</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根据招标文件、投标文件、合同及国家相关标准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提交项目中期成果</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1、质保期：验收合格之日起1年。 2、采用转账支票或银行电汇形式提交的投标保证金必须从其基本账户转出，必须在进账单或电汇单注明项目名称。2、采用银行保函形式提交投标保证金的，应用基本账户保函的银行或市级银行。注:1.须将原件于投标截止时间前交至代理机构。3、中标人在中标结果发布后3个工作日内向代理机构提交纸质版投标文件以便于存档，响应文件正本1份，副本2份，电子版文件2份（以U盘为载体，电子版内容包括Word版本、签字盖章扫描后的PDF版本投标文件）。纸质响应文件均须A4纸打印，分别各自装订成册并编制目录和页码。 4.线下递交投标文件地点： 陕西省西安市未央区欧亚大道欧亚国际B座1302。6.如投标文件中融资相关内容与新政策要求有出入，按照最新要求执行。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及委托代理人身份证复印件。（提供加盖投标供应商公章的法定代表人身份证明原件和其身份证复印件或法定代表人授权委托书原件及被授权人身份证复印件）；</w:t>
            </w:r>
          </w:p>
        </w:tc>
        <w:tc>
          <w:tcPr>
            <w:tcW w:type="dxa" w:w="1661"/>
          </w:tcPr>
          <w:p>
            <w:pPr>
              <w:pStyle w:val="null3"/>
            </w:pPr>
            <w:r>
              <w:rPr>
                <w:rFonts w:ascii="仿宋_GB2312" w:hAnsi="仿宋_GB2312" w:cs="仿宋_GB2312" w:eastAsia="仿宋_GB2312"/>
              </w:rPr>
              <w:t>法人授权委托书.pdf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汉中市政府采购供应商资格承诺函.pdf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本项目不接受联合体投标（须提供声明函）。</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服务内容及服务邀请应答表 商务应答表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应按要求提供保证金交纳凭证复印件</w:t>
            </w:r>
          </w:p>
        </w:tc>
        <w:tc>
          <w:tcPr>
            <w:tcW w:type="dxa" w:w="1661"/>
          </w:tcPr>
          <w:p>
            <w:pPr>
              <w:pStyle w:val="null3"/>
            </w:pPr>
            <w:r>
              <w:rPr>
                <w:rFonts w:ascii="仿宋_GB2312" w:hAnsi="仿宋_GB2312" w:cs="仿宋_GB2312" w:eastAsia="仿宋_GB2312"/>
              </w:rPr>
              <w:t>投标文件封面 供应商认为有必要补充说明的事宜.docx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开标一览表 业绩一览表.docx 服务内容及服务邀请应答表 中小企业声明函 商务应答表 法人授权委托书.pdf 投标人应提交的相关资格证明材料 汉中市政府采购供应商资格承诺函.pdf 投标函 残疾人福利性单位声明函 服务方案 标的清单 投标文件封面 供应商认为有必要补充说明的事宜.docx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按照招标文件格式内容编写，无缺漏项。</w:t>
            </w:r>
          </w:p>
        </w:tc>
        <w:tc>
          <w:tcPr>
            <w:tcW w:type="dxa" w:w="1661"/>
          </w:tcPr>
          <w:p>
            <w:pPr>
              <w:pStyle w:val="null3"/>
            </w:pPr>
            <w:r>
              <w:rPr>
                <w:rFonts w:ascii="仿宋_GB2312" w:hAnsi="仿宋_GB2312" w:cs="仿宋_GB2312" w:eastAsia="仿宋_GB2312"/>
              </w:rPr>
              <w:t>开标一览表 业绩一览表.docx 服务内容及服务邀请应答表 中小企业声明函 商务应答表 法人授权委托书.pdf 投标人应提交的相关资格证明材料 汉中市政府采购供应商资格承诺函.pdf 投标函 残疾人福利性单位声明函 服务方案 标的清单 投标文件封面 供应商认为有必要补充说明的事宜.docx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投标产品技术参数、规格型号、性能等技术说明资料（不限于产品彩页或样本图册或技术说明书或功能截图或相关证书或检测报告等加盖投标人公章，否则视为负偏离）， 完全满足招标文件要求的得10.5分，▲每负偏离（或未提供证明材料）一项扣1分，一般项每负偏离一项扣0.5分，扣完为止。</w:t>
            </w:r>
          </w:p>
        </w:tc>
        <w:tc>
          <w:tcPr>
            <w:tcW w:type="dxa" w:w="831"/>
          </w:tcPr>
          <w:p>
            <w:pPr>
              <w:pStyle w:val="null3"/>
              <w:jc w:val="right"/>
            </w:pPr>
            <w:r>
              <w:rPr>
                <w:rFonts w:ascii="仿宋_GB2312" w:hAnsi="仿宋_GB2312" w:cs="仿宋_GB2312" w:eastAsia="仿宋_GB2312"/>
              </w:rPr>
              <w:t>10.5000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项目解读</w:t>
            </w:r>
          </w:p>
        </w:tc>
        <w:tc>
          <w:tcPr>
            <w:tcW w:type="dxa" w:w="2492"/>
          </w:tcPr>
          <w:p>
            <w:pPr>
              <w:pStyle w:val="null3"/>
            </w:pPr>
            <w:r>
              <w:rPr>
                <w:rFonts w:ascii="仿宋_GB2312" w:hAnsi="仿宋_GB2312" w:cs="仿宋_GB2312" w:eastAsia="仿宋_GB2312"/>
              </w:rPr>
              <w:t>一、评审内容 对项目基本情况及相关政策解读深刻，准确研判工作背景，专业资料的搜集与内容梳理详实，对生态环境保护重要性认识深刻、透彻。二、评审标准 1、完善性：方案必须全面，对评审内容中的各项要求有详细阐述； 2、可实施性：切合本项目实际情况，提出步骤清晰、合理的方案； 3、针对性：方案能够紧扣项目实际情况，内容科学合理。 上述评审内容全部满足评审标准得6分，每有一个评审内容缺项扣6分，每有一项评审内容存在缺陷，扣2分，扣完为止。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可行的实施方案（内容包括生物多样性监测体系建设和生物遗传资源保护），实施方案包括但不限于①生物多样性监测体系建设服务方案；②生物遗传资源保护服务方案；③项目进度计划；④质量保证措施；⑤项目数据安全保障措施。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上述5项评审内容全部满足评审标准得25分，每有一个评审内容缺项扣5分，每有一项评审内容存在缺陷，扣1.5分，扣完为止。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针对本项目重难点的分析及合理化建议</w:t>
            </w:r>
          </w:p>
        </w:tc>
        <w:tc>
          <w:tcPr>
            <w:tcW w:type="dxa" w:w="2492"/>
          </w:tcPr>
          <w:p>
            <w:pPr>
              <w:pStyle w:val="null3"/>
            </w:pPr>
            <w:r>
              <w:rPr>
                <w:rFonts w:ascii="仿宋_GB2312" w:hAnsi="仿宋_GB2312" w:cs="仿宋_GB2312" w:eastAsia="仿宋_GB2312"/>
              </w:rPr>
              <w:t>一、评审内容 针对本项目的重难点的分析及合理化建议，内容包括:①服务过程中可能遇到的重点、难点问题②针对各项重点、难点具体的解决措施及时间节点③针对本项目提出合理化建议。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上述3项评审内容全部满足评审标准得12分，每有一个评审内容缺项扣4分，每有一项评审内容存在缺陷，扣1分，扣完为止。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投标人实力</w:t>
            </w:r>
          </w:p>
        </w:tc>
        <w:tc>
          <w:tcPr>
            <w:tcW w:type="dxa" w:w="2492"/>
          </w:tcPr>
          <w:p>
            <w:pPr>
              <w:pStyle w:val="null3"/>
            </w:pPr>
            <w:r>
              <w:rPr>
                <w:rFonts w:ascii="仿宋_GB2312" w:hAnsi="仿宋_GB2312" w:cs="仿宋_GB2312" w:eastAsia="仿宋_GB2312"/>
              </w:rPr>
              <w:t>1.投标人具有生物多样性相关重点实验室的，省部级及以上得3分，地市级得2分，未提供或不满足不得分，本项最高得3分（提供实验室成立的证明材料扫描件并加盖公章） 2.投标人牵头或参与编制生物类群监测（或调查、观测、评估）相关行业或省部级标准（或规范、导则、指南），每提供1个得1分，牵头或参与编制地方（含地市，区、县）等标准（或规范、导则、指南），每提供1个得0.5分，最高得3分。（提供证明材料扫描件并加盖公章） 3.投标人获得过省部级及以上的生物、生态相关的科技成果奖，每提供1个得1分，获得过地市级生物、生态相关的科技成果奖，每提供1个得0.5分，最高得3分。（提供证书扫描件并加盖公章） 4.投标人具有与生物、生态保护研究相关的发明专利的，每提供1个得1分，最高得3分。（提供证书扫描件并加盖公章） 5.投标人具有与本项目相关的生物监测与数据管理类相关软件著作权证书的，有一个得1分，最高得3分。以响应文件中所附相关证明文件的复印件（扫描件）加盖公章为准。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 投标人拟定本项目负责人具备植物学、动物学、生物学、生态学、环境科学、森林保护学、地理信息系统等相关专业之一的正高级职称，得3分；具有副高级职称，得2分；具有中级职称，得1分；最高3分。不满足或未提供不得分。 2.团队人员（除项目负责人外）：每提供1名植物学、动物学、生物学、生态学、环境科学、生物安全、森林保护学、地理信息系统等相关专业之一的正高级职称的得1.5分，副高级职称或具有博士学位的得1分，中级职称或具有硕士学位的得0.5分。最高8分。 注;同一人员同时具备多项职称/学位的，按最高一项计分，不重复计分； 同一专业所有人员累计得分最高不超过2分，超出部分不予计分； 以响应文件中所附人员职称证书或学位证书或评定相关文件的复印件（扫描件）加盖公章为准。专业以职称证书或学位证书为准。还需提供投标单位为团队人员缴纳的近三个月社保证明，退休人员需提供聘用合同复印件。</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针对本项目服务提供内容全面、合理、可行的服务承诺。 二、评审标准 1、完善性：方案必须全面，对评审内容中的各项要求有详细阐述； 2、可实施性：切合本项目实际情况，提出步骤清晰、合理的方案； 3、针对性：方案能够紧扣项目实际情况，内容科学合理。 上述评审内容全部满足评审标准得6分，每有一个评审内容缺项扣6分，每有一项评审内容存在缺陷，扣2分，扣完为止。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投标供应商提供2023年至今完成的同类业绩证明（含生物遗传资源保护或生物多样性监测或生物多样性调查等项目），每提供一份得1.5分，最高得4.5分；注：业绩须是供应商完成的同类项目，以成交通知书或协议书（合同）为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采用低价优先法计算，即满足招标文件要求且最后响应报价最低的报价为评审基准价，其价格分为满分。其他供应商的价格分统一按照下列公式计算:响应报价得分=(评审基准价/最后报价)X10。若落实政府采购政策的，以调整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详见附件：法人授权委托书.pdf</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详见附件：供应商认为有必要补充说明的事宜.docx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