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CCFD1">
      <w:pPr>
        <w:pStyle w:val="4"/>
        <w:jc w:val="center"/>
        <w:outlineLvl w:val="0"/>
        <w:rPr>
          <w:rFonts w:hint="eastAsia" w:ascii="仿宋" w:hAnsi="仿宋" w:eastAsia="仿宋" w:cs="仿宋"/>
          <w:b/>
          <w:sz w:val="36"/>
          <w:szCs w:val="16"/>
          <w:lang w:val="en-US" w:eastAsia="zh-CN"/>
        </w:rPr>
      </w:pPr>
      <w:bookmarkStart w:id="52" w:name="_GoBack"/>
      <w:bookmarkEnd w:id="52"/>
      <w:r>
        <w:rPr>
          <w:rFonts w:hint="eastAsia" w:ascii="仿宋" w:hAnsi="仿宋" w:eastAsia="仿宋" w:cs="仿宋"/>
          <w:b/>
          <w:sz w:val="36"/>
          <w:szCs w:val="36"/>
        </w:rPr>
        <w:t>合同条款及格式</w:t>
      </w:r>
    </w:p>
    <w:p w14:paraId="74E09530">
      <w:pPr>
        <w:rPr>
          <w:rFonts w:hint="eastAsia" w:ascii="仿宋" w:hAnsi="仿宋" w:eastAsia="仿宋" w:cs="仿宋"/>
          <w:bCs/>
          <w:color w:val="000000"/>
          <w:sz w:val="22"/>
          <w:szCs w:val="22"/>
          <w:highlight w:val="none"/>
        </w:rPr>
      </w:pPr>
    </w:p>
    <w:p w14:paraId="4F11C22E">
      <w:pPr>
        <w:keepNext w:val="0"/>
        <w:keepLines w:val="0"/>
        <w:pageBreakBefore w:val="0"/>
        <w:widowControl w:val="0"/>
        <w:kinsoku/>
        <w:wordWrap/>
        <w:overflowPunct/>
        <w:topLinePunct w:val="0"/>
        <w:autoSpaceDE/>
        <w:autoSpaceDN/>
        <w:bidi w:val="0"/>
        <w:adjustRightInd/>
        <w:snapToGrid/>
        <w:ind w:firstLine="440" w:firstLineChars="200"/>
        <w:textAlignment w:val="auto"/>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（注：本合同作为合同的基本格式，甲方有权在签订合同时对合同的相关条款及内容作进一步细化和修改）</w:t>
      </w:r>
    </w:p>
    <w:p w14:paraId="32850D9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 xml:space="preserve">合同编号： </w:t>
      </w:r>
    </w:p>
    <w:p w14:paraId="048E325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 xml:space="preserve">签订地点： </w:t>
      </w:r>
    </w:p>
    <w:p w14:paraId="1E1C2749">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签订时间：</w:t>
      </w:r>
    </w:p>
    <w:p w14:paraId="7AC44106">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采购人（甲方）：</w:t>
      </w:r>
    </w:p>
    <w:p w14:paraId="1DC231B8">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供应商（乙方）：</w:t>
      </w:r>
    </w:p>
    <w:p w14:paraId="44C9A8A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根据《中华人民共和国政府采购法》及实施条例、《中华人民共和国民法典》和</w:t>
      </w:r>
      <w:r>
        <w:rPr>
          <w:rFonts w:hint="eastAsia" w:ascii="仿宋" w:hAnsi="仿宋" w:eastAsia="仿宋" w:cs="仿宋"/>
          <w:bCs/>
          <w:color w:val="000000"/>
          <w:sz w:val="22"/>
          <w:szCs w:val="22"/>
          <w:highlight w:val="none"/>
          <w:lang w:val="en-US" w:eastAsia="zh-CN"/>
        </w:rPr>
        <w:t xml:space="preserve">  </w:t>
      </w:r>
      <w:r>
        <w:rPr>
          <w:rFonts w:hint="eastAsia" w:ascii="仿宋" w:hAnsi="仿宋" w:eastAsia="仿宋" w:cs="仿宋"/>
          <w:bCs/>
          <w:color w:val="000000"/>
          <w:sz w:val="22"/>
          <w:szCs w:val="22"/>
          <w:highlight w:val="none"/>
        </w:rPr>
        <w:t>（采购项目编号：）的</w:t>
      </w:r>
      <w:r>
        <w:rPr>
          <w:rFonts w:hint="eastAsia" w:ascii="仿宋" w:hAnsi="仿宋" w:eastAsia="仿宋" w:cs="仿宋"/>
          <w:bCs/>
          <w:color w:val="000000"/>
          <w:sz w:val="22"/>
          <w:szCs w:val="22"/>
          <w:highlight w:val="none"/>
          <w:lang w:val="en-US" w:eastAsia="zh-CN"/>
        </w:rPr>
        <w:t>招标</w:t>
      </w:r>
      <w:r>
        <w:rPr>
          <w:rFonts w:hint="eastAsia" w:ascii="仿宋" w:hAnsi="仿宋" w:eastAsia="仿宋" w:cs="仿宋"/>
          <w:bCs/>
          <w:color w:val="000000"/>
          <w:sz w:val="22"/>
          <w:szCs w:val="22"/>
          <w:highlight w:val="none"/>
        </w:rPr>
        <w:t>文件、</w:t>
      </w:r>
      <w:r>
        <w:rPr>
          <w:rFonts w:hint="eastAsia" w:ascii="仿宋" w:hAnsi="仿宋" w:eastAsia="仿宋" w:cs="仿宋"/>
          <w:bCs/>
          <w:color w:val="000000"/>
          <w:sz w:val="22"/>
          <w:szCs w:val="22"/>
          <w:highlight w:val="none"/>
          <w:lang w:val="en-US" w:eastAsia="zh-CN"/>
        </w:rPr>
        <w:t>投标</w:t>
      </w:r>
      <w:r>
        <w:rPr>
          <w:rFonts w:hint="eastAsia" w:ascii="仿宋" w:hAnsi="仿宋" w:eastAsia="仿宋" w:cs="仿宋"/>
          <w:bCs/>
          <w:color w:val="000000"/>
          <w:sz w:val="22"/>
          <w:szCs w:val="22"/>
          <w:highlight w:val="none"/>
        </w:rPr>
        <w:t>文件等有关规定，为确保甲方采购项目的顺利实施，甲、乙双方在平等自愿原则下签订本合同，并共同遵守如下条款：</w:t>
      </w:r>
    </w:p>
    <w:p w14:paraId="49F0271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第一条 项目基本情况</w:t>
      </w:r>
    </w:p>
    <w:p w14:paraId="09724421">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第二条 合同期限</w:t>
      </w:r>
    </w:p>
    <w:p w14:paraId="02E5DC5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bookmarkStart w:id="0" w:name="_Toc283019214"/>
      <w:bookmarkStart w:id="1" w:name="_Toc211911348"/>
      <w:bookmarkStart w:id="2" w:name="_Toc211854449"/>
      <w:bookmarkStart w:id="3" w:name="_Toc225654644"/>
      <w:bookmarkStart w:id="4" w:name="_Toc238984975"/>
      <w:bookmarkStart w:id="5" w:name="_Toc212019594"/>
      <w:bookmarkStart w:id="6" w:name="_Toc225670751"/>
      <w:bookmarkStart w:id="7" w:name="_Toc247334841"/>
      <w:bookmarkStart w:id="8" w:name="_Toc225244852"/>
      <w:bookmarkStart w:id="9" w:name="_Toc232492928"/>
      <w:bookmarkStart w:id="10" w:name="_Toc239568418"/>
      <w:bookmarkStart w:id="11" w:name="_Toc251768862"/>
      <w:bookmarkStart w:id="12" w:name="_Toc237145406"/>
      <w:bookmarkStart w:id="13" w:name="_Toc185395249"/>
      <w:bookmarkStart w:id="14" w:name="_Toc286993786"/>
      <w:bookmarkStart w:id="15" w:name="_Toc241833903"/>
      <w:bookmarkStart w:id="16" w:name="_Toc282696226"/>
      <w:bookmarkStart w:id="17" w:name="_Toc239233914"/>
      <w:r>
        <w:rPr>
          <w:rFonts w:hint="eastAsia" w:ascii="仿宋" w:hAnsi="仿宋" w:eastAsia="仿宋" w:cs="仿宋"/>
          <w:bCs/>
          <w:color w:val="000000"/>
          <w:sz w:val="22"/>
          <w:szCs w:val="22"/>
          <w:highlight w:val="none"/>
        </w:rPr>
        <w:t>第三条 服务内容与质量标准</w:t>
      </w:r>
    </w:p>
    <w:p w14:paraId="3776792E">
      <w:pPr>
        <w:shd w:val="clear" w:color="auto" w:fill="auto"/>
        <w:snapToGrid w:val="0"/>
        <w:spacing w:line="360" w:lineRule="auto"/>
        <w:ind w:firstLine="482"/>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本合同所提供的服务项目内容：</w:t>
      </w:r>
      <w:r>
        <w:rPr>
          <w:rFonts w:hint="eastAsia" w:ascii="仿宋" w:hAnsi="仿宋" w:eastAsia="仿宋" w:cs="仿宋"/>
          <w:bCs/>
          <w:color w:val="000000"/>
          <w:sz w:val="22"/>
          <w:szCs w:val="22"/>
          <w:highlight w:val="none"/>
          <w:u w:val="single"/>
        </w:rPr>
        <w:t xml:space="preserve">                </w:t>
      </w:r>
      <w:r>
        <w:rPr>
          <w:rFonts w:hint="eastAsia" w:ascii="仿宋" w:hAnsi="仿宋" w:eastAsia="仿宋" w:cs="仿宋"/>
          <w:bCs/>
          <w:color w:val="000000"/>
          <w:sz w:val="22"/>
          <w:szCs w:val="22"/>
          <w:highlight w:val="none"/>
        </w:rPr>
        <w:t>（与响应文件中服务及设备明细表一致）。</w:t>
      </w:r>
    </w:p>
    <w:p w14:paraId="2F23A269">
      <w:pPr>
        <w:shd w:val="clear" w:color="auto" w:fill="auto"/>
        <w:snapToGrid w:val="0"/>
        <w:spacing w:line="360" w:lineRule="auto"/>
        <w:ind w:firstLine="482"/>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w:t>
      </w:r>
      <w:r>
        <w:rPr>
          <w:rFonts w:hint="eastAsia" w:ascii="仿宋" w:hAnsi="仿宋" w:eastAsia="仿宋" w:cs="仿宋"/>
          <w:bCs/>
          <w:color w:val="000000"/>
          <w:sz w:val="22"/>
          <w:szCs w:val="22"/>
          <w:highlight w:val="none"/>
          <w:lang w:eastAsia="zh-CN"/>
        </w:rPr>
        <w:t>服务周期及维保期</w:t>
      </w:r>
      <w:r>
        <w:rPr>
          <w:rFonts w:hint="eastAsia" w:ascii="仿宋" w:hAnsi="仿宋" w:eastAsia="仿宋" w:cs="仿宋"/>
          <w:bCs/>
          <w:color w:val="000000"/>
          <w:sz w:val="22"/>
          <w:szCs w:val="22"/>
          <w:highlight w:val="none"/>
        </w:rPr>
        <w:t>：</w:t>
      </w:r>
      <w:r>
        <w:rPr>
          <w:rFonts w:hint="eastAsia" w:ascii="仿宋" w:hAnsi="仿宋" w:eastAsia="仿宋" w:cs="仿宋"/>
          <w:bCs/>
          <w:color w:val="000000"/>
          <w:sz w:val="22"/>
          <w:szCs w:val="22"/>
          <w:highlight w:val="none"/>
          <w:u w:val="single"/>
        </w:rPr>
        <w:t xml:space="preserve">                                </w:t>
      </w:r>
      <w:r>
        <w:rPr>
          <w:rFonts w:hint="eastAsia" w:ascii="仿宋" w:hAnsi="仿宋" w:eastAsia="仿宋" w:cs="仿宋"/>
          <w:bCs/>
          <w:color w:val="000000"/>
          <w:sz w:val="22"/>
          <w:szCs w:val="22"/>
          <w:highlight w:val="none"/>
        </w:rPr>
        <w:t>。</w:t>
      </w:r>
    </w:p>
    <w:p w14:paraId="51D0D859">
      <w:pPr>
        <w:shd w:val="clear" w:color="auto" w:fill="auto"/>
        <w:snapToGrid w:val="0"/>
        <w:spacing w:line="360" w:lineRule="auto"/>
        <w:ind w:firstLine="482"/>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2、服务地点：</w:t>
      </w:r>
      <w:r>
        <w:rPr>
          <w:rFonts w:hint="eastAsia" w:ascii="仿宋" w:hAnsi="仿宋" w:eastAsia="仿宋" w:cs="仿宋"/>
          <w:bCs/>
          <w:color w:val="000000"/>
          <w:sz w:val="22"/>
          <w:szCs w:val="22"/>
          <w:highlight w:val="none"/>
          <w:u w:val="single"/>
        </w:rPr>
        <w:t xml:space="preserve">                                </w:t>
      </w:r>
      <w:r>
        <w:rPr>
          <w:rFonts w:hint="eastAsia" w:ascii="仿宋" w:hAnsi="仿宋" w:eastAsia="仿宋" w:cs="仿宋"/>
          <w:bCs/>
          <w:color w:val="000000"/>
          <w:sz w:val="22"/>
          <w:szCs w:val="22"/>
          <w:highlight w:val="none"/>
        </w:rPr>
        <w:t>。</w:t>
      </w:r>
    </w:p>
    <w:p w14:paraId="41E11D6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w:t>
      </w:r>
    </w:p>
    <w:p w14:paraId="1719C878">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第四条 服务费用</w:t>
      </w:r>
    </w:p>
    <w:p w14:paraId="08F5B1B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1、服务总费用为人民币大写：</w:t>
      </w:r>
      <w:r>
        <w:rPr>
          <w:rFonts w:hint="eastAsia" w:ascii="仿宋" w:hAnsi="仿宋" w:eastAsia="仿宋" w:cs="仿宋"/>
          <w:bCs/>
          <w:color w:val="000000"/>
          <w:sz w:val="22"/>
          <w:szCs w:val="22"/>
          <w:highlight w:val="none"/>
          <w:u w:val="single"/>
        </w:rPr>
        <w:t xml:space="preserve">        </w:t>
      </w:r>
      <w:r>
        <w:rPr>
          <w:rFonts w:hint="eastAsia" w:ascii="仿宋" w:hAnsi="仿宋" w:eastAsia="仿宋" w:cs="仿宋"/>
          <w:bCs/>
          <w:color w:val="000000"/>
          <w:sz w:val="22"/>
          <w:szCs w:val="22"/>
          <w:highlight w:val="none"/>
        </w:rPr>
        <w:t>元， RMB¥</w:t>
      </w:r>
      <w:r>
        <w:rPr>
          <w:rFonts w:hint="eastAsia" w:ascii="仿宋" w:hAnsi="仿宋" w:eastAsia="仿宋" w:cs="仿宋"/>
          <w:bCs/>
          <w:color w:val="000000"/>
          <w:sz w:val="22"/>
          <w:szCs w:val="22"/>
          <w:highlight w:val="none"/>
          <w:u w:val="single"/>
        </w:rPr>
        <w:t xml:space="preserve">       </w:t>
      </w:r>
      <w:r>
        <w:rPr>
          <w:rFonts w:hint="eastAsia" w:ascii="仿宋" w:hAnsi="仿宋" w:eastAsia="仿宋" w:cs="仿宋"/>
          <w:bCs/>
          <w:color w:val="000000"/>
          <w:sz w:val="22"/>
          <w:szCs w:val="22"/>
          <w:highlight w:val="none"/>
        </w:rPr>
        <w:t xml:space="preserve"> 。</w:t>
      </w:r>
    </w:p>
    <w:p w14:paraId="7E147A14">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2、本项目服务费用由以下组成：</w:t>
      </w:r>
    </w:p>
    <w:p w14:paraId="4D82ABCE">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（1）XX万元；</w:t>
      </w:r>
    </w:p>
    <w:p w14:paraId="08E72B2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（2）XX万元；</w:t>
      </w:r>
    </w:p>
    <w:p w14:paraId="135AFFA2">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w:t>
      </w:r>
    </w:p>
    <w:p w14:paraId="53924A9B">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3、本合同执行期间服务总费用不变，甲方无须另向乙方支付本合同规定之外的其他任何费用。</w:t>
      </w:r>
    </w:p>
    <w:p w14:paraId="702D2E1F">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第五条  服务费支付方式</w:t>
      </w:r>
    </w:p>
    <w:p w14:paraId="274DCE53">
      <w:pPr>
        <w:shd w:val="clear" w:color="auto" w:fill="auto"/>
        <w:autoSpaceDE w:val="0"/>
        <w:autoSpaceDN w:val="0"/>
        <w:adjustRightInd w:val="0"/>
        <w:snapToGrid w:val="0"/>
        <w:spacing w:line="360" w:lineRule="auto"/>
        <w:ind w:firstLine="660" w:firstLineChars="300"/>
        <w:jc w:val="left"/>
        <w:outlineLvl w:val="9"/>
        <w:rPr>
          <w:rFonts w:hint="eastAsia" w:ascii="仿宋" w:hAnsi="仿宋" w:eastAsia="仿宋" w:cs="仿宋"/>
          <w:bCs/>
          <w:color w:val="000000"/>
          <w:sz w:val="22"/>
          <w:szCs w:val="22"/>
          <w:highlight w:val="none"/>
          <w:lang w:val="en-US" w:eastAsia="zh-CN"/>
        </w:rPr>
      </w:pPr>
      <w:r>
        <w:rPr>
          <w:rFonts w:hint="eastAsia" w:ascii="仿宋" w:hAnsi="仿宋" w:eastAsia="仿宋" w:cs="仿宋"/>
          <w:bCs/>
          <w:color w:val="000000"/>
          <w:sz w:val="22"/>
          <w:szCs w:val="22"/>
          <w:highlight w:val="none"/>
          <w:lang w:val="en-US" w:eastAsia="zh-CN"/>
        </w:rPr>
        <w:t>执行招标文件内要求</w:t>
      </w:r>
    </w:p>
    <w:p w14:paraId="0317A7D1">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第六条   知识产权</w:t>
      </w:r>
    </w:p>
    <w:p w14:paraId="220BA218">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乙方应保证所提供的服务或其任何一部分均不会侵犯任何第三方的专利权、商标权或著作权。</w:t>
      </w:r>
    </w:p>
    <w:p w14:paraId="27E8857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第七条  无产权瑕疵条款</w:t>
      </w:r>
    </w:p>
    <w:p w14:paraId="3739F796">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乙方保证所提供的服务的所有权完全属于乙方且无任何抵押、查封等产权瑕疵。如有产权瑕疵的，视为乙方违约。乙方应负担由此而产生的一切损失。</w:t>
      </w:r>
    </w:p>
    <w:p w14:paraId="58C7088C">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第八条  甲方的权利和义务</w:t>
      </w:r>
    </w:p>
    <w:p w14:paraId="24DE7248">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A370B24">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2、甲方有权依据双方签订的考评办法对乙方提供的服务进行定期考评。</w:t>
      </w:r>
    </w:p>
    <w:p w14:paraId="10E1AE1A">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3、负责检查监督乙方管理工作的实施及制度的执行情况。</w:t>
      </w:r>
    </w:p>
    <w:p w14:paraId="573E6DB7">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4、根据本合同规定，按时向乙方支付应付服务费用。</w:t>
      </w:r>
    </w:p>
    <w:p w14:paraId="42B60094">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5、国家法律、法规所规定由甲方承担的其它责任。</w:t>
      </w:r>
    </w:p>
    <w:p w14:paraId="1EE14D6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第九条  乙方的权利和义务</w:t>
      </w:r>
    </w:p>
    <w:p w14:paraId="3D84BDB4">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1、对本合同规定的委托服务范围内的项目享有管理权及服务义务。</w:t>
      </w:r>
    </w:p>
    <w:p w14:paraId="74A209A9">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2、根据本合同的规定向甲方收取相关服务费用，并有权在本项目管理范围内管理及合理使用。</w:t>
      </w:r>
    </w:p>
    <w:p w14:paraId="500615A5">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3、及时向甲方通告本项目服务范围内有关服务的重大事项，及时配合处理投诉。</w:t>
      </w:r>
    </w:p>
    <w:p w14:paraId="6AABB909">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4、接受项目行业管理部门及政府有关部门的指导，接受甲方的监督。</w:t>
      </w:r>
    </w:p>
    <w:p w14:paraId="440ECF8A">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5、国家法律、法规所规定由乙方承担的其它责任。</w:t>
      </w:r>
    </w:p>
    <w:p w14:paraId="67789DCB">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第十条  违约责任</w:t>
      </w:r>
    </w:p>
    <w:p w14:paraId="78C652F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1、甲乙双方必须遵守本合同并执行合同中的各项规定，保证本合同的正常履行。</w:t>
      </w:r>
    </w:p>
    <w:p w14:paraId="7F2D9B1A">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5B3900B">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第十一条  不可抗力事件处理</w:t>
      </w:r>
    </w:p>
    <w:p w14:paraId="0EE1DA9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1、在合同有效期内，任何一方因不可抗力事件导致不能履行合同，则合同履行期可延长，其延长期与不可抗力影响期相同。</w:t>
      </w:r>
    </w:p>
    <w:p w14:paraId="288658AF">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2、不可抗力事件发生后，应立即通知对方，并寄送有关权威机构出具的证明。</w:t>
      </w:r>
    </w:p>
    <w:p w14:paraId="182EB75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01300D">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bookmarkStart w:id="18" w:name="_Toc185395254"/>
      <w:bookmarkStart w:id="19" w:name="_Toc225654649"/>
      <w:bookmarkStart w:id="20" w:name="_Toc238984980"/>
      <w:bookmarkStart w:id="21" w:name="_Toc225244857"/>
      <w:bookmarkStart w:id="22" w:name="_Toc232492933"/>
      <w:bookmarkStart w:id="23" w:name="_Toc211911353"/>
      <w:bookmarkStart w:id="24" w:name="_Toc212019599"/>
      <w:bookmarkStart w:id="25" w:name="_Toc211854454"/>
      <w:bookmarkStart w:id="26" w:name="_Toc239568423"/>
      <w:bookmarkStart w:id="27" w:name="_Toc241833908"/>
      <w:bookmarkStart w:id="28" w:name="_Toc251768867"/>
      <w:bookmarkStart w:id="29" w:name="_Toc237145411"/>
      <w:bookmarkStart w:id="30" w:name="_Toc225670756"/>
      <w:bookmarkStart w:id="31" w:name="_Toc247334846"/>
      <w:bookmarkStart w:id="32" w:name="_Toc239233919"/>
      <w:bookmarkStart w:id="33" w:name="_Toc286993792"/>
      <w:r>
        <w:rPr>
          <w:rFonts w:hint="eastAsia" w:ascii="仿宋" w:hAnsi="仿宋" w:eastAsia="仿宋" w:cs="仿宋"/>
          <w:bCs/>
          <w:color w:val="000000"/>
          <w:sz w:val="22"/>
          <w:szCs w:val="22"/>
          <w:highlight w:val="none"/>
        </w:rPr>
        <w:t>第十二条  合同的变更和终止</w:t>
      </w:r>
    </w:p>
    <w:p w14:paraId="542F27F7">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除《中华人民共和国政府采购法》第49条、第50条第二款规定的情形外，本合同一经签订，甲乙双方不得擅自变更、中止或终止合同。</w:t>
      </w:r>
    </w:p>
    <w:p w14:paraId="2D3556B8">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C39923">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1、在执行本合同中发生的或与本合同有关的争端，双方应通过友好协商解决，经协商在XX天内不能达成协议时，则采取以下第____种方式解决争议：</w:t>
      </w:r>
    </w:p>
    <w:p w14:paraId="1B844FA7">
      <w:pPr>
        <w:shd w:val="clear" w:color="auto" w:fill="auto"/>
        <w:autoSpaceDE w:val="0"/>
        <w:autoSpaceDN w:val="0"/>
        <w:adjustRightInd w:val="0"/>
        <w:snapToGrid w:val="0"/>
        <w:spacing w:line="360" w:lineRule="auto"/>
        <w:ind w:firstLine="220" w:firstLineChars="1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（1）向甲方所在地有管辖权的人民法院提起诉讼；</w:t>
      </w:r>
    </w:p>
    <w:p w14:paraId="38378514">
      <w:pPr>
        <w:shd w:val="clear" w:color="auto" w:fill="auto"/>
        <w:autoSpaceDE w:val="0"/>
        <w:autoSpaceDN w:val="0"/>
        <w:adjustRightInd w:val="0"/>
        <w:snapToGrid w:val="0"/>
        <w:spacing w:line="360" w:lineRule="auto"/>
        <w:ind w:firstLine="220" w:firstLineChars="1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（2）向____________仲裁委员会按其仲裁规则申请仲裁。</w:t>
      </w:r>
    </w:p>
    <w:p w14:paraId="10A41CC7">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2、在仲裁期间，本合同应继续履行。</w:t>
      </w:r>
    </w:p>
    <w:p w14:paraId="0E334E9B">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bookmarkStart w:id="34" w:name="_Toc239233920"/>
      <w:bookmarkStart w:id="35" w:name="_Toc241833909"/>
      <w:bookmarkStart w:id="36" w:name="_Toc251768868"/>
      <w:bookmarkStart w:id="37" w:name="_Toc211854455"/>
      <w:bookmarkStart w:id="38" w:name="_Toc237145412"/>
      <w:bookmarkStart w:id="39" w:name="_Toc185395255"/>
      <w:bookmarkStart w:id="40" w:name="_Toc239568424"/>
      <w:bookmarkStart w:id="41" w:name="_Toc247334847"/>
      <w:bookmarkStart w:id="42" w:name="_Toc238984981"/>
      <w:bookmarkStart w:id="43" w:name="_Toc282696231"/>
      <w:bookmarkStart w:id="44" w:name="_Toc225244858"/>
      <w:bookmarkStart w:id="45" w:name="_Toc225654650"/>
      <w:bookmarkStart w:id="46" w:name="_Toc283019219"/>
      <w:bookmarkStart w:id="47" w:name="_Toc232492934"/>
      <w:bookmarkStart w:id="48" w:name="_Toc211911354"/>
      <w:bookmarkStart w:id="49" w:name="_Toc212019600"/>
      <w:bookmarkStart w:id="50" w:name="_Toc286993793"/>
      <w:bookmarkStart w:id="51" w:name="_Toc225670757"/>
      <w:r>
        <w:rPr>
          <w:rFonts w:hint="eastAsia" w:ascii="仿宋" w:hAnsi="仿宋" w:eastAsia="仿宋" w:cs="仿宋"/>
          <w:bCs/>
          <w:color w:val="000000"/>
          <w:sz w:val="22"/>
          <w:szCs w:val="22"/>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color w:val="000000"/>
          <w:sz w:val="22"/>
          <w:szCs w:val="22"/>
          <w:highlight w:val="none"/>
        </w:rPr>
        <w:t>生效及其他</w:t>
      </w:r>
    </w:p>
    <w:p w14:paraId="0156956E">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1、合同经双方法定代表人或授权委托代理人签字并加盖单位公章后生效。</w:t>
      </w:r>
    </w:p>
    <w:p w14:paraId="1848E59B">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2、合同执行中涉及采购资金和采购内容修改或补充的，须经政府采购监管部门审批，并签书面补充协议报政府采购监督管理部门备案，方可作为主合同不可分割的一部分。</w:t>
      </w:r>
    </w:p>
    <w:p w14:paraId="0C3C9315">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3、本合同一式XX份，自双方签章之日起起效。甲方XX份，乙方XX份，政府采购代理机构XX份，同级财政部门备案XX份，具有同等法律效力。</w:t>
      </w:r>
    </w:p>
    <w:p w14:paraId="6D9DBAF7">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第十五条  附件</w:t>
      </w:r>
    </w:p>
    <w:p w14:paraId="6E167F17">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1、项目</w:t>
      </w:r>
      <w:r>
        <w:rPr>
          <w:rFonts w:hint="eastAsia" w:ascii="仿宋" w:hAnsi="仿宋" w:eastAsia="仿宋" w:cs="仿宋"/>
          <w:bCs/>
          <w:color w:val="000000"/>
          <w:sz w:val="22"/>
          <w:szCs w:val="22"/>
          <w:highlight w:val="none"/>
          <w:lang w:val="en-US" w:eastAsia="zh-CN"/>
        </w:rPr>
        <w:t>招标</w:t>
      </w:r>
      <w:r>
        <w:rPr>
          <w:rFonts w:hint="eastAsia" w:ascii="仿宋" w:hAnsi="仿宋" w:eastAsia="仿宋" w:cs="仿宋"/>
          <w:bCs/>
          <w:color w:val="000000"/>
          <w:sz w:val="22"/>
          <w:szCs w:val="22"/>
          <w:highlight w:val="none"/>
        </w:rPr>
        <w:t>文件</w:t>
      </w:r>
    </w:p>
    <w:p w14:paraId="31E9E6A4">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2、项目修改澄清文件</w:t>
      </w:r>
    </w:p>
    <w:p w14:paraId="2BDAB4E1">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3、项目</w:t>
      </w:r>
      <w:r>
        <w:rPr>
          <w:rFonts w:hint="eastAsia" w:ascii="仿宋" w:hAnsi="仿宋" w:eastAsia="仿宋" w:cs="仿宋"/>
          <w:bCs/>
          <w:color w:val="000000"/>
          <w:sz w:val="22"/>
          <w:szCs w:val="22"/>
          <w:highlight w:val="none"/>
          <w:lang w:val="en-US" w:eastAsia="zh-CN"/>
        </w:rPr>
        <w:t>投标</w:t>
      </w:r>
      <w:r>
        <w:rPr>
          <w:rFonts w:hint="eastAsia" w:ascii="仿宋" w:hAnsi="仿宋" w:eastAsia="仿宋" w:cs="仿宋"/>
          <w:bCs/>
          <w:color w:val="000000"/>
          <w:sz w:val="22"/>
          <w:szCs w:val="22"/>
          <w:highlight w:val="none"/>
        </w:rPr>
        <w:t>文件</w:t>
      </w:r>
    </w:p>
    <w:p w14:paraId="7EF03B42">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4、</w:t>
      </w:r>
      <w:r>
        <w:rPr>
          <w:rFonts w:hint="eastAsia" w:ascii="仿宋" w:hAnsi="仿宋" w:eastAsia="仿宋" w:cs="仿宋"/>
          <w:bCs/>
          <w:color w:val="000000"/>
          <w:sz w:val="22"/>
          <w:szCs w:val="22"/>
          <w:highlight w:val="none"/>
          <w:lang w:val="en-US" w:eastAsia="zh-CN"/>
        </w:rPr>
        <w:t>中标</w:t>
      </w:r>
      <w:r>
        <w:rPr>
          <w:rFonts w:hint="eastAsia" w:ascii="仿宋" w:hAnsi="仿宋" w:eastAsia="仿宋" w:cs="仿宋"/>
          <w:bCs/>
          <w:color w:val="000000"/>
          <w:sz w:val="22"/>
          <w:szCs w:val="22"/>
          <w:highlight w:val="none"/>
        </w:rPr>
        <w:t>通知书</w:t>
      </w:r>
    </w:p>
    <w:p w14:paraId="2C4F573C">
      <w:pPr>
        <w:shd w:val="clear" w:color="auto" w:fill="auto"/>
        <w:autoSpaceDE w:val="0"/>
        <w:autoSpaceDN w:val="0"/>
        <w:adjustRightInd w:val="0"/>
        <w:snapToGrid w:val="0"/>
        <w:spacing w:line="360" w:lineRule="auto"/>
        <w:ind w:firstLine="440" w:firstLineChars="200"/>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5、其他</w:t>
      </w:r>
    </w:p>
    <w:p w14:paraId="39A8E06E">
      <w:pPr>
        <w:pStyle w:val="4"/>
        <w:shd w:val="clear" w:color="auto" w:fill="auto"/>
        <w:snapToGrid w:val="0"/>
        <w:spacing w:after="0" w:line="360" w:lineRule="auto"/>
        <w:ind w:left="0" w:leftChars="0" w:firstLine="0" w:firstLineChars="0"/>
        <w:outlineLvl w:val="9"/>
        <w:rPr>
          <w:rFonts w:ascii="仿宋" w:hAnsi="仿宋" w:eastAsia="仿宋" w:cs="仿宋"/>
          <w:bCs/>
          <w:color w:val="000000"/>
          <w:sz w:val="22"/>
          <w:szCs w:val="22"/>
          <w:highlight w:val="none"/>
        </w:rPr>
      </w:pPr>
    </w:p>
    <w:p w14:paraId="79B5BE8B">
      <w:pPr>
        <w:shd w:val="clear" w:color="auto" w:fill="auto"/>
        <w:outlineLvl w:val="9"/>
        <w:rPr>
          <w:rFonts w:ascii="仿宋" w:hAnsi="仿宋" w:eastAsia="仿宋" w:cs="仿宋"/>
          <w:bCs/>
          <w:color w:val="000000"/>
          <w:sz w:val="22"/>
          <w:szCs w:val="22"/>
          <w:highlight w:val="none"/>
        </w:rPr>
      </w:pPr>
    </w:p>
    <w:p w14:paraId="50A4A150">
      <w:pPr>
        <w:shd w:val="clear" w:color="auto" w:fill="auto"/>
        <w:outlineLvl w:val="9"/>
        <w:rPr>
          <w:rFonts w:ascii="仿宋" w:hAnsi="仿宋" w:eastAsia="仿宋" w:cs="仿宋"/>
          <w:bCs/>
          <w:color w:val="000000"/>
          <w:sz w:val="22"/>
          <w:szCs w:val="22"/>
          <w:highlight w:val="none"/>
        </w:rPr>
      </w:pPr>
    </w:p>
    <w:p w14:paraId="4C2FCF7A">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 xml:space="preserve">甲方：   （盖章）   </w:t>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 xml:space="preserve">       乙方：   （盖章）</w:t>
      </w:r>
    </w:p>
    <w:p w14:paraId="3DA9EA1A">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法定代表人（授权代表）：              法定代表人（授权代表）：</w:t>
      </w:r>
    </w:p>
    <w:p w14:paraId="2BA718A6">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地    址：                            地    址：</w:t>
      </w:r>
    </w:p>
    <w:p w14:paraId="05D8F9EC">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开户银行：                            开户银行：</w:t>
      </w:r>
    </w:p>
    <w:p w14:paraId="313EEFF1">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账号：                                账号：</w:t>
      </w:r>
    </w:p>
    <w:p w14:paraId="674E057C">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电    话：                            电    话：</w:t>
      </w:r>
    </w:p>
    <w:p w14:paraId="187D02C4">
      <w:pPr>
        <w:shd w:val="clear" w:color="auto" w:fill="auto"/>
        <w:autoSpaceDE w:val="0"/>
        <w:autoSpaceDN w:val="0"/>
        <w:adjustRightInd w:val="0"/>
        <w:snapToGrid w:val="0"/>
        <w:spacing w:line="360" w:lineRule="auto"/>
        <w:jc w:val="left"/>
        <w:outlineLvl w:val="9"/>
        <w:rPr>
          <w:rFonts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传    真：                            传    真：</w:t>
      </w:r>
    </w:p>
    <w:p w14:paraId="5BFF67E7">
      <w:pPr>
        <w:shd w:val="clear" w:color="auto" w:fill="auto"/>
        <w:autoSpaceDE w:val="0"/>
        <w:autoSpaceDN w:val="0"/>
        <w:adjustRightInd w:val="0"/>
        <w:snapToGrid w:val="0"/>
        <w:spacing w:line="360" w:lineRule="auto"/>
        <w:jc w:val="left"/>
        <w:outlineLvl w:val="9"/>
        <w:rPr>
          <w:rFonts w:ascii="黑体" w:hAnsi="黑体" w:eastAsia="黑体" w:cs="黑体"/>
          <w:b/>
          <w:bCs/>
          <w:color w:val="000000"/>
          <w:sz w:val="36"/>
          <w:szCs w:val="36"/>
          <w:highlight w:val="none"/>
        </w:rPr>
      </w:pPr>
      <w:r>
        <w:rPr>
          <w:rFonts w:hint="eastAsia" w:ascii="仿宋" w:hAnsi="仿宋" w:eastAsia="仿宋" w:cs="仿宋"/>
          <w:bCs/>
          <w:color w:val="000000"/>
          <w:sz w:val="22"/>
          <w:szCs w:val="22"/>
          <w:highlight w:val="none"/>
        </w:rPr>
        <w:t xml:space="preserve">签约日期：  年  月  日 </w:t>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ab/>
      </w:r>
      <w:r>
        <w:rPr>
          <w:rFonts w:hint="eastAsia" w:ascii="仿宋" w:hAnsi="仿宋" w:eastAsia="仿宋" w:cs="仿宋"/>
          <w:bCs/>
          <w:color w:val="000000"/>
          <w:sz w:val="22"/>
          <w:szCs w:val="22"/>
          <w:highlight w:val="none"/>
        </w:rPr>
        <w:t xml:space="preserve">    签约日期：  年  月  日</w:t>
      </w:r>
    </w:p>
    <w:p w14:paraId="0EA7E455">
      <w:pPr>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书宋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910B3F"/>
    <w:rsid w:val="6D6248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4">
    <w:name w:val="Body Text First Indent 2"/>
    <w:basedOn w:val="3"/>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1694</Words>
  <Characters>1722</Characters>
  <Lines>0</Lines>
  <Paragraphs>0</Paragraphs>
  <TotalTime>0</TotalTime>
  <ScaleCrop>false</ScaleCrop>
  <LinksUpToDate>false</LinksUpToDate>
  <CharactersWithSpaces>2071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2026-01-15T03:04:50Z</dcterms:created>
  <dc:creator>Administrator</dc:creator>
  <cp:lastModifiedBy>W</cp:lastModifiedBy>
  <dcterms:modified xsi:type="dcterms:W3CDTF">2026-02-26T03:21:09Z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eyJoZGlkIjoiYTQyNGVkNzNmMDFhNDNiNzdiZTk1NzU4OWUyYjM2NzEiLCJ1c2VySWQiOiI5MzQxODUwOTkifQ==</vt:lpwstr>
  </property>
  <property fmtid="{D5CDD505-2E9C-101B-9397-08002B2CF9AE}" pid="4" name="ICV">
    <vt:lpwstr>1331255932CB481495B75A091EFBB874_13</vt:lpwstr>
  </property>
</Properties>
</file>