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版本号：GXZB2026-020Z20260228001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汉中市美丽城市建设总体方案编制及创建项目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GXZB2026-020Z</w:t>
      </w:r>
      <w:r>
        <w:br/>
      </w:r>
      <w:r>
        <w:br/>
      </w:r>
      <w:r>
        <w:br/>
      </w:r>
    </w:p>
    <w:p>
      <w:pPr>
        <w:pStyle w:val="null3"/>
        <w:jc w:val="center"/>
        <w:outlineLvl w:val="2"/>
      </w:pPr>
      <w:r>
        <w:rPr>
          <w:rFonts w:ascii="仿宋_GB2312" w:hAnsi="仿宋_GB2312" w:cs="仿宋_GB2312" w:eastAsia="仿宋_GB2312"/>
          <w:sz w:val="28"/>
          <w:b/>
        </w:rPr>
        <w:t>汉中市生态环境科学研究所</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汉中市生态环境科学研究所</w:t>
      </w:r>
      <w:r>
        <w:rPr>
          <w:rFonts w:ascii="仿宋_GB2312" w:hAnsi="仿宋_GB2312" w:cs="仿宋_GB2312" w:eastAsia="仿宋_GB2312"/>
        </w:rPr>
        <w:t>委托，拟对</w:t>
      </w:r>
      <w:r>
        <w:rPr>
          <w:rFonts w:ascii="仿宋_GB2312" w:hAnsi="仿宋_GB2312" w:cs="仿宋_GB2312" w:eastAsia="仿宋_GB2312"/>
        </w:rPr>
        <w:t>汉中市美丽城市建设总体方案编制及创建项目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GXZB2026-020Z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汉中市美丽城市建设总体方案编制及创建项目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扎实推进美丽中国先行区建设，绿色低碳、环境优美、生态宜居、安全健康、智慧高效的美丽城市，编制完成《汉中市美丽城市建设总体方案》并正式印发包括方案的初步构思、详细编制直至后期评估反馈等工作内容，建立定期评估机制，于2027、2030年关键节点形成评估报告，精准发现问题，保障建设持续推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采购包1（汉中市美丽城市建设总体方案编制及创建项目）：属于专门面向中小企业采购。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提供《汉中市政府采购供应商资格承诺函》。</w:t>
      </w:r>
    </w:p>
    <w:p>
      <w:pPr>
        <w:pStyle w:val="null3"/>
      </w:pPr>
      <w:r>
        <w:rPr>
          <w:rFonts w:ascii="仿宋_GB2312" w:hAnsi="仿宋_GB2312" w:cs="仿宋_GB2312" w:eastAsia="仿宋_GB2312"/>
        </w:rPr>
        <w:t>3、非联合体声明函：本项目不接受联合体磋商，单位负责人为同一人或者存在控股、管理关系的不同单位不得同时参与本项目磋商响应【注：提供“非联合体声明函”】</w:t>
      </w:r>
    </w:p>
    <w:p>
      <w:pPr>
        <w:pStyle w:val="null3"/>
      </w:pPr>
      <w:r>
        <w:rPr>
          <w:rFonts w:ascii="仿宋_GB2312" w:hAnsi="仿宋_GB2312" w:cs="仿宋_GB2312" w:eastAsia="仿宋_GB2312"/>
        </w:rPr>
        <w:t>4、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汉中市生态环境科学研究所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汉台区前进西路与兴元路什字西北角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汉中市生态环境科学研究所经办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0916-2998925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高丹、孙翠、张晓筱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029-82680977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开户名称：陕西国信招标有限公司</w:t>
            </w:r>
          </w:p>
          <w:p>
            <w:pPr>
              <w:pStyle w:val="null3"/>
            </w:pPr>
            <w:r>
              <w:rPr>
                <w:rFonts w:ascii="仿宋_GB2312" w:hAnsi="仿宋_GB2312" w:cs="仿宋_GB2312" w:eastAsia="仿宋_GB2312"/>
              </w:rPr>
              <w:t>开户银行：浙商银行西安高新开发区支行</w:t>
            </w:r>
          </w:p>
          <w:p>
            <w:pPr>
              <w:pStyle w:val="null3"/>
            </w:pPr>
            <w:r>
              <w:rPr>
                <w:rFonts w:ascii="仿宋_GB2312" w:hAnsi="仿宋_GB2312" w:cs="仿宋_GB2312" w:eastAsia="仿宋_GB2312"/>
              </w:rPr>
              <w:t>银行账号：791 0000 110120 1000 56187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汉中市生态环境科学研究所</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汉中市生态环境科学研究所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汉中市生态环境科学研究所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联系人：高丹、孙翠、张晓筱</w:t>
      </w:r>
    </w:p>
    <w:p>
      <w:pPr>
        <w:pStyle w:val="null3"/>
      </w:pPr>
      <w:r>
        <w:rPr>
          <w:rFonts w:ascii="仿宋_GB2312" w:hAnsi="仿宋_GB2312" w:cs="仿宋_GB2312" w:eastAsia="仿宋_GB2312"/>
        </w:rPr>
        <w:t>联系电话：029-82680977</w:t>
      </w:r>
    </w:p>
    <w:p>
      <w:pPr>
        <w:pStyle w:val="null3"/>
      </w:pPr>
      <w:r>
        <w:rPr>
          <w:rFonts w:ascii="仿宋_GB2312" w:hAnsi="仿宋_GB2312" w:cs="仿宋_GB2312" w:eastAsia="仿宋_GB2312"/>
        </w:rPr>
        <w:t>地址：西安市曲江新区旺座曲江B座3105</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扎实推进美丽中国先行区建设，绿色低碳、环境优美、生态宜居、安全健康、智慧高效的美丽城市，编制完成《汉中市美丽城市建设总体方案》并正式印发包括方案的初步构思、详细编制直至后期评估反馈等工作内容，建立定期评估机制，于2027、2030年关键节点形成评估报告，精准发现问题，保障建设持续推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方案编制及创建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标的名称：方案编制及创建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扎实推进美丽中国先行区建设，绿色低碳、环境优美、生态宜居、安全健康、智慧高效的美丽城市，编制完成《汉中市美丽城市建设总体方案》并正式印发包括方案的初步构思、详细编制直至后期评估反馈等工作内容，建立定期评估机制，于2027、2030年关键节点形成评估报告，精准发现问题，保障建设持续推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自合同签订之日起至2030年完成并交付采购人</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按国家现行项目实施规范和合同规定的验收评定标准等要求进行验收。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完成方案编制后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2027年形成评估报告后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2030年形成评估报告后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 金，且甲方有权单方解除本合同。但甲方书面同意延迟或因甲方原因导致延迟的，乙方不承担违约责任。 2.本次活动因乙方 原因导致侵害甲方或第三方合法权益的，应由乙方承担相应赔偿责任，并向甲方支付合同总价款10%的违约金。 3.若乙方未 经甲方同意泄露本合同约定的任何秘密信息的，乙方应按照合同总价款的10%向甲方支付违约金，并赔偿因此给甲方造成的 损失。 4.乙方保证向甲方开具发票的真实性、合法性，若乙方向甲方开具的发票存在真实性、合法性问题，给甲方造成损失 的，乙方应按合同总价款的10%向甲方支付违约金，违约金不足以弥补损失的，乙方还应承担相应赔偿责任。 5.成交人应在 合同签订后3个工作日内安排人员就项目实施工作进行安排部署。 6.若未能在服务期限内完成合同规定的义务，由此对采购人 造成的延误和一切损失，由成交人承担和赔偿。 7.按《中华人民共和国民法典》中的相关条款执行。 8.未按合同要求提供服 务或质量标准不能满足技术要求，采购人有权终止合同，并对成交人违约行为进行追究，同时按《中华人民共和国政府采购 法》的有关规定进行处罚。 二、解决争议的方法：执行本合同过程中发生争议，应友好协商解决，协商不成的，可协商或有关部门调解解决，协商或调解不成的，可向采购方所在地仲裁委员会提起诉讼。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本项目不接受联合体磋商，单位负责人为同一人或者存在控股、管理关系的不同单位不得同时参与本项目磋商响应【注：提供“非联合体声明函”】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符合竞争性磋商文件内要求。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总体要求</w:t>
            </w:r>
          </w:p>
        </w:tc>
        <w:tc>
          <w:tcPr>
            <w:tcW w:type="dxa" w:w="2492"/>
          </w:tcPr>
          <w:p>
            <w:pPr>
              <w:pStyle w:val="null3"/>
            </w:pPr>
            <w:r>
              <w:rPr>
                <w:rFonts w:ascii="仿宋_GB2312" w:hAnsi="仿宋_GB2312" w:cs="仿宋_GB2312" w:eastAsia="仿宋_GB2312"/>
              </w:rPr>
              <w:t>一、评审内容：供应商对本项目工作背景进行深入分析和研究①项目理解、②工作思路、③工作依据、④效益分析。 二、评审标准：（1）完整性：对上述各项内容均有描述，得4分；每缺1项扣1分，扣完为止。（2）针对性：上述各项内容针对性强，每项内容得2分；针对性一般，每项内容得1分；缺乏针对性，每项内容得0分。（3）可实施性：上述各项内容可实施性强，每项内容得2分；可实施性一般，每项内容得1分；缺乏可实施性，每项内容得0分。 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对本项目工作背景进行深入分析和研究，充分考虑和理解本项目采购需求，提供实施方案成果文件的主要方向响应程度：①.绿色低碳方面②.环境优美方面③.生态宜居方面④.安全健康方面⑤.智慧高效方面。 二、评审标准： （1）完整性：对上述各项内容均有描述，得5分；每缺1项扣1分，扣完为止。 （2）针对性：上述各项内容针对性强，每项内容得2分；针对性一般，每项内容得1分；缺乏针对性，每项内容得0分。 （3）可实施性：上述各项内容可实施性强，每项内容得2分；可实施性一般，每项内容得1分；缺乏可实施性，每项内容得0分。 此项不提供不得分。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一、评审内容:针对本项目提供详细的进度组织安排及成果方案包括：①项目进度安排；②组织协调措施 ；③成果质量保证措施。 二、评审标准： （1）完整性：对上述各项内容均有描述，得3分；每缺1项扣1分，扣完为止。 （2）针对性：上述各项内容针对性强，每项内容得1分；针对性一般，每项内容得0.5分；缺乏针对性，每项内容得0分。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一、评审内容:针对本项目提供详细的重难点分析方案包括：①在项目实施过程中提出容易出错或忽略的 重点、难点分析；②针对所提出的重点、难点有相应的解决方案。 二、评审标准： （1）完整性：对上述各项内容均有描述，得2分；每缺1项扣1分，扣完为止。 （2）针对性：上述各项内容针对性强，每项内容得1分；针对性一般，每项内容得0.5分；缺乏针对性，每项内容得0分。 （3）可实施性：上述各项内容可实施性强，每项内容得1分；可实施性一般，每项内容得0.5分；缺乏可实施性，每项内容得0分。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应急保密及验收措施</w:t>
            </w:r>
          </w:p>
        </w:tc>
        <w:tc>
          <w:tcPr>
            <w:tcW w:type="dxa" w:w="2492"/>
          </w:tcPr>
          <w:p>
            <w:pPr>
              <w:pStyle w:val="null3"/>
            </w:pPr>
            <w:r>
              <w:rPr>
                <w:rFonts w:ascii="仿宋_GB2312" w:hAnsi="仿宋_GB2312" w:cs="仿宋_GB2312" w:eastAsia="仿宋_GB2312"/>
              </w:rPr>
              <w:t>一、评审内容:针对本项目提供详细的应急保密及验收措施包括：①应急方案及措施；②保密措施；③验收措施。 二、评审标准： （1）完整性：对上述各项内容均有描述，得3分；每缺1项扣1分，扣完为止。 （2）针对性：上述各项内容针对性强，每项内容得1.5分；针对性一般，每项内容得0.5分；缺乏针对性，每项内容得0分。 （3）可实施性：上述各项内容可实施性强，每项内容得1.5分；可实施性一般，每项内容得0.5分；缺乏可实施性，每项内容得0分。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项目负责人须为供应商在职人员，提供证明材料（社保缴纳证明或人员劳动合同），否则不计分。 1.拟派项目负责人具有环境影响评价工程师职业资格证书及注册咨询工程师证书，复印件得2分；具有环境类专业相关高级职称提供证书复印件得2分。 2.具有相关项目经验：提供2023年1月1日至今类似项目业绩，提供合同复印件加盖公章，合同以签订日期为准，每提供一份合同得1.5分，最高得3分。（项目负责人业绩与公司业绩不重复计分，供应商在响应文件中注明业绩归属，未注明业绩归属的在评审时不予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团队人员（项目负责人除外）</w:t>
            </w:r>
          </w:p>
        </w:tc>
        <w:tc>
          <w:tcPr>
            <w:tcW w:type="dxa" w:w="2492"/>
          </w:tcPr>
          <w:p>
            <w:pPr>
              <w:pStyle w:val="null3"/>
            </w:pPr>
            <w:r>
              <w:rPr>
                <w:rFonts w:ascii="仿宋_GB2312" w:hAnsi="仿宋_GB2312" w:cs="仿宋_GB2312" w:eastAsia="仿宋_GB2312"/>
              </w:rPr>
              <w:t>项目团队人员须为供应商在职人员，提供证明材料（社保缴纳证明或人员劳动合同），否则不计分。 1、技术团队其他人员具有环境类专业相关高级职称提供证书复印件得1分，每有1人提供证书复印件得1分，最高得3分，未提供不计分。 2、技术团队其他人员每有1人提供环境影响评价工程师职业资格证书及注册咨询工程师证书复印件得1分，最高得3分，未提供不计分。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提供2023年1月1日至今（以合同签订时间为准）类似项目业绩，每提供1个计2.5分，最多计5分。 备注：须提供业绩合同(关键内容页)并加盖供应商公章，否则不得分。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1.满足采购文件要求,以平均价格为评审基准价，其价格分为满分。 2.其他供应商的价格分统一按照（评审基准价/评审价×10）的公式计算价格得分。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