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65286">
      <w:pPr>
        <w:spacing w:line="460" w:lineRule="exact"/>
        <w:ind w:right="-301" w:rightChars="-94"/>
        <w:jc w:val="center"/>
        <w:rPr>
          <w:rFonts w:hint="eastAsia" w:ascii="宋体" w:hAnsi="宋体" w:eastAsia="宋体" w:cs="宋体"/>
          <w:b/>
          <w:color w:val="auto"/>
          <w:sz w:val="22"/>
          <w:szCs w:val="22"/>
          <w:highlight w:val="none"/>
          <w:lang w:eastAsia="zh-CN"/>
        </w:rPr>
      </w:pPr>
      <w:bookmarkStart w:id="0" w:name="_Toc169940955"/>
      <w:bookmarkStart w:id="1" w:name="_Toc145989449"/>
      <w:bookmarkStart w:id="2" w:name="_Toc132684565"/>
      <w:r>
        <w:rPr>
          <w:rFonts w:hint="eastAsia" w:ascii="宋体" w:hAnsi="宋体" w:eastAsia="宋体" w:cs="宋体"/>
          <w:b/>
          <w:color w:val="auto"/>
          <w:sz w:val="21"/>
          <w:szCs w:val="21"/>
          <w:highlight w:val="none"/>
          <w:lang w:eastAsia="zh-CN"/>
        </w:rPr>
        <w:t>（此模板</w:t>
      </w:r>
      <w:r>
        <w:rPr>
          <w:rFonts w:hint="eastAsia" w:ascii="宋体" w:hAnsi="宋体" w:eastAsia="宋体" w:cs="宋体"/>
          <w:b/>
          <w:color w:val="auto"/>
          <w:sz w:val="21"/>
          <w:szCs w:val="21"/>
          <w:highlight w:val="none"/>
        </w:rPr>
        <w:t>供参考</w:t>
      </w:r>
      <w:r>
        <w:rPr>
          <w:rFonts w:hint="eastAsia" w:ascii="宋体" w:hAnsi="宋体" w:eastAsia="宋体" w:cs="宋体"/>
          <w:b/>
          <w:color w:val="auto"/>
          <w:sz w:val="21"/>
          <w:szCs w:val="21"/>
          <w:highlight w:val="none"/>
          <w:lang w:eastAsia="zh-CN"/>
        </w:rPr>
        <w:t>，使用过程中请结合项目特点，充实细化。最终稿</w:t>
      </w:r>
      <w:r>
        <w:rPr>
          <w:rFonts w:hint="eastAsia" w:ascii="宋体" w:hAnsi="宋体" w:eastAsia="宋体" w:cs="宋体"/>
          <w:b/>
          <w:color w:val="auto"/>
          <w:sz w:val="21"/>
          <w:szCs w:val="21"/>
          <w:highlight w:val="none"/>
          <w:lang w:val="en-US" w:eastAsia="zh-CN"/>
        </w:rPr>
        <w:t>以甲乙双方实际签订为准</w:t>
      </w:r>
      <w:r>
        <w:rPr>
          <w:rFonts w:hint="eastAsia" w:ascii="宋体" w:hAnsi="宋体" w:eastAsia="宋体" w:cs="宋体"/>
          <w:b/>
          <w:color w:val="auto"/>
          <w:sz w:val="21"/>
          <w:szCs w:val="21"/>
          <w:highlight w:val="none"/>
          <w:lang w:eastAsia="zh-CN"/>
        </w:rPr>
        <w:t>）</w:t>
      </w:r>
    </w:p>
    <w:p w14:paraId="58600B21">
      <w:pPr>
        <w:jc w:val="center"/>
        <w:rPr>
          <w:rFonts w:hint="eastAsia" w:ascii="宋体" w:hAnsi="宋体" w:eastAsia="宋体" w:cs="宋体"/>
          <w:b/>
          <w:color w:val="auto"/>
          <w:sz w:val="32"/>
          <w:szCs w:val="32"/>
          <w:highlight w:val="none"/>
        </w:rPr>
      </w:pPr>
    </w:p>
    <w:p w14:paraId="0BEBBC2E">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1602B01F">
      <w:pPr>
        <w:rPr>
          <w:rFonts w:hint="eastAsia" w:ascii="宋体" w:hAnsi="宋体" w:eastAsia="宋体" w:cs="宋体"/>
          <w:b/>
          <w:color w:val="auto"/>
          <w:sz w:val="32"/>
          <w:szCs w:val="32"/>
          <w:highlight w:val="none"/>
        </w:rPr>
      </w:pPr>
    </w:p>
    <w:p w14:paraId="75A389D4">
      <w:pPr>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30654EE3">
      <w:pPr>
        <w:ind w:firstLine="964"/>
        <w:jc w:val="center"/>
        <w:rPr>
          <w:rFonts w:hint="eastAsia" w:ascii="宋体" w:hAnsi="宋体" w:eastAsia="宋体" w:cs="宋体"/>
          <w:b/>
          <w:snapToGrid w:val="0"/>
          <w:color w:val="auto"/>
          <w:sz w:val="48"/>
          <w:szCs w:val="48"/>
          <w:highlight w:val="none"/>
        </w:rPr>
      </w:pPr>
    </w:p>
    <w:p w14:paraId="7FBB61EE">
      <w:pPr>
        <w:ind w:firstLine="3566" w:firstLineChars="1184"/>
        <w:rPr>
          <w:rFonts w:hint="eastAsia" w:ascii="宋体" w:hAnsi="宋体" w:eastAsia="宋体" w:cs="宋体"/>
          <w:b/>
          <w:snapToGrid w:val="0"/>
          <w:color w:val="auto"/>
          <w:sz w:val="30"/>
          <w:szCs w:val="30"/>
          <w:highlight w:val="none"/>
          <w:u w:val="single"/>
        </w:rPr>
      </w:pPr>
      <w:r>
        <w:rPr>
          <w:rFonts w:hint="eastAsia" w:ascii="宋体" w:hAnsi="宋体" w:eastAsia="宋体" w:cs="宋体"/>
          <w:b/>
          <w:snapToGrid w:val="0"/>
          <w:color w:val="auto"/>
          <w:sz w:val="30"/>
          <w:szCs w:val="30"/>
          <w:highlight w:val="none"/>
          <w:u w:val="single"/>
        </w:rPr>
        <w:t>（项目名称）</w:t>
      </w:r>
    </w:p>
    <w:p w14:paraId="659B20BB">
      <w:pPr>
        <w:ind w:firstLine="3566" w:firstLineChars="1184"/>
        <w:rPr>
          <w:rFonts w:hint="eastAsia" w:ascii="宋体" w:hAnsi="宋体" w:eastAsia="宋体" w:cs="宋体"/>
          <w:b/>
          <w:snapToGrid w:val="0"/>
          <w:color w:val="auto"/>
          <w:sz w:val="30"/>
          <w:szCs w:val="30"/>
          <w:highlight w:val="none"/>
          <w:u w:val="single"/>
          <w:lang w:val="en-US" w:eastAsia="zh-CN"/>
        </w:rPr>
      </w:pPr>
      <w:r>
        <w:rPr>
          <w:rFonts w:hint="eastAsia" w:ascii="宋体" w:hAnsi="宋体" w:eastAsia="宋体" w:cs="宋体"/>
          <w:b/>
          <w:snapToGrid w:val="0"/>
          <w:color w:val="auto"/>
          <w:sz w:val="30"/>
          <w:szCs w:val="30"/>
          <w:highlight w:val="none"/>
          <w:u w:val="single"/>
          <w:lang w:val="en-US" w:eastAsia="zh-CN"/>
        </w:rPr>
        <w:t>（包号）</w:t>
      </w:r>
    </w:p>
    <w:p w14:paraId="1FE4350C">
      <w:pPr>
        <w:pStyle w:val="6"/>
        <w:rPr>
          <w:rFonts w:hint="eastAsia" w:ascii="宋体" w:hAnsi="宋体" w:eastAsia="宋体" w:cs="宋体"/>
          <w:b/>
          <w:snapToGrid w:val="0"/>
          <w:color w:val="auto"/>
          <w:sz w:val="48"/>
          <w:szCs w:val="48"/>
          <w:highlight w:val="none"/>
        </w:rPr>
      </w:pPr>
    </w:p>
    <w:p w14:paraId="36308C7A">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合 同</w:t>
      </w:r>
    </w:p>
    <w:p w14:paraId="02FE9A74">
      <w:pPr>
        <w:ind w:firstLine="600"/>
        <w:jc w:val="center"/>
        <w:rPr>
          <w:rFonts w:hint="eastAsia" w:ascii="宋体" w:hAnsi="宋体" w:eastAsia="宋体" w:cs="宋体"/>
          <w:color w:val="auto"/>
          <w:sz w:val="30"/>
          <w:szCs w:val="30"/>
          <w:highlight w:val="none"/>
        </w:rPr>
      </w:pPr>
    </w:p>
    <w:p w14:paraId="4C3B5044">
      <w:pPr>
        <w:pStyle w:val="3"/>
        <w:rPr>
          <w:rFonts w:hint="eastAsia" w:ascii="宋体" w:hAnsi="宋体" w:eastAsia="宋体" w:cs="宋体"/>
          <w:color w:val="auto"/>
          <w:sz w:val="30"/>
          <w:szCs w:val="30"/>
          <w:highlight w:val="none"/>
        </w:rPr>
      </w:pPr>
    </w:p>
    <w:p w14:paraId="38C0F1A4">
      <w:pPr>
        <w:pStyle w:val="3"/>
        <w:rPr>
          <w:rFonts w:hint="eastAsia" w:ascii="宋体" w:hAnsi="宋体" w:eastAsia="宋体" w:cs="宋体"/>
          <w:color w:val="auto"/>
          <w:sz w:val="30"/>
          <w:szCs w:val="30"/>
          <w:highlight w:val="none"/>
        </w:rPr>
      </w:pPr>
    </w:p>
    <w:p w14:paraId="43D4F09F">
      <w:pPr>
        <w:pStyle w:val="3"/>
        <w:rPr>
          <w:rFonts w:hint="eastAsia" w:ascii="宋体" w:hAnsi="宋体" w:eastAsia="宋体" w:cs="宋体"/>
          <w:color w:val="auto"/>
          <w:sz w:val="30"/>
          <w:szCs w:val="30"/>
          <w:highlight w:val="none"/>
        </w:rPr>
      </w:pPr>
    </w:p>
    <w:p w14:paraId="5C10169E">
      <w:pPr>
        <w:pStyle w:val="3"/>
        <w:rPr>
          <w:rFonts w:hint="eastAsia" w:ascii="宋体" w:hAnsi="宋体" w:eastAsia="宋体" w:cs="宋体"/>
          <w:color w:val="auto"/>
          <w:sz w:val="30"/>
          <w:szCs w:val="30"/>
          <w:highlight w:val="none"/>
        </w:rPr>
      </w:pPr>
    </w:p>
    <w:p w14:paraId="52926500">
      <w:pPr>
        <w:pStyle w:val="3"/>
        <w:rPr>
          <w:rFonts w:hint="eastAsia" w:ascii="宋体" w:hAnsi="宋体" w:eastAsia="宋体" w:cs="宋体"/>
          <w:color w:val="auto"/>
          <w:sz w:val="30"/>
          <w:szCs w:val="30"/>
          <w:highlight w:val="none"/>
        </w:rPr>
      </w:pPr>
    </w:p>
    <w:p w14:paraId="7245FBE8">
      <w:pPr>
        <w:pStyle w:val="3"/>
        <w:rPr>
          <w:rFonts w:hint="eastAsia" w:ascii="宋体" w:hAnsi="宋体" w:eastAsia="宋体" w:cs="宋体"/>
          <w:color w:val="auto"/>
          <w:sz w:val="30"/>
          <w:szCs w:val="30"/>
          <w:highlight w:val="none"/>
        </w:rPr>
      </w:pPr>
    </w:p>
    <w:p w14:paraId="7114E57D">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29E521A7">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2CC1EB78">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76229BAD">
      <w:pPr>
        <w:widowControl/>
        <w:jc w:val="center"/>
        <w:rPr>
          <w:rFonts w:hint="eastAsia" w:ascii="宋体" w:hAnsi="宋体" w:eastAsia="宋体" w:cs="宋体"/>
          <w:bCs/>
          <w:color w:val="auto"/>
          <w:kern w:val="0"/>
          <w:sz w:val="24"/>
          <w:szCs w:val="24"/>
          <w:highlight w:val="none"/>
        </w:rPr>
      </w:pPr>
    </w:p>
    <w:p w14:paraId="1B11CCDC">
      <w:pPr>
        <w:pStyle w:val="2"/>
        <w:rPr>
          <w:rFonts w:hint="eastAsia" w:ascii="宋体" w:hAnsi="宋体" w:eastAsia="宋体" w:cs="宋体"/>
          <w:bCs/>
          <w:color w:val="auto"/>
          <w:kern w:val="0"/>
          <w:sz w:val="24"/>
          <w:szCs w:val="24"/>
          <w:highlight w:val="none"/>
        </w:rPr>
      </w:pPr>
    </w:p>
    <w:p w14:paraId="15076136">
      <w:pPr>
        <w:rPr>
          <w:rFonts w:hint="eastAsia" w:ascii="宋体" w:hAnsi="宋体" w:eastAsia="宋体" w:cs="宋体"/>
          <w:bCs/>
          <w:color w:val="auto"/>
          <w:kern w:val="0"/>
          <w:sz w:val="24"/>
          <w:szCs w:val="24"/>
          <w:highlight w:val="none"/>
        </w:rPr>
      </w:pPr>
    </w:p>
    <w:p w14:paraId="4B72C76A">
      <w:pPr>
        <w:pStyle w:val="2"/>
        <w:rPr>
          <w:rFonts w:hint="eastAsia" w:ascii="宋体" w:hAnsi="宋体" w:eastAsia="宋体" w:cs="宋体"/>
          <w:bCs/>
          <w:color w:val="auto"/>
          <w:kern w:val="0"/>
          <w:sz w:val="24"/>
          <w:szCs w:val="24"/>
          <w:highlight w:val="none"/>
        </w:rPr>
      </w:pPr>
    </w:p>
    <w:p w14:paraId="49332D5B">
      <w:pPr>
        <w:rPr>
          <w:rFonts w:hint="eastAsia" w:ascii="宋体" w:hAnsi="宋体" w:eastAsia="宋体" w:cs="宋体"/>
          <w:bCs/>
          <w:color w:val="auto"/>
          <w:kern w:val="0"/>
          <w:sz w:val="24"/>
          <w:szCs w:val="24"/>
          <w:highlight w:val="none"/>
        </w:rPr>
      </w:pPr>
    </w:p>
    <w:p w14:paraId="3A321938">
      <w:pPr>
        <w:rPr>
          <w:rFonts w:hint="eastAsia" w:ascii="宋体" w:hAnsi="宋体" w:eastAsia="宋体" w:cs="宋体"/>
          <w:bCs/>
          <w:color w:val="auto"/>
          <w:kern w:val="0"/>
          <w:sz w:val="24"/>
          <w:szCs w:val="24"/>
          <w:highlight w:val="none"/>
        </w:rPr>
      </w:pPr>
    </w:p>
    <w:p w14:paraId="158696C3">
      <w:pPr>
        <w:pStyle w:val="2"/>
        <w:rPr>
          <w:rFonts w:hint="eastAsia" w:ascii="宋体" w:hAnsi="宋体" w:eastAsia="宋体" w:cs="宋体"/>
          <w:bCs/>
          <w:color w:val="auto"/>
          <w:kern w:val="0"/>
          <w:sz w:val="24"/>
          <w:szCs w:val="24"/>
          <w:highlight w:val="none"/>
        </w:rPr>
      </w:pPr>
    </w:p>
    <w:p w14:paraId="0104B0C4">
      <w:pPr>
        <w:rPr>
          <w:rFonts w:hint="eastAsia"/>
        </w:rPr>
      </w:pPr>
    </w:p>
    <w:bookmarkEnd w:id="0"/>
    <w:bookmarkEnd w:id="1"/>
    <w:bookmarkEnd w:id="2"/>
    <w:p w14:paraId="765C2148">
      <w:pPr>
        <w:tabs>
          <w:tab w:val="left" w:pos="5040"/>
        </w:tabs>
        <w:spacing w:line="360" w:lineRule="auto"/>
        <w:jc w:val="both"/>
        <w:rPr>
          <w:rFonts w:hint="eastAsia" w:ascii="宋体" w:hAnsi="宋体" w:eastAsia="宋体" w:cs="宋体"/>
          <w:b/>
          <w:bCs/>
          <w:color w:val="auto"/>
          <w:sz w:val="21"/>
          <w:szCs w:val="21"/>
          <w:highlight w:val="none"/>
          <w:lang w:val="zh-CN"/>
        </w:rPr>
      </w:pPr>
      <w:bookmarkStart w:id="3" w:name="_Toc351203494"/>
      <w:r>
        <w:rPr>
          <w:rFonts w:hint="eastAsia" w:ascii="宋体" w:hAnsi="宋体" w:eastAsia="宋体" w:cs="宋体"/>
          <w:b/>
          <w:bCs/>
          <w:color w:val="auto"/>
          <w:sz w:val="21"/>
          <w:szCs w:val="21"/>
          <w:highlight w:val="none"/>
          <w:lang w:val="zh-CN"/>
        </w:rPr>
        <w:t>甲方：（采购人）</w:t>
      </w:r>
    </w:p>
    <w:p w14:paraId="43194E5E">
      <w:pPr>
        <w:autoSpaceDE w:val="0"/>
        <w:autoSpaceDN w:val="0"/>
        <w:adjustRightInd w:val="0"/>
        <w:snapToGrid w:val="0"/>
        <w:spacing w:line="360" w:lineRule="auto"/>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乙方：（</w:t>
      </w:r>
      <w:r>
        <w:rPr>
          <w:rFonts w:hint="eastAsia" w:ascii="宋体" w:hAnsi="宋体" w:eastAsia="宋体" w:cs="宋体"/>
          <w:b/>
          <w:bCs/>
          <w:color w:val="auto"/>
          <w:sz w:val="21"/>
          <w:szCs w:val="21"/>
          <w:highlight w:val="none"/>
          <w:lang w:val="en-US" w:eastAsia="zh-CN"/>
        </w:rPr>
        <w:t>中标</w:t>
      </w:r>
      <w:r>
        <w:rPr>
          <w:rFonts w:hint="eastAsia" w:ascii="宋体" w:hAnsi="宋体" w:eastAsia="宋体" w:cs="宋体"/>
          <w:b/>
          <w:bCs/>
          <w:color w:val="auto"/>
          <w:sz w:val="21"/>
          <w:szCs w:val="21"/>
          <w:highlight w:val="none"/>
          <w:lang w:val="zh-CN"/>
        </w:rPr>
        <w:t>供应商名称）</w:t>
      </w:r>
    </w:p>
    <w:p w14:paraId="75D3B919">
      <w:pPr>
        <w:autoSpaceDE w:val="0"/>
        <w:autoSpaceDN w:val="0"/>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依据《中华人民共和国民法典》和《中华人民共和国政府采购法》，经双方协商按下述条款和条件签署本合同。</w:t>
      </w:r>
    </w:p>
    <w:bookmarkEnd w:id="3"/>
    <w:p w14:paraId="23D7008C">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b/>
          <w:bCs/>
          <w:color w:val="auto"/>
          <w:sz w:val="24"/>
          <w:szCs w:val="24"/>
        </w:rPr>
        <w:t>合同内容</w:t>
      </w:r>
    </w:p>
    <w:tbl>
      <w:tblPr>
        <w:tblStyle w:val="4"/>
        <w:tblW w:w="0" w:type="auto"/>
        <w:jc w:val="center"/>
        <w:tblLayout w:type="fixed"/>
        <w:tblCellMar>
          <w:top w:w="0" w:type="dxa"/>
          <w:left w:w="108" w:type="dxa"/>
          <w:bottom w:w="0" w:type="dxa"/>
          <w:right w:w="108" w:type="dxa"/>
        </w:tblCellMar>
      </w:tblPr>
      <w:tblGrid>
        <w:gridCol w:w="1112"/>
        <w:gridCol w:w="1807"/>
        <w:gridCol w:w="1169"/>
        <w:gridCol w:w="1003"/>
        <w:gridCol w:w="1003"/>
        <w:gridCol w:w="1004"/>
        <w:gridCol w:w="996"/>
        <w:gridCol w:w="1166"/>
      </w:tblGrid>
      <w:tr w14:paraId="5B48357D">
        <w:tblPrEx>
          <w:tblCellMar>
            <w:top w:w="0" w:type="dxa"/>
            <w:left w:w="108" w:type="dxa"/>
            <w:bottom w:w="0" w:type="dxa"/>
            <w:right w:w="108" w:type="dxa"/>
          </w:tblCellMar>
        </w:tblPrEx>
        <w:trPr>
          <w:trHeight w:val="346" w:hRule="atLeast"/>
          <w:jc w:val="center"/>
        </w:trPr>
        <w:tc>
          <w:tcPr>
            <w:tcW w:w="1112" w:type="dxa"/>
            <w:tcBorders>
              <w:top w:val="single" w:color="auto" w:sz="4" w:space="0"/>
              <w:left w:val="single" w:color="auto" w:sz="4" w:space="0"/>
              <w:bottom w:val="single" w:color="auto" w:sz="4" w:space="0"/>
              <w:right w:val="single" w:color="auto" w:sz="4" w:space="0"/>
            </w:tcBorders>
            <w:noWrap w:val="0"/>
            <w:vAlign w:val="center"/>
          </w:tcPr>
          <w:p w14:paraId="6BD9CBCB">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807" w:type="dxa"/>
            <w:tcBorders>
              <w:top w:val="single" w:color="auto" w:sz="4" w:space="0"/>
              <w:left w:val="nil"/>
              <w:bottom w:val="single" w:color="auto" w:sz="4" w:space="0"/>
              <w:right w:val="single" w:color="auto" w:sz="4" w:space="0"/>
            </w:tcBorders>
            <w:noWrap w:val="0"/>
            <w:vAlign w:val="center"/>
          </w:tcPr>
          <w:p w14:paraId="2021AC9C">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设备名称</w:t>
            </w:r>
          </w:p>
        </w:tc>
        <w:tc>
          <w:tcPr>
            <w:tcW w:w="1169" w:type="dxa"/>
            <w:tcBorders>
              <w:top w:val="single" w:color="auto" w:sz="4" w:space="0"/>
              <w:left w:val="nil"/>
              <w:bottom w:val="single" w:color="auto" w:sz="4" w:space="0"/>
              <w:right w:val="single" w:color="auto" w:sz="4" w:space="0"/>
            </w:tcBorders>
            <w:noWrap w:val="0"/>
            <w:vAlign w:val="center"/>
          </w:tcPr>
          <w:p w14:paraId="1534FB59">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型号</w:t>
            </w:r>
          </w:p>
        </w:tc>
        <w:tc>
          <w:tcPr>
            <w:tcW w:w="1003" w:type="dxa"/>
            <w:tcBorders>
              <w:top w:val="single" w:color="auto" w:sz="4" w:space="0"/>
              <w:left w:val="nil"/>
              <w:bottom w:val="single" w:color="auto" w:sz="4" w:space="0"/>
              <w:right w:val="single" w:color="auto" w:sz="4" w:space="0"/>
            </w:tcBorders>
            <w:noWrap w:val="0"/>
            <w:vAlign w:val="center"/>
          </w:tcPr>
          <w:p w14:paraId="3478CDE0">
            <w:pPr>
              <w:snapToGrid w:val="0"/>
              <w:spacing w:after="0" w:line="360" w:lineRule="auto"/>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厂家</w:t>
            </w:r>
          </w:p>
        </w:tc>
        <w:tc>
          <w:tcPr>
            <w:tcW w:w="1003" w:type="dxa"/>
            <w:tcBorders>
              <w:top w:val="single" w:color="auto" w:sz="4" w:space="0"/>
              <w:left w:val="nil"/>
              <w:bottom w:val="single" w:color="auto" w:sz="4" w:space="0"/>
              <w:right w:val="single" w:color="auto" w:sz="4" w:space="0"/>
            </w:tcBorders>
            <w:noWrap w:val="0"/>
            <w:vAlign w:val="center"/>
          </w:tcPr>
          <w:p w14:paraId="3DFC7A06">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1004" w:type="dxa"/>
            <w:tcBorders>
              <w:top w:val="single" w:color="auto" w:sz="4" w:space="0"/>
              <w:left w:val="nil"/>
              <w:bottom w:val="single" w:color="auto" w:sz="4" w:space="0"/>
              <w:right w:val="single" w:color="auto" w:sz="4" w:space="0"/>
            </w:tcBorders>
            <w:noWrap w:val="0"/>
            <w:vAlign w:val="center"/>
          </w:tcPr>
          <w:p w14:paraId="7642AB28">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w:t>
            </w:r>
          </w:p>
        </w:tc>
        <w:tc>
          <w:tcPr>
            <w:tcW w:w="996" w:type="dxa"/>
            <w:tcBorders>
              <w:top w:val="single" w:color="auto" w:sz="4" w:space="0"/>
              <w:left w:val="nil"/>
              <w:bottom w:val="single" w:color="auto" w:sz="4" w:space="0"/>
              <w:right w:val="single" w:color="auto" w:sz="4" w:space="0"/>
            </w:tcBorders>
            <w:noWrap w:val="0"/>
            <w:vAlign w:val="center"/>
          </w:tcPr>
          <w:p w14:paraId="60CB9F2E">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w:t>
            </w:r>
          </w:p>
        </w:tc>
        <w:tc>
          <w:tcPr>
            <w:tcW w:w="1166" w:type="dxa"/>
            <w:tcBorders>
              <w:top w:val="single" w:color="auto" w:sz="4" w:space="0"/>
              <w:left w:val="nil"/>
              <w:bottom w:val="single" w:color="auto" w:sz="4" w:space="0"/>
              <w:right w:val="single" w:color="auto" w:sz="4" w:space="0"/>
            </w:tcBorders>
            <w:noWrap w:val="0"/>
            <w:vAlign w:val="center"/>
          </w:tcPr>
          <w:p w14:paraId="2F60FE23">
            <w:pPr>
              <w:snapToGrid w:val="0"/>
              <w:spacing w:after="0"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14:paraId="6FD6D8D5">
        <w:tblPrEx>
          <w:tblCellMar>
            <w:top w:w="0" w:type="dxa"/>
            <w:left w:w="108" w:type="dxa"/>
            <w:bottom w:w="0" w:type="dxa"/>
            <w:right w:w="108" w:type="dxa"/>
          </w:tblCellMar>
        </w:tblPrEx>
        <w:trPr>
          <w:trHeight w:val="346" w:hRule="atLeast"/>
          <w:jc w:val="center"/>
        </w:trPr>
        <w:tc>
          <w:tcPr>
            <w:tcW w:w="1112" w:type="dxa"/>
            <w:tcBorders>
              <w:top w:val="single" w:color="auto" w:sz="4" w:space="0"/>
              <w:left w:val="single" w:color="auto" w:sz="4" w:space="0"/>
              <w:bottom w:val="single" w:color="auto" w:sz="4" w:space="0"/>
              <w:right w:val="single" w:color="auto" w:sz="4" w:space="0"/>
            </w:tcBorders>
            <w:noWrap w:val="0"/>
            <w:vAlign w:val="center"/>
          </w:tcPr>
          <w:p w14:paraId="691EE160">
            <w:pPr>
              <w:snapToGrid w:val="0"/>
              <w:spacing w:after="0"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807" w:type="dxa"/>
            <w:tcBorders>
              <w:top w:val="single" w:color="auto" w:sz="4" w:space="0"/>
              <w:left w:val="nil"/>
              <w:bottom w:val="single" w:color="auto" w:sz="4" w:space="0"/>
              <w:right w:val="single" w:color="auto" w:sz="4" w:space="0"/>
            </w:tcBorders>
            <w:noWrap w:val="0"/>
            <w:vAlign w:val="center"/>
          </w:tcPr>
          <w:p w14:paraId="3AC423C5">
            <w:pPr>
              <w:snapToGrid w:val="0"/>
              <w:spacing w:after="0" w:line="360" w:lineRule="auto"/>
              <w:ind w:firstLine="645"/>
              <w:jc w:val="left"/>
              <w:rPr>
                <w:rFonts w:hint="eastAsia" w:ascii="宋体" w:hAnsi="宋体" w:eastAsia="宋体" w:cs="宋体"/>
                <w:color w:val="auto"/>
                <w:sz w:val="24"/>
                <w:szCs w:val="24"/>
              </w:rPr>
            </w:pPr>
          </w:p>
        </w:tc>
        <w:tc>
          <w:tcPr>
            <w:tcW w:w="1169" w:type="dxa"/>
            <w:tcBorders>
              <w:top w:val="single" w:color="auto" w:sz="4" w:space="0"/>
              <w:left w:val="nil"/>
              <w:bottom w:val="single" w:color="auto" w:sz="4" w:space="0"/>
              <w:right w:val="single" w:color="auto" w:sz="4" w:space="0"/>
            </w:tcBorders>
            <w:noWrap w:val="0"/>
            <w:vAlign w:val="center"/>
          </w:tcPr>
          <w:p w14:paraId="6D77174A">
            <w:pPr>
              <w:snapToGrid w:val="0"/>
              <w:spacing w:after="0" w:line="360" w:lineRule="auto"/>
              <w:ind w:firstLine="645"/>
              <w:jc w:val="left"/>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5D1AE1BB">
            <w:pPr>
              <w:snapToGrid w:val="0"/>
              <w:spacing w:after="0" w:line="360" w:lineRule="auto"/>
              <w:ind w:firstLine="645"/>
              <w:jc w:val="left"/>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0CF03F40">
            <w:pPr>
              <w:snapToGrid w:val="0"/>
              <w:spacing w:after="0" w:line="360" w:lineRule="auto"/>
              <w:ind w:firstLine="645"/>
              <w:jc w:val="left"/>
              <w:rPr>
                <w:rFonts w:hint="eastAsia" w:ascii="宋体" w:hAnsi="宋体" w:eastAsia="宋体" w:cs="宋体"/>
                <w:color w:val="auto"/>
                <w:sz w:val="24"/>
                <w:szCs w:val="24"/>
              </w:rPr>
            </w:pPr>
          </w:p>
        </w:tc>
        <w:tc>
          <w:tcPr>
            <w:tcW w:w="1004" w:type="dxa"/>
            <w:tcBorders>
              <w:top w:val="single" w:color="auto" w:sz="4" w:space="0"/>
              <w:left w:val="nil"/>
              <w:bottom w:val="single" w:color="auto" w:sz="4" w:space="0"/>
              <w:right w:val="single" w:color="auto" w:sz="4" w:space="0"/>
            </w:tcBorders>
            <w:noWrap w:val="0"/>
            <w:vAlign w:val="center"/>
          </w:tcPr>
          <w:p w14:paraId="1F13C25B">
            <w:pPr>
              <w:snapToGrid w:val="0"/>
              <w:spacing w:after="0" w:line="360" w:lineRule="auto"/>
              <w:ind w:firstLine="645"/>
              <w:jc w:val="left"/>
              <w:rPr>
                <w:rFonts w:hint="eastAsia" w:ascii="宋体" w:hAnsi="宋体" w:eastAsia="宋体" w:cs="宋体"/>
                <w:color w:val="auto"/>
                <w:sz w:val="24"/>
                <w:szCs w:val="24"/>
              </w:rPr>
            </w:pPr>
          </w:p>
        </w:tc>
        <w:tc>
          <w:tcPr>
            <w:tcW w:w="996" w:type="dxa"/>
            <w:tcBorders>
              <w:top w:val="single" w:color="auto" w:sz="4" w:space="0"/>
              <w:left w:val="nil"/>
              <w:bottom w:val="single" w:color="auto" w:sz="4" w:space="0"/>
              <w:right w:val="single" w:color="auto" w:sz="4" w:space="0"/>
            </w:tcBorders>
            <w:noWrap w:val="0"/>
            <w:vAlign w:val="center"/>
          </w:tcPr>
          <w:p w14:paraId="3CB638CC">
            <w:pPr>
              <w:snapToGrid w:val="0"/>
              <w:spacing w:after="0" w:line="360" w:lineRule="auto"/>
              <w:ind w:firstLine="645"/>
              <w:jc w:val="left"/>
              <w:rPr>
                <w:rFonts w:hint="eastAsia" w:ascii="宋体" w:hAnsi="宋体" w:eastAsia="宋体" w:cs="宋体"/>
                <w:color w:val="auto"/>
                <w:sz w:val="24"/>
                <w:szCs w:val="24"/>
              </w:rPr>
            </w:pPr>
          </w:p>
        </w:tc>
        <w:tc>
          <w:tcPr>
            <w:tcW w:w="1166" w:type="dxa"/>
            <w:tcBorders>
              <w:top w:val="single" w:color="auto" w:sz="4" w:space="0"/>
              <w:left w:val="nil"/>
              <w:bottom w:val="single" w:color="auto" w:sz="4" w:space="0"/>
              <w:right w:val="single" w:color="auto" w:sz="4" w:space="0"/>
            </w:tcBorders>
            <w:noWrap w:val="0"/>
            <w:vAlign w:val="center"/>
          </w:tcPr>
          <w:p w14:paraId="3BD146B5">
            <w:pPr>
              <w:snapToGrid w:val="0"/>
              <w:spacing w:after="0" w:line="360" w:lineRule="auto"/>
              <w:ind w:firstLine="645"/>
              <w:jc w:val="left"/>
              <w:rPr>
                <w:rFonts w:hint="eastAsia" w:ascii="宋体" w:hAnsi="宋体" w:eastAsia="宋体" w:cs="宋体"/>
                <w:color w:val="auto"/>
                <w:sz w:val="24"/>
                <w:szCs w:val="24"/>
              </w:rPr>
            </w:pPr>
          </w:p>
        </w:tc>
      </w:tr>
      <w:tr w14:paraId="4E5DFE09">
        <w:tblPrEx>
          <w:tblCellMar>
            <w:top w:w="0" w:type="dxa"/>
            <w:left w:w="108" w:type="dxa"/>
            <w:bottom w:w="0" w:type="dxa"/>
            <w:right w:w="108" w:type="dxa"/>
          </w:tblCellMar>
        </w:tblPrEx>
        <w:trPr>
          <w:trHeight w:val="346" w:hRule="atLeast"/>
          <w:jc w:val="center"/>
        </w:trPr>
        <w:tc>
          <w:tcPr>
            <w:tcW w:w="1112" w:type="dxa"/>
            <w:tcBorders>
              <w:top w:val="single" w:color="auto" w:sz="4" w:space="0"/>
              <w:left w:val="single" w:color="auto" w:sz="4" w:space="0"/>
              <w:bottom w:val="single" w:color="auto" w:sz="4" w:space="0"/>
              <w:right w:val="single" w:color="auto" w:sz="4" w:space="0"/>
            </w:tcBorders>
            <w:noWrap w:val="0"/>
            <w:vAlign w:val="center"/>
          </w:tcPr>
          <w:p w14:paraId="6B41E75B">
            <w:pPr>
              <w:snapToGrid w:val="0"/>
              <w:spacing w:after="0" w:line="360" w:lineRule="auto"/>
              <w:ind w:firstLine="645"/>
              <w:rPr>
                <w:rFonts w:hint="eastAsia" w:ascii="宋体" w:hAnsi="宋体" w:eastAsia="宋体" w:cs="宋体"/>
                <w:color w:val="auto"/>
                <w:sz w:val="24"/>
                <w:szCs w:val="24"/>
              </w:rPr>
            </w:pPr>
          </w:p>
        </w:tc>
        <w:tc>
          <w:tcPr>
            <w:tcW w:w="1807" w:type="dxa"/>
            <w:tcBorders>
              <w:top w:val="single" w:color="auto" w:sz="4" w:space="0"/>
              <w:left w:val="nil"/>
              <w:bottom w:val="single" w:color="auto" w:sz="4" w:space="0"/>
              <w:right w:val="single" w:color="auto" w:sz="4" w:space="0"/>
            </w:tcBorders>
            <w:noWrap w:val="0"/>
            <w:vAlign w:val="center"/>
          </w:tcPr>
          <w:p w14:paraId="7B981682">
            <w:pPr>
              <w:snapToGrid w:val="0"/>
              <w:spacing w:after="0" w:line="360" w:lineRule="auto"/>
              <w:ind w:firstLine="645"/>
              <w:rPr>
                <w:rFonts w:hint="eastAsia" w:ascii="宋体" w:hAnsi="宋体" w:eastAsia="宋体" w:cs="宋体"/>
                <w:color w:val="auto"/>
                <w:sz w:val="24"/>
                <w:szCs w:val="24"/>
              </w:rPr>
            </w:pPr>
          </w:p>
        </w:tc>
        <w:tc>
          <w:tcPr>
            <w:tcW w:w="1169" w:type="dxa"/>
            <w:tcBorders>
              <w:top w:val="single" w:color="auto" w:sz="4" w:space="0"/>
              <w:left w:val="nil"/>
              <w:bottom w:val="single" w:color="auto" w:sz="4" w:space="0"/>
              <w:right w:val="single" w:color="auto" w:sz="4" w:space="0"/>
            </w:tcBorders>
            <w:noWrap w:val="0"/>
            <w:vAlign w:val="center"/>
          </w:tcPr>
          <w:p w14:paraId="3BEA15E0">
            <w:pPr>
              <w:snapToGrid w:val="0"/>
              <w:spacing w:after="0" w:line="360" w:lineRule="auto"/>
              <w:ind w:firstLine="645"/>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45AA5A50">
            <w:pPr>
              <w:snapToGrid w:val="0"/>
              <w:spacing w:after="0" w:line="360" w:lineRule="auto"/>
              <w:ind w:firstLine="645"/>
              <w:rPr>
                <w:rFonts w:hint="eastAsia" w:ascii="宋体" w:hAnsi="宋体" w:eastAsia="宋体" w:cs="宋体"/>
                <w:color w:val="auto"/>
                <w:sz w:val="24"/>
                <w:szCs w:val="24"/>
              </w:rPr>
            </w:pPr>
          </w:p>
        </w:tc>
        <w:tc>
          <w:tcPr>
            <w:tcW w:w="1003" w:type="dxa"/>
            <w:tcBorders>
              <w:top w:val="single" w:color="auto" w:sz="4" w:space="0"/>
              <w:left w:val="nil"/>
              <w:bottom w:val="single" w:color="auto" w:sz="4" w:space="0"/>
              <w:right w:val="single" w:color="auto" w:sz="4" w:space="0"/>
            </w:tcBorders>
            <w:noWrap w:val="0"/>
            <w:vAlign w:val="center"/>
          </w:tcPr>
          <w:p w14:paraId="388E48A9">
            <w:pPr>
              <w:snapToGrid w:val="0"/>
              <w:spacing w:after="0" w:line="360" w:lineRule="auto"/>
              <w:ind w:firstLine="645"/>
              <w:rPr>
                <w:rFonts w:hint="eastAsia" w:ascii="宋体" w:hAnsi="宋体" w:eastAsia="宋体" w:cs="宋体"/>
                <w:color w:val="auto"/>
                <w:sz w:val="24"/>
                <w:szCs w:val="24"/>
              </w:rPr>
            </w:pPr>
          </w:p>
        </w:tc>
        <w:tc>
          <w:tcPr>
            <w:tcW w:w="1004" w:type="dxa"/>
            <w:tcBorders>
              <w:top w:val="single" w:color="auto" w:sz="4" w:space="0"/>
              <w:left w:val="nil"/>
              <w:bottom w:val="single" w:color="auto" w:sz="4" w:space="0"/>
              <w:right w:val="single" w:color="auto" w:sz="4" w:space="0"/>
            </w:tcBorders>
            <w:noWrap w:val="0"/>
            <w:vAlign w:val="center"/>
          </w:tcPr>
          <w:p w14:paraId="015B7C86">
            <w:pPr>
              <w:snapToGrid w:val="0"/>
              <w:spacing w:after="0" w:line="360" w:lineRule="auto"/>
              <w:ind w:firstLine="645"/>
              <w:rPr>
                <w:rFonts w:hint="eastAsia" w:ascii="宋体" w:hAnsi="宋体" w:eastAsia="宋体" w:cs="宋体"/>
                <w:color w:val="auto"/>
                <w:sz w:val="24"/>
                <w:szCs w:val="24"/>
              </w:rPr>
            </w:pPr>
          </w:p>
        </w:tc>
        <w:tc>
          <w:tcPr>
            <w:tcW w:w="996" w:type="dxa"/>
            <w:tcBorders>
              <w:top w:val="single" w:color="auto" w:sz="4" w:space="0"/>
              <w:left w:val="nil"/>
              <w:bottom w:val="single" w:color="auto" w:sz="4" w:space="0"/>
              <w:right w:val="single" w:color="auto" w:sz="4" w:space="0"/>
            </w:tcBorders>
            <w:noWrap w:val="0"/>
            <w:vAlign w:val="center"/>
          </w:tcPr>
          <w:p w14:paraId="33769EC3">
            <w:pPr>
              <w:snapToGrid w:val="0"/>
              <w:spacing w:after="0" w:line="360" w:lineRule="auto"/>
              <w:ind w:firstLine="645"/>
              <w:rPr>
                <w:rFonts w:hint="eastAsia" w:ascii="宋体" w:hAnsi="宋体" w:eastAsia="宋体" w:cs="宋体"/>
                <w:color w:val="auto"/>
                <w:sz w:val="24"/>
                <w:szCs w:val="24"/>
              </w:rPr>
            </w:pPr>
          </w:p>
        </w:tc>
        <w:tc>
          <w:tcPr>
            <w:tcW w:w="1166" w:type="dxa"/>
            <w:tcBorders>
              <w:top w:val="single" w:color="auto" w:sz="4" w:space="0"/>
              <w:left w:val="nil"/>
              <w:bottom w:val="single" w:color="auto" w:sz="4" w:space="0"/>
              <w:right w:val="single" w:color="auto" w:sz="4" w:space="0"/>
            </w:tcBorders>
            <w:noWrap w:val="0"/>
            <w:vAlign w:val="center"/>
          </w:tcPr>
          <w:p w14:paraId="0630AD6F">
            <w:pPr>
              <w:snapToGrid w:val="0"/>
              <w:spacing w:after="0" w:line="360" w:lineRule="auto"/>
              <w:ind w:firstLine="645"/>
              <w:rPr>
                <w:rFonts w:hint="eastAsia" w:ascii="宋体" w:hAnsi="宋体" w:eastAsia="宋体" w:cs="宋体"/>
                <w:color w:val="auto"/>
                <w:sz w:val="24"/>
                <w:szCs w:val="24"/>
              </w:rPr>
            </w:pPr>
          </w:p>
        </w:tc>
      </w:tr>
      <w:tr w14:paraId="72E09FB7">
        <w:tblPrEx>
          <w:tblCellMar>
            <w:top w:w="0" w:type="dxa"/>
            <w:left w:w="108" w:type="dxa"/>
            <w:bottom w:w="0" w:type="dxa"/>
            <w:right w:w="108" w:type="dxa"/>
          </w:tblCellMar>
        </w:tblPrEx>
        <w:trPr>
          <w:trHeight w:val="352" w:hRule="atLeast"/>
          <w:jc w:val="center"/>
        </w:trPr>
        <w:tc>
          <w:tcPr>
            <w:tcW w:w="2919" w:type="dxa"/>
            <w:gridSpan w:val="2"/>
            <w:tcBorders>
              <w:top w:val="single" w:color="auto" w:sz="4" w:space="0"/>
              <w:left w:val="single" w:color="auto" w:sz="4" w:space="0"/>
              <w:bottom w:val="single" w:color="auto" w:sz="4" w:space="0"/>
              <w:right w:val="single" w:color="auto" w:sz="4" w:space="0"/>
            </w:tcBorders>
            <w:noWrap w:val="0"/>
            <w:vAlign w:val="center"/>
          </w:tcPr>
          <w:p w14:paraId="51353A4A">
            <w:pPr>
              <w:snapToGrid w:val="0"/>
              <w:spacing w:after="0"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总计（人民币/元）</w:t>
            </w:r>
          </w:p>
        </w:tc>
        <w:tc>
          <w:tcPr>
            <w:tcW w:w="6341" w:type="dxa"/>
            <w:gridSpan w:val="6"/>
            <w:tcBorders>
              <w:top w:val="single" w:color="auto" w:sz="4" w:space="0"/>
              <w:left w:val="nil"/>
              <w:bottom w:val="single" w:color="auto" w:sz="4" w:space="0"/>
              <w:right w:val="single" w:color="auto" w:sz="4" w:space="0"/>
            </w:tcBorders>
            <w:noWrap w:val="0"/>
            <w:vAlign w:val="center"/>
          </w:tcPr>
          <w:p w14:paraId="066DA060">
            <w:pPr>
              <w:snapToGrid w:val="0"/>
              <w:spacing w:after="0"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       （大写）</w:t>
            </w:r>
          </w:p>
        </w:tc>
      </w:tr>
    </w:tbl>
    <w:p w14:paraId="04A8347B">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（参数附件说明）</w:t>
      </w:r>
    </w:p>
    <w:p w14:paraId="7F5310B5">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乙方负责按以上确定的产品规格、型号及配套内容进行供货，及时运到甲方指定交货地点安装调试，确保所有产品达到最佳运行状态，负责对甲方操作、维护人员进行培训，指导操作、使用和维修保养，做好售后服务工作。</w:t>
      </w:r>
    </w:p>
    <w:p w14:paraId="1CC6D64B">
      <w:pPr>
        <w:snapToGrid w:val="0"/>
        <w:spacing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w:t>
      </w:r>
    </w:p>
    <w:p w14:paraId="3FECB882">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合同总价：人民币大写：     </w:t>
      </w:r>
      <w:r>
        <w:rPr>
          <w:rFonts w:hint="eastAsia" w:ascii="宋体" w:hAnsi="宋体" w:eastAsia="宋体" w:cs="宋体"/>
          <w:b/>
          <w:bCs/>
          <w:color w:val="auto"/>
          <w:sz w:val="24"/>
          <w:szCs w:val="24"/>
        </w:rPr>
        <w:t>元整；</w:t>
      </w:r>
      <w:r>
        <w:rPr>
          <w:rFonts w:hint="eastAsia" w:ascii="宋体" w:hAnsi="宋体" w:eastAsia="宋体" w:cs="宋体"/>
          <w:color w:val="auto"/>
          <w:sz w:val="24"/>
          <w:szCs w:val="24"/>
        </w:rPr>
        <w:t>￥元。</w:t>
      </w:r>
    </w:p>
    <w:p w14:paraId="7FC98A50">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合同总价包括：产品供应费、产品的包装、运输、装卸、安装、保险、验</w:t>
      </w:r>
      <w:r>
        <w:rPr>
          <w:rFonts w:hint="eastAsia" w:ascii="宋体" w:hAnsi="宋体" w:eastAsia="宋体" w:cs="宋体"/>
          <w:color w:val="auto"/>
          <w:sz w:val="24"/>
          <w:szCs w:val="24"/>
          <w:highlight w:val="none"/>
        </w:rPr>
        <w:t>收、</w:t>
      </w:r>
      <w:r>
        <w:rPr>
          <w:rFonts w:hint="eastAsia" w:ascii="宋体" w:hAnsi="宋体" w:eastAsia="宋体" w:cs="宋体"/>
          <w:color w:val="auto"/>
          <w:sz w:val="24"/>
          <w:szCs w:val="24"/>
          <w:highlight w:val="none"/>
          <w:lang w:val="en-US" w:eastAsia="zh-CN"/>
        </w:rPr>
        <w:t>培训、质保及售后服务、</w:t>
      </w:r>
      <w:r>
        <w:rPr>
          <w:rFonts w:hint="eastAsia" w:ascii="宋体" w:hAnsi="宋体" w:eastAsia="宋体" w:cs="宋体"/>
          <w:color w:val="auto"/>
          <w:sz w:val="24"/>
          <w:szCs w:val="24"/>
        </w:rPr>
        <w:t>税金及合同包含的所有风险与责任、政策性文件规定的各项应有的一切费用及其它相关的费用。合同总价不可变更，不受市场价变化的影响，不受实际数量变化的影响。</w:t>
      </w:r>
    </w:p>
    <w:p w14:paraId="7206FAD9">
      <w:pPr>
        <w:snapToGrid w:val="0"/>
        <w:spacing w:line="360" w:lineRule="auto"/>
        <w:ind w:firstLine="645"/>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rPr>
        <w:t>三</w:t>
      </w:r>
      <w:r>
        <w:rPr>
          <w:rFonts w:hint="eastAsia" w:ascii="宋体" w:hAnsi="宋体" w:eastAsia="宋体" w:cs="宋体"/>
          <w:b/>
          <w:bCs/>
          <w:color w:val="auto"/>
          <w:sz w:val="24"/>
          <w:szCs w:val="24"/>
          <w:highlight w:val="none"/>
        </w:rPr>
        <w:t>、付款方式</w:t>
      </w:r>
    </w:p>
    <w:p w14:paraId="0E7EDAFA">
      <w:pPr>
        <w:snapToGrid w:val="0"/>
        <w:spacing w:line="360" w:lineRule="auto"/>
        <w:ind w:firstLine="645"/>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u w:val="single"/>
          <w:lang w:val="en-US" w:eastAsia="zh-CN"/>
        </w:rPr>
        <w:t xml:space="preserve">                         </w:t>
      </w:r>
      <w:bookmarkStart w:id="4" w:name="_GoBack"/>
      <w:bookmarkEnd w:id="4"/>
      <w:r>
        <w:rPr>
          <w:rFonts w:hint="eastAsia" w:ascii="宋体" w:hAnsi="宋体" w:eastAsia="宋体" w:cs="宋体"/>
          <w:b w:val="0"/>
          <w:bCs w:val="0"/>
          <w:color w:val="auto"/>
          <w:sz w:val="24"/>
          <w:szCs w:val="24"/>
          <w:highlight w:val="none"/>
          <w:u w:val="single"/>
          <w:lang w:val="en-US" w:eastAsia="zh-CN"/>
        </w:rPr>
        <w:t xml:space="preserve">  </w:t>
      </w:r>
    </w:p>
    <w:p w14:paraId="76514E24">
      <w:pPr>
        <w:snapToGrid w:val="0"/>
        <w:spacing w:line="360" w:lineRule="auto"/>
        <w:ind w:firstLine="645"/>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四、交货条件</w:t>
      </w:r>
    </w:p>
    <w:p w14:paraId="6D760C7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1、交货地点：</w:t>
      </w:r>
      <w:r>
        <w:rPr>
          <w:rFonts w:hint="eastAsia" w:ascii="宋体" w:hAnsi="宋体" w:eastAsia="宋体" w:cs="宋体"/>
          <w:color w:val="auto"/>
          <w:sz w:val="24"/>
          <w:szCs w:val="24"/>
          <w:highlight w:val="none"/>
          <w:u w:val="single"/>
          <w:lang w:val="en-US" w:eastAsia="zh-CN"/>
        </w:rPr>
        <w:t xml:space="preserve">汉中市，汉中市卫生健康委员会指定地点 </w:t>
      </w:r>
    </w:p>
    <w:p w14:paraId="14D7890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交货</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16F9F86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3.交付条件</w:t>
      </w:r>
    </w:p>
    <w:p w14:paraId="62F20E4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）乙方提供货物必须是原厂制造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符合招投标文件约定的产品</w:t>
      </w:r>
      <w:r>
        <w:rPr>
          <w:rFonts w:hint="eastAsia" w:ascii="宋体" w:hAnsi="宋体" w:eastAsia="宋体" w:cs="宋体"/>
          <w:color w:val="auto"/>
          <w:sz w:val="24"/>
          <w:szCs w:val="24"/>
          <w:highlight w:val="none"/>
        </w:rPr>
        <w:t>。</w:t>
      </w:r>
    </w:p>
    <w:p w14:paraId="0075358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）所供货物必须是经过办理正常手续的全新产品。</w:t>
      </w:r>
    </w:p>
    <w:p w14:paraId="3CDC32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）所供货物是经过国家法定检验、注册、准许市场销售的合法产品。</w:t>
      </w:r>
    </w:p>
    <w:p w14:paraId="1468FD4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）货物性能稳定、具有较好的使用效果，质量保证措施完善，符合国家相关标准。</w:t>
      </w:r>
    </w:p>
    <w:p w14:paraId="7191CDC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）货物的质保期严格按</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文件规定的质保期执行，</w:t>
      </w:r>
      <w:r>
        <w:rPr>
          <w:rFonts w:hint="eastAsia" w:ascii="宋体" w:hAnsi="宋体" w:eastAsia="宋体" w:cs="宋体"/>
          <w:color w:val="auto"/>
          <w:sz w:val="24"/>
          <w:szCs w:val="24"/>
          <w:highlight w:val="none"/>
          <w:lang w:val="en-US" w:eastAsia="zh-CN"/>
        </w:rPr>
        <w:t>质保期内产生的</w:t>
      </w:r>
      <w:r>
        <w:rPr>
          <w:rFonts w:hint="eastAsia" w:ascii="宋体" w:hAnsi="宋体" w:eastAsia="宋体" w:cs="宋体"/>
          <w:color w:val="auto"/>
          <w:sz w:val="24"/>
          <w:szCs w:val="24"/>
          <w:highlight w:val="none"/>
        </w:rPr>
        <w:t>质量问题由乙方负责</w:t>
      </w:r>
      <w:r>
        <w:rPr>
          <w:rFonts w:hint="eastAsia" w:ascii="宋体" w:hAnsi="宋体" w:eastAsia="宋体" w:cs="宋体"/>
          <w:color w:val="auto"/>
          <w:sz w:val="24"/>
          <w:szCs w:val="24"/>
          <w:highlight w:val="none"/>
          <w:lang w:val="en-US" w:eastAsia="zh-CN"/>
        </w:rPr>
        <w:t>维修、更换</w:t>
      </w:r>
      <w:r>
        <w:rPr>
          <w:rFonts w:hint="eastAsia" w:ascii="宋体" w:hAnsi="宋体" w:eastAsia="宋体" w:cs="宋体"/>
          <w:color w:val="auto"/>
          <w:sz w:val="24"/>
          <w:szCs w:val="24"/>
          <w:highlight w:val="none"/>
        </w:rPr>
        <w:t>。</w:t>
      </w:r>
    </w:p>
    <w:p w14:paraId="60A091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）乙方应保证甲方在使用该货物或其任何一部分时免受第三方提出侵犯其</w:t>
      </w:r>
      <w:r>
        <w:rPr>
          <w:rFonts w:hint="eastAsia" w:ascii="宋体" w:hAnsi="宋体" w:eastAsia="宋体" w:cs="宋体"/>
          <w:color w:val="auto"/>
          <w:sz w:val="24"/>
          <w:szCs w:val="24"/>
          <w:highlight w:val="none"/>
          <w:lang w:val="en-US" w:eastAsia="zh-CN"/>
        </w:rPr>
        <w:t>各类知识产权包括专利权、著作权、商标权及其他知识产权</w:t>
      </w:r>
      <w:r>
        <w:rPr>
          <w:rFonts w:hint="eastAsia" w:ascii="宋体" w:hAnsi="宋体" w:eastAsia="宋体" w:cs="宋体"/>
          <w:color w:val="auto"/>
          <w:sz w:val="24"/>
          <w:szCs w:val="24"/>
          <w:highlight w:val="none"/>
        </w:rPr>
        <w:t>的起诉。</w:t>
      </w:r>
    </w:p>
    <w:p w14:paraId="30C723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7）负责与使用单位信息化系统予以连接，并负责对软件系统终身免费升级。</w:t>
      </w:r>
    </w:p>
    <w:p w14:paraId="1B692D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（8）操作系统安装经授权的正版产品。</w:t>
      </w:r>
    </w:p>
    <w:p w14:paraId="5F016C2B">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b/>
          <w:bCs/>
          <w:color w:val="auto"/>
          <w:sz w:val="24"/>
          <w:szCs w:val="24"/>
        </w:rPr>
        <w:t>五、运输方式</w:t>
      </w:r>
      <w:r>
        <w:rPr>
          <w:rFonts w:hint="eastAsia" w:ascii="宋体" w:hAnsi="宋体" w:eastAsia="宋体" w:cs="宋体"/>
          <w:color w:val="auto"/>
          <w:sz w:val="24"/>
          <w:szCs w:val="24"/>
        </w:rPr>
        <w:t>：</w:t>
      </w:r>
    </w:p>
    <w:p w14:paraId="6B5C7045">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根据产品特性，由乙方在保证产品质量的前提下，自行选择运输及包装方式。</w:t>
      </w:r>
    </w:p>
    <w:p w14:paraId="0DE4BD25">
      <w:pPr>
        <w:spacing w:line="360" w:lineRule="auto"/>
        <w:ind w:right="-256" w:rightChars="-8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、验收</w:t>
      </w:r>
    </w:p>
    <w:p w14:paraId="707CAD3B">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在产品出厂前，应按产品技术标准规定的检验项目和检验方法进行全面检验，随同产品物出具产地证书、出厂检验报告和产品质量合格证等。</w:t>
      </w:r>
    </w:p>
    <w:p w14:paraId="574B2DD2">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（二）产品到货后，</w:t>
      </w:r>
      <w:r>
        <w:rPr>
          <w:rFonts w:hint="eastAsia" w:ascii="宋体" w:hAnsi="宋体" w:eastAsia="宋体" w:cs="宋体"/>
          <w:color w:val="auto"/>
          <w:sz w:val="24"/>
          <w:szCs w:val="24"/>
          <w:lang w:val="en-US" w:eastAsia="zh-CN"/>
        </w:rPr>
        <w:t>甲方及设备使用人</w:t>
      </w:r>
      <w:r>
        <w:rPr>
          <w:rFonts w:hint="eastAsia" w:ascii="宋体" w:hAnsi="宋体" w:eastAsia="宋体" w:cs="宋体"/>
          <w:color w:val="auto"/>
          <w:sz w:val="24"/>
          <w:szCs w:val="24"/>
        </w:rPr>
        <w:t>根据合同要求对产品进行外观验收、确认产品名称、规格、型号、数量及原产地或生产厂家。</w:t>
      </w:r>
    </w:p>
    <w:p w14:paraId="6E15F8A1">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完成所有设备安装调试后，</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进行自检，自检合格后准备验收文件，并书面通知</w:t>
      </w:r>
      <w:r>
        <w:rPr>
          <w:rFonts w:hint="eastAsia" w:ascii="宋体" w:hAnsi="宋体" w:eastAsia="宋体" w:cs="宋体"/>
          <w:color w:val="auto"/>
          <w:sz w:val="24"/>
          <w:szCs w:val="24"/>
          <w:lang w:val="en-US" w:eastAsia="zh-CN"/>
        </w:rPr>
        <w:t>甲方及设备使用人</w:t>
      </w:r>
      <w:r>
        <w:rPr>
          <w:rFonts w:hint="eastAsia" w:ascii="宋体" w:hAnsi="宋体" w:eastAsia="宋体" w:cs="宋体"/>
          <w:color w:val="auto"/>
          <w:sz w:val="24"/>
          <w:szCs w:val="24"/>
        </w:rPr>
        <w:t>。</w:t>
      </w:r>
    </w:p>
    <w:p w14:paraId="436D4ABE">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（四）甲方</w:t>
      </w:r>
      <w:r>
        <w:rPr>
          <w:rFonts w:hint="eastAsia" w:ascii="宋体" w:hAnsi="宋体" w:eastAsia="宋体" w:cs="宋体"/>
          <w:color w:val="auto"/>
          <w:sz w:val="24"/>
          <w:szCs w:val="24"/>
          <w:lang w:val="en-US" w:eastAsia="zh-CN"/>
        </w:rPr>
        <w:t>及设备使用人收到</w:t>
      </w:r>
      <w:r>
        <w:rPr>
          <w:rFonts w:hint="eastAsia" w:ascii="宋体" w:hAnsi="宋体" w:eastAsia="宋体" w:cs="宋体"/>
          <w:color w:val="auto"/>
          <w:sz w:val="24"/>
          <w:szCs w:val="24"/>
        </w:rPr>
        <w:t>乙方的</w:t>
      </w:r>
      <w:r>
        <w:rPr>
          <w:rFonts w:hint="eastAsia" w:ascii="宋体" w:hAnsi="宋体" w:eastAsia="宋体" w:cs="宋体"/>
          <w:color w:val="auto"/>
          <w:sz w:val="24"/>
          <w:szCs w:val="24"/>
          <w:lang w:val="en-US" w:eastAsia="zh-CN"/>
        </w:rPr>
        <w:t>验收申请后</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rPr>
        <w:t>聘</w:t>
      </w:r>
      <w:r>
        <w:rPr>
          <w:rFonts w:hint="eastAsia" w:ascii="宋体" w:hAnsi="宋体" w:eastAsia="宋体" w:cs="宋体"/>
          <w:color w:val="auto"/>
          <w:sz w:val="24"/>
          <w:szCs w:val="24"/>
          <w:lang w:val="en-US" w:eastAsia="zh-CN"/>
        </w:rPr>
        <w:t>请相关</w:t>
      </w:r>
      <w:r>
        <w:rPr>
          <w:rFonts w:hint="eastAsia" w:ascii="宋体" w:hAnsi="宋体" w:eastAsia="宋体" w:cs="宋体"/>
          <w:color w:val="auto"/>
          <w:sz w:val="24"/>
          <w:szCs w:val="24"/>
        </w:rPr>
        <w:t>专家</w:t>
      </w:r>
      <w:r>
        <w:rPr>
          <w:rFonts w:hint="eastAsia" w:ascii="宋体" w:hAnsi="宋体" w:eastAsia="宋体" w:cs="宋体"/>
          <w:color w:val="auto"/>
          <w:sz w:val="24"/>
          <w:szCs w:val="24"/>
          <w:lang w:val="en-US" w:eastAsia="zh-CN"/>
        </w:rPr>
        <w:t>组织</w:t>
      </w:r>
      <w:r>
        <w:rPr>
          <w:rFonts w:hint="eastAsia" w:ascii="宋体" w:hAnsi="宋体" w:eastAsia="宋体" w:cs="宋体"/>
          <w:color w:val="auto"/>
          <w:sz w:val="24"/>
          <w:szCs w:val="24"/>
        </w:rPr>
        <w:t>验收，专家组验收合格作为产品的最终认可。</w:t>
      </w:r>
    </w:p>
    <w:p w14:paraId="62E4E2C3">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（五）验收合格后，填写政府采购项目验收单，并向甲方提交</w:t>
      </w:r>
      <w:r>
        <w:rPr>
          <w:rFonts w:hint="eastAsia" w:ascii="宋体" w:hAnsi="宋体" w:eastAsia="宋体" w:cs="宋体"/>
          <w:color w:val="auto"/>
          <w:sz w:val="24"/>
          <w:szCs w:val="24"/>
          <w:lang w:val="en-US" w:eastAsia="zh-CN"/>
        </w:rPr>
        <w:t>相关</w:t>
      </w:r>
      <w:r>
        <w:rPr>
          <w:rFonts w:hint="eastAsia" w:ascii="宋体" w:hAnsi="宋体" w:eastAsia="宋体" w:cs="宋体"/>
          <w:color w:val="auto"/>
          <w:sz w:val="24"/>
          <w:szCs w:val="24"/>
        </w:rPr>
        <w:t>资料。</w:t>
      </w:r>
    </w:p>
    <w:p w14:paraId="51BC2E51">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（六）验收依据：</w:t>
      </w:r>
    </w:p>
    <w:p w14:paraId="3F799FE7">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1.合同；</w:t>
      </w:r>
    </w:p>
    <w:p w14:paraId="6294DDB7">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2.国内相应的标准、规范；</w:t>
      </w:r>
    </w:p>
    <w:p w14:paraId="0989D235">
      <w:pPr>
        <w:keepNext w:val="0"/>
        <w:keepLines w:val="0"/>
        <w:pageBreakBefore w:val="0"/>
        <w:widowControl w:val="0"/>
        <w:kinsoku/>
        <w:wordWrap/>
        <w:overflowPunct/>
        <w:topLinePunct w:val="0"/>
        <w:autoSpaceDE/>
        <w:autoSpaceDN/>
        <w:bidi w:val="0"/>
        <w:adjustRightInd/>
        <w:snapToGrid w:val="0"/>
        <w:spacing w:line="360" w:lineRule="auto"/>
        <w:ind w:firstLine="646"/>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3.招标文件以及投标人的投标文件；</w:t>
      </w:r>
    </w:p>
    <w:p w14:paraId="6F99AB19">
      <w:pPr>
        <w:adjustRightInd w:val="0"/>
        <w:snapToGrid w:val="0"/>
        <w:spacing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、技术服务</w:t>
      </w:r>
    </w:p>
    <w:p w14:paraId="0C4CA00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（一）对技术服务的要求：</w:t>
      </w:r>
    </w:p>
    <w:p w14:paraId="45FEA557">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1.技术资料：</w:t>
      </w:r>
    </w:p>
    <w:p w14:paraId="24255847">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（1）产品合格证及检验报告；</w:t>
      </w:r>
    </w:p>
    <w:p w14:paraId="6CE12B5C">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（2）产品使用说明书（中文）；</w:t>
      </w:r>
    </w:p>
    <w:p w14:paraId="0AB7F368">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）其它资料。</w:t>
      </w:r>
    </w:p>
    <w:p w14:paraId="73B7EB14">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2.技术培训：免费为采购人培训设备操作及维护人员。</w:t>
      </w:r>
    </w:p>
    <w:p w14:paraId="22B30B68">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（1）培训内容：由采购人指定；</w:t>
      </w:r>
    </w:p>
    <w:p w14:paraId="05A7FDE1">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（2）培训地点：由采购人指定；</w:t>
      </w:r>
    </w:p>
    <w:p w14:paraId="664A4BB0">
      <w:pPr>
        <w:snapToGrid w:val="0"/>
        <w:spacing w:line="360" w:lineRule="auto"/>
        <w:ind w:left="645"/>
        <w:rPr>
          <w:rFonts w:hint="default" w:ascii="宋体" w:hAnsi="宋体" w:eastAsia="宋体" w:cs="宋体"/>
          <w:color w:val="auto"/>
          <w:sz w:val="24"/>
          <w:szCs w:val="24"/>
          <w:lang w:val="en-US"/>
        </w:rPr>
      </w:pPr>
      <w:r>
        <w:rPr>
          <w:rFonts w:hint="eastAsia" w:ascii="宋体" w:hAnsi="宋体" w:eastAsia="宋体" w:cs="宋体"/>
          <w:color w:val="auto"/>
          <w:sz w:val="24"/>
          <w:szCs w:val="24"/>
        </w:rPr>
        <w:t>（3）培训</w:t>
      </w:r>
      <w:r>
        <w:rPr>
          <w:rFonts w:hint="eastAsia" w:ascii="宋体" w:hAnsi="宋体" w:eastAsia="宋体" w:cs="宋体"/>
          <w:color w:val="auto"/>
          <w:sz w:val="24"/>
          <w:szCs w:val="24"/>
          <w:lang w:val="en-US" w:eastAsia="zh-CN"/>
        </w:rPr>
        <w:t>次数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2次以上</w:t>
      </w:r>
      <w:r>
        <w:rPr>
          <w:rFonts w:hint="eastAsia" w:ascii="宋体" w:hAnsi="宋体" w:eastAsia="宋体" w:cs="宋体"/>
          <w:color w:val="auto"/>
          <w:sz w:val="24"/>
          <w:szCs w:val="24"/>
        </w:rPr>
        <w:t>；</w:t>
      </w:r>
    </w:p>
    <w:p w14:paraId="0B7A0F22">
      <w:pPr>
        <w:snapToGrid w:val="0"/>
        <w:spacing w:line="360" w:lineRule="auto"/>
        <w:ind w:left="645"/>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（4）培训人数：</w:t>
      </w:r>
    </w:p>
    <w:p w14:paraId="3248D119">
      <w:pPr>
        <w:snapToGrid w:val="0"/>
        <w:spacing w:line="360" w:lineRule="auto"/>
        <w:ind w:left="645"/>
        <w:rPr>
          <w:rFonts w:hint="eastAsia" w:ascii="宋体" w:hAnsi="宋体" w:eastAsia="宋体" w:cs="宋体"/>
          <w:color w:val="auto"/>
          <w:sz w:val="24"/>
          <w:szCs w:val="24"/>
          <w:lang w:eastAsia="zh-CN"/>
        </w:rPr>
      </w:pPr>
      <w:r>
        <w:rPr>
          <w:rFonts w:hint="eastAsia" w:ascii="宋体" w:hAnsi="宋体" w:eastAsia="宋体" w:cs="宋体"/>
          <w:color w:val="auto"/>
          <w:sz w:val="24"/>
          <w:szCs w:val="24"/>
        </w:rPr>
        <w:t>（5）培训费</w:t>
      </w:r>
      <w:r>
        <w:rPr>
          <w:rFonts w:hint="eastAsia" w:ascii="宋体" w:hAnsi="宋体" w:eastAsia="宋体" w:cs="宋体"/>
          <w:color w:val="auto"/>
          <w:sz w:val="24"/>
          <w:szCs w:val="24"/>
          <w:lang w:val="en-US" w:eastAsia="zh-CN"/>
        </w:rPr>
        <w:t>用</w:t>
      </w:r>
      <w:r>
        <w:rPr>
          <w:rFonts w:hint="eastAsia" w:ascii="宋体" w:hAnsi="宋体" w:eastAsia="宋体" w:cs="宋体"/>
          <w:color w:val="auto"/>
          <w:sz w:val="24"/>
          <w:szCs w:val="24"/>
        </w:rPr>
        <w:t>已包含在合同总价中</w:t>
      </w:r>
      <w:r>
        <w:rPr>
          <w:rFonts w:hint="eastAsia" w:ascii="宋体" w:hAnsi="宋体" w:eastAsia="宋体" w:cs="宋体"/>
          <w:color w:val="auto"/>
          <w:sz w:val="24"/>
          <w:szCs w:val="24"/>
          <w:lang w:eastAsia="zh-CN"/>
        </w:rPr>
        <w:t>。</w:t>
      </w:r>
    </w:p>
    <w:p w14:paraId="578C3D29">
      <w:pPr>
        <w:snapToGrid w:val="0"/>
        <w:spacing w:line="360" w:lineRule="auto"/>
        <w:ind w:left="645"/>
        <w:rPr>
          <w:rFonts w:hint="eastAsia" w:ascii="宋体" w:hAnsi="宋体" w:eastAsia="宋体" w:cs="宋体"/>
          <w:b/>
          <w:bCs/>
          <w:color w:val="auto"/>
          <w:sz w:val="24"/>
          <w:szCs w:val="24"/>
        </w:rPr>
      </w:pPr>
      <w:r>
        <w:rPr>
          <w:rFonts w:hint="eastAsia" w:ascii="宋体" w:hAnsi="宋体" w:eastAsia="宋体" w:cs="宋体"/>
          <w:b/>
          <w:bCs/>
          <w:color w:val="auto"/>
          <w:sz w:val="24"/>
          <w:szCs w:val="24"/>
        </w:rPr>
        <w:t>3.</w:t>
      </w:r>
      <w:r>
        <w:rPr>
          <w:rFonts w:hint="eastAsia" w:ascii="宋体" w:hAnsi="宋体" w:eastAsia="宋体" w:cs="宋体"/>
          <w:b/>
          <w:bCs/>
          <w:color w:val="auto"/>
          <w:sz w:val="24"/>
          <w:szCs w:val="24"/>
          <w:lang w:val="en-US" w:eastAsia="zh-CN"/>
        </w:rPr>
        <w:t>质保及</w:t>
      </w:r>
      <w:r>
        <w:rPr>
          <w:rFonts w:hint="eastAsia" w:ascii="宋体" w:hAnsi="宋体" w:eastAsia="宋体" w:cs="宋体"/>
          <w:b/>
          <w:bCs/>
          <w:color w:val="auto"/>
          <w:sz w:val="24"/>
          <w:szCs w:val="24"/>
        </w:rPr>
        <w:t>售后服务</w:t>
      </w:r>
    </w:p>
    <w:p w14:paraId="162B0729">
      <w:pPr>
        <w:snapToGrid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1）质保期：</w:t>
      </w:r>
      <w:r>
        <w:rPr>
          <w:rFonts w:hint="eastAsia" w:ascii="宋体" w:hAnsi="宋体" w:eastAsia="宋体" w:cs="宋体"/>
          <w:color w:val="auto"/>
          <w:sz w:val="24"/>
          <w:szCs w:val="24"/>
          <w:highlight w:val="none"/>
          <w:u w:val="single"/>
          <w:lang w:val="en-US" w:eastAsia="zh-CN"/>
        </w:rPr>
        <w:t xml:space="preserve"> 自产品验收合格之日起   年</w:t>
      </w:r>
      <w:r>
        <w:rPr>
          <w:rFonts w:hint="eastAsia" w:ascii="宋体" w:hAnsi="宋体" w:eastAsia="宋体" w:cs="宋体"/>
          <w:color w:val="auto"/>
          <w:sz w:val="24"/>
          <w:szCs w:val="24"/>
          <w:highlight w:val="none"/>
          <w:u w:val="none"/>
          <w:lang w:val="en-US" w:eastAsia="zh-CN"/>
        </w:rPr>
        <w:t>。</w:t>
      </w:r>
    </w:p>
    <w:p w14:paraId="45BD5D10">
      <w:pPr>
        <w:snapToGrid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乙方在接到甲方故障通知后</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应在</w:t>
      </w:r>
      <w:r>
        <w:rPr>
          <w:rFonts w:hint="eastAsia" w:ascii="宋体" w:hAnsi="宋体" w:eastAsia="宋体" w:cs="宋体"/>
          <w:color w:val="auto"/>
          <w:sz w:val="24"/>
          <w:szCs w:val="24"/>
          <w:u w:val="single"/>
          <w:lang w:val="en-US" w:eastAsia="zh-CN"/>
        </w:rPr>
        <w:t xml:space="preserve"> 0.5 </w:t>
      </w:r>
      <w:r>
        <w:rPr>
          <w:rFonts w:hint="eastAsia" w:ascii="宋体" w:hAnsi="宋体" w:eastAsia="宋体" w:cs="宋体"/>
          <w:color w:val="auto"/>
          <w:sz w:val="24"/>
          <w:szCs w:val="24"/>
          <w:u w:val="none"/>
          <w:lang w:val="en-US" w:eastAsia="zh-CN"/>
        </w:rPr>
        <w:t>小时内响应，</w:t>
      </w:r>
      <w:r>
        <w:rPr>
          <w:rFonts w:hint="eastAsia" w:ascii="宋体" w:hAnsi="宋体" w:eastAsia="宋体" w:cs="宋体"/>
          <w:color w:val="auto"/>
          <w:sz w:val="24"/>
          <w:szCs w:val="24"/>
          <w:u w:val="single"/>
        </w:rPr>
        <w:t xml:space="preserve"> 24 </w:t>
      </w:r>
      <w:r>
        <w:rPr>
          <w:rFonts w:hint="eastAsia" w:ascii="宋体" w:hAnsi="宋体" w:eastAsia="宋体" w:cs="宋体"/>
          <w:color w:val="auto"/>
          <w:sz w:val="24"/>
          <w:szCs w:val="24"/>
        </w:rPr>
        <w:t>小时内</w:t>
      </w:r>
      <w:r>
        <w:rPr>
          <w:rFonts w:hint="eastAsia" w:ascii="宋体" w:hAnsi="宋体" w:eastAsia="宋体" w:cs="宋体"/>
          <w:color w:val="auto"/>
          <w:sz w:val="24"/>
          <w:szCs w:val="24"/>
          <w:lang w:val="en-US" w:eastAsia="zh-CN"/>
        </w:rPr>
        <w:t>排除故障</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如不能按期排除故障，</w:t>
      </w:r>
      <w:r>
        <w:rPr>
          <w:rFonts w:hint="eastAsia" w:ascii="宋体" w:hAnsi="宋体" w:eastAsia="宋体" w:cs="宋体"/>
          <w:color w:val="auto"/>
          <w:sz w:val="24"/>
          <w:szCs w:val="24"/>
        </w:rPr>
        <w:t>需将产品</w:t>
      </w:r>
      <w:r>
        <w:rPr>
          <w:rFonts w:hint="eastAsia" w:ascii="宋体" w:hAnsi="宋体" w:eastAsia="宋体" w:cs="宋体"/>
          <w:color w:val="auto"/>
          <w:sz w:val="24"/>
          <w:szCs w:val="24"/>
          <w:lang w:val="en-US" w:eastAsia="zh-CN"/>
        </w:rPr>
        <w:t>返厂维修的</w:t>
      </w:r>
      <w:r>
        <w:rPr>
          <w:rFonts w:hint="eastAsia" w:ascii="宋体" w:hAnsi="宋体" w:eastAsia="宋体" w:cs="宋体"/>
          <w:color w:val="auto"/>
          <w:sz w:val="24"/>
          <w:szCs w:val="24"/>
        </w:rPr>
        <w:t>，乙方应提供备用机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rPr>
        <w:t>承担</w:t>
      </w:r>
      <w:r>
        <w:rPr>
          <w:rFonts w:hint="eastAsia" w:ascii="宋体" w:hAnsi="宋体" w:eastAsia="宋体" w:cs="宋体"/>
          <w:color w:val="auto"/>
          <w:sz w:val="24"/>
          <w:szCs w:val="24"/>
          <w:lang w:val="en-US" w:eastAsia="zh-CN"/>
        </w:rPr>
        <w:t>相关全部费用</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乙方应保障该设备因故障停机率不超过年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%的天数，因故障停机的时间双倍顺延质保期。</w:t>
      </w:r>
      <w:r>
        <w:rPr>
          <w:rFonts w:hint="eastAsia" w:ascii="宋体" w:hAnsi="宋体" w:eastAsia="宋体" w:cs="宋体"/>
          <w:color w:val="auto"/>
          <w:sz w:val="24"/>
          <w:szCs w:val="24"/>
          <w:lang w:val="en-US" w:eastAsia="zh-CN"/>
        </w:rPr>
        <w:t>故障停机超过年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%的天数，甲方有权要求更换全新产品或单</w:t>
      </w:r>
      <w:r>
        <w:rPr>
          <w:rFonts w:hint="eastAsia" w:ascii="宋体" w:hAnsi="宋体" w:eastAsia="宋体" w:cs="宋体"/>
          <w:color w:val="auto"/>
          <w:sz w:val="24"/>
          <w:szCs w:val="24"/>
          <w:highlight w:val="none"/>
          <w:u w:val="none"/>
          <w:lang w:val="en-US" w:eastAsia="zh-CN"/>
        </w:rPr>
        <w:t>方解除合同，并要求乙方承担设备总价款</w:t>
      </w:r>
      <w:r>
        <w:rPr>
          <w:rFonts w:hint="eastAsia" w:ascii="宋体" w:hAnsi="宋体" w:eastAsia="宋体" w:cs="宋体"/>
          <w:color w:val="auto"/>
          <w:sz w:val="24"/>
          <w:szCs w:val="24"/>
          <w:highlight w:val="none"/>
          <w:u w:val="single"/>
          <w:lang w:val="en-US" w:eastAsia="zh-CN"/>
        </w:rPr>
        <w:t xml:space="preserve"> 20 </w:t>
      </w:r>
      <w:r>
        <w:rPr>
          <w:rFonts w:hint="eastAsia" w:ascii="宋体" w:hAnsi="宋体" w:eastAsia="宋体" w:cs="宋体"/>
          <w:color w:val="auto"/>
          <w:sz w:val="24"/>
          <w:szCs w:val="24"/>
          <w:highlight w:val="none"/>
          <w:u w:val="none"/>
          <w:lang w:val="en-US" w:eastAsia="zh-CN"/>
        </w:rPr>
        <w:t>%的违约金。</w:t>
      </w:r>
    </w:p>
    <w:p w14:paraId="37C97575">
      <w:pPr>
        <w:snapToGrid w:val="0"/>
        <w:spacing w:line="360" w:lineRule="auto"/>
        <w:ind w:left="645"/>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4.履约保证金</w:t>
      </w:r>
    </w:p>
    <w:p w14:paraId="617E8B5F">
      <w:pPr>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乙方在</w:t>
      </w:r>
      <w:r>
        <w:rPr>
          <w:rFonts w:hint="default" w:ascii="宋体" w:hAnsi="宋体" w:eastAsia="宋体" w:cs="宋体"/>
          <w:color w:val="auto"/>
          <w:sz w:val="24"/>
          <w:szCs w:val="24"/>
          <w:highlight w:val="none"/>
          <w:lang w:val="en-US" w:eastAsia="zh-CN"/>
        </w:rPr>
        <w:t>合同签订之前</w:t>
      </w:r>
      <w:r>
        <w:rPr>
          <w:rFonts w:hint="eastAsia" w:ascii="宋体" w:hAnsi="宋体" w:eastAsia="宋体" w:cs="宋体"/>
          <w:color w:val="auto"/>
          <w:sz w:val="24"/>
          <w:szCs w:val="24"/>
          <w:highlight w:val="none"/>
          <w:lang w:val="en-US" w:eastAsia="zh-CN"/>
        </w:rPr>
        <w:t>向甲方</w:t>
      </w:r>
      <w:r>
        <w:rPr>
          <w:rFonts w:hint="default" w:ascii="宋体" w:hAnsi="宋体" w:eastAsia="宋体" w:cs="宋体"/>
          <w:color w:val="auto"/>
          <w:sz w:val="24"/>
          <w:szCs w:val="24"/>
          <w:highlight w:val="none"/>
          <w:lang w:val="en-US" w:eastAsia="zh-CN"/>
        </w:rPr>
        <w:t>缴纳合同总价款</w:t>
      </w:r>
      <w:r>
        <w:rPr>
          <w:rFonts w:hint="eastAsia" w:ascii="宋体" w:hAnsi="宋体" w:eastAsia="宋体" w:cs="宋体"/>
          <w:color w:val="auto"/>
          <w:sz w:val="24"/>
          <w:szCs w:val="24"/>
          <w:highlight w:val="none"/>
          <w:lang w:val="en-US" w:eastAsia="zh-CN"/>
        </w:rPr>
        <w:t xml:space="preserve"> </w:t>
      </w:r>
      <w:r>
        <w:rPr>
          <w:rFonts w:hint="default"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 </w:t>
      </w:r>
      <w:r>
        <w:rPr>
          <w:rFonts w:hint="default" w:ascii="宋体" w:hAnsi="宋体" w:eastAsia="宋体" w:cs="宋体"/>
          <w:color w:val="auto"/>
          <w:sz w:val="24"/>
          <w:szCs w:val="24"/>
          <w:highlight w:val="none"/>
          <w:lang w:val="en-US" w:eastAsia="zh-CN"/>
        </w:rPr>
        <w:t>%的履约保证金</w:t>
      </w:r>
      <w:r>
        <w:rPr>
          <w:rFonts w:hint="eastAsia" w:ascii="宋体" w:hAnsi="宋体" w:eastAsia="宋体" w:cs="宋体"/>
          <w:color w:val="auto"/>
          <w:sz w:val="24"/>
          <w:szCs w:val="24"/>
          <w:highlight w:val="none"/>
          <w:lang w:val="en-US" w:eastAsia="zh-CN"/>
        </w:rPr>
        <w:t>，履约保证金在</w:t>
      </w:r>
      <w:r>
        <w:rPr>
          <w:rFonts w:hint="default" w:ascii="宋体" w:hAnsi="宋体" w:eastAsia="宋体" w:cs="宋体"/>
          <w:color w:val="auto"/>
          <w:sz w:val="24"/>
          <w:szCs w:val="24"/>
          <w:highlight w:val="none"/>
          <w:lang w:val="en-US" w:eastAsia="zh-CN"/>
        </w:rPr>
        <w:t>项目完成后30日历日内无息退还。</w:t>
      </w:r>
    </w:p>
    <w:p w14:paraId="13517F0D">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4.伴随服务</w:t>
      </w:r>
    </w:p>
    <w:p w14:paraId="0D3247F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（1）乙方应随同每套货物提供相应的中文的技术文件。</w:t>
      </w:r>
    </w:p>
    <w:p w14:paraId="23E4596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（2）完整的操作使用手册和维护、修理技术文件，图纸、保修卡等。</w:t>
      </w:r>
    </w:p>
    <w:p w14:paraId="37081665">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（3）制造厂的检验、测试报告、设备检验合格证书，计量合格等级证书，质量保证书等文件须随设备装箱提供。</w:t>
      </w:r>
    </w:p>
    <w:p w14:paraId="5BCAA66D">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（4）必须的其它技术资料。</w:t>
      </w:r>
    </w:p>
    <w:p w14:paraId="2110FF9C">
      <w:pPr>
        <w:snapToGrid w:val="0"/>
        <w:spacing w:line="360" w:lineRule="auto"/>
        <w:ind w:left="645"/>
        <w:rPr>
          <w:rFonts w:hint="eastAsia" w:ascii="宋体" w:hAnsi="宋体" w:eastAsia="宋体" w:cs="宋体"/>
          <w:color w:val="auto"/>
          <w:sz w:val="24"/>
          <w:szCs w:val="24"/>
        </w:rPr>
      </w:pPr>
      <w:r>
        <w:rPr>
          <w:rFonts w:hint="eastAsia" w:ascii="宋体" w:hAnsi="宋体" w:eastAsia="宋体" w:cs="宋体"/>
          <w:color w:val="auto"/>
          <w:sz w:val="24"/>
          <w:szCs w:val="24"/>
        </w:rPr>
        <w:t>（5）伴随服务的费用已含在合同价中，不单独进行支付。</w:t>
      </w:r>
    </w:p>
    <w:p w14:paraId="272E2060">
      <w:pPr>
        <w:spacing w:line="360" w:lineRule="auto"/>
        <w:ind w:right="-256" w:rightChars="-8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、违约责任</w:t>
      </w:r>
    </w:p>
    <w:p w14:paraId="675B5470">
      <w:pPr>
        <w:spacing w:line="360" w:lineRule="auto"/>
        <w:ind w:right="-256" w:rightChars="-8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（一）按</w:t>
      </w:r>
      <w:r>
        <w:rPr>
          <w:rFonts w:hint="eastAsia" w:ascii="宋体" w:hAnsi="宋体" w:eastAsia="宋体" w:cs="宋体"/>
          <w:color w:val="auto"/>
          <w:sz w:val="24"/>
          <w:szCs w:val="24"/>
          <w:highlight w:val="none"/>
          <w:lang w:val="zh-CN"/>
        </w:rPr>
        <w:t>《中华人民共和国民法典》</w:t>
      </w:r>
      <w:r>
        <w:rPr>
          <w:rFonts w:hint="eastAsia" w:ascii="宋体" w:hAnsi="宋体" w:eastAsia="宋体" w:cs="宋体"/>
          <w:color w:val="auto"/>
          <w:sz w:val="24"/>
          <w:szCs w:val="24"/>
        </w:rPr>
        <w:t>中的相关条款执行。</w:t>
      </w:r>
    </w:p>
    <w:p w14:paraId="050F7685">
      <w:pPr>
        <w:spacing w:line="360" w:lineRule="auto"/>
        <w:ind w:right="-256" w:rightChars="-80"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（二）乙方</w:t>
      </w:r>
      <w:r>
        <w:rPr>
          <w:rFonts w:hint="eastAsia" w:ascii="宋体" w:hAnsi="宋体" w:eastAsia="宋体" w:cs="宋体"/>
          <w:color w:val="auto"/>
          <w:sz w:val="24"/>
          <w:szCs w:val="24"/>
          <w:lang w:val="en-US" w:eastAsia="zh-CN"/>
        </w:rPr>
        <w:t>逾期交货责任</w:t>
      </w:r>
    </w:p>
    <w:p w14:paraId="335865A9">
      <w:pPr>
        <w:spacing w:line="360" w:lineRule="auto"/>
        <w:ind w:right="-256" w:rightChars="-8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若</w:t>
      </w:r>
      <w:r>
        <w:rPr>
          <w:rFonts w:hint="eastAsia" w:ascii="宋体" w:hAnsi="宋体" w:eastAsia="宋体" w:cs="宋体"/>
          <w:color w:val="auto"/>
          <w:sz w:val="24"/>
          <w:szCs w:val="24"/>
          <w:highlight w:val="none"/>
        </w:rPr>
        <w:t>乙方事先未征得采购人同意</w:t>
      </w:r>
      <w:r>
        <w:rPr>
          <w:rFonts w:hint="eastAsia" w:ascii="宋体" w:hAnsi="宋体" w:eastAsia="宋体" w:cs="宋体"/>
          <w:color w:val="auto"/>
          <w:sz w:val="24"/>
          <w:szCs w:val="24"/>
          <w:highlight w:val="none"/>
          <w:lang w:val="en-US" w:eastAsia="zh-CN"/>
        </w:rPr>
        <w:t>单方面逾期交货超过</w:t>
      </w:r>
      <w:r>
        <w:rPr>
          <w:rFonts w:hint="eastAsia" w:ascii="宋体" w:hAnsi="宋体" w:eastAsia="宋体" w:cs="宋体"/>
          <w:color w:val="auto"/>
          <w:sz w:val="24"/>
          <w:szCs w:val="24"/>
          <w:highlight w:val="none"/>
          <w:u w:val="single"/>
          <w:lang w:val="en-US" w:eastAsia="zh-CN"/>
        </w:rPr>
        <w:t xml:space="preserve"> 1 </w:t>
      </w:r>
      <w:r>
        <w:rPr>
          <w:rFonts w:hint="eastAsia" w:ascii="宋体" w:hAnsi="宋体" w:eastAsia="宋体" w:cs="宋体"/>
          <w:color w:val="auto"/>
          <w:sz w:val="24"/>
          <w:szCs w:val="24"/>
          <w:highlight w:val="none"/>
          <w:lang w:val="en-US" w:eastAsia="zh-CN"/>
        </w:rPr>
        <w:t>个月的，甲方有权单方面解除合同，并要求乙方承担该设备总价款</w:t>
      </w:r>
      <w:r>
        <w:rPr>
          <w:rFonts w:hint="eastAsia" w:ascii="宋体" w:hAnsi="宋体" w:eastAsia="宋体" w:cs="宋体"/>
          <w:color w:val="auto"/>
          <w:sz w:val="24"/>
          <w:szCs w:val="24"/>
          <w:highlight w:val="none"/>
          <w:u w:val="single"/>
          <w:lang w:val="en-US" w:eastAsia="zh-CN"/>
        </w:rPr>
        <w:t xml:space="preserve"> 20 </w:t>
      </w:r>
      <w:r>
        <w:rPr>
          <w:rFonts w:hint="eastAsia" w:ascii="宋体" w:hAnsi="宋体" w:eastAsia="宋体" w:cs="宋体"/>
          <w:color w:val="auto"/>
          <w:sz w:val="24"/>
          <w:szCs w:val="24"/>
          <w:highlight w:val="none"/>
          <w:lang w:val="en-US" w:eastAsia="zh-CN"/>
        </w:rPr>
        <w:t>%违约金</w:t>
      </w:r>
      <w:r>
        <w:rPr>
          <w:rFonts w:hint="eastAsia" w:ascii="宋体" w:hAnsi="宋体" w:eastAsia="宋体" w:cs="宋体"/>
          <w:color w:val="auto"/>
          <w:sz w:val="24"/>
          <w:szCs w:val="24"/>
          <w:highlight w:val="none"/>
        </w:rPr>
        <w:t>。</w:t>
      </w:r>
    </w:p>
    <w:p w14:paraId="3D1B7C5B">
      <w:pPr>
        <w:spacing w:line="360" w:lineRule="auto"/>
        <w:ind w:right="-256" w:rightChars="-80"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2.在履行合同过程中，如果乙方遇到可能妨碍</w:t>
      </w:r>
      <w:r>
        <w:rPr>
          <w:rFonts w:hint="eastAsia" w:ascii="宋体" w:hAnsi="宋体" w:eastAsia="宋体" w:cs="宋体"/>
          <w:color w:val="auto"/>
          <w:sz w:val="24"/>
          <w:szCs w:val="24"/>
          <w:lang w:val="en-US" w:eastAsia="zh-CN"/>
        </w:rPr>
        <w:t>其</w:t>
      </w:r>
      <w:r>
        <w:rPr>
          <w:rFonts w:hint="eastAsia" w:ascii="宋体" w:hAnsi="宋体" w:eastAsia="宋体" w:cs="宋体"/>
          <w:color w:val="auto"/>
          <w:sz w:val="24"/>
          <w:szCs w:val="24"/>
        </w:rPr>
        <w:t>按时提供交货的情况，应以书面形式将拖延的事实，可能拖延的期限和理由通知采购人。甲方在收到乙方通知后，应尽快对情况进行评价，并确定是否通过修改合同，酌情延长交货时间或对乙方加收</w:t>
      </w:r>
      <w:r>
        <w:rPr>
          <w:rFonts w:hint="eastAsia" w:ascii="宋体" w:hAnsi="宋体" w:eastAsia="宋体" w:cs="宋体"/>
          <w:color w:val="auto"/>
          <w:sz w:val="24"/>
          <w:szCs w:val="24"/>
          <w:lang w:val="en-US" w:eastAsia="zh-CN"/>
        </w:rPr>
        <w:t>逾期交货违约金</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逾期交货违约金以设备价款为基数，按每日</w:t>
      </w:r>
      <w:r>
        <w:rPr>
          <w:rFonts w:hint="eastAsia" w:ascii="宋体" w:hAnsi="宋体" w:eastAsia="宋体" w:cs="宋体"/>
          <w:color w:val="auto"/>
          <w:sz w:val="24"/>
          <w:szCs w:val="24"/>
          <w:u w:val="single"/>
          <w:lang w:val="en-US" w:eastAsia="zh-CN"/>
        </w:rPr>
        <w:t xml:space="preserve"> 1 </w:t>
      </w:r>
      <w:r>
        <w:rPr>
          <w:rFonts w:hint="eastAsia" w:ascii="宋体" w:hAnsi="宋体" w:eastAsia="宋体" w:cs="宋体"/>
          <w:color w:val="auto"/>
          <w:sz w:val="24"/>
          <w:szCs w:val="24"/>
          <w:lang w:val="en-US" w:eastAsia="zh-CN"/>
        </w:rPr>
        <w:t>‰计算。</w:t>
      </w:r>
    </w:p>
    <w:p w14:paraId="33B27B23">
      <w:pPr>
        <w:spacing w:line="360" w:lineRule="auto"/>
        <w:ind w:right="-256" w:rightChars="-80"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（三）违约终止合同：未按合同要求提供产品或产品质量不能满足采购技术要求，甲方有权</w:t>
      </w:r>
      <w:r>
        <w:rPr>
          <w:rFonts w:hint="eastAsia" w:ascii="宋体" w:hAnsi="宋体" w:eastAsia="宋体" w:cs="宋体"/>
          <w:color w:val="auto"/>
          <w:sz w:val="24"/>
          <w:szCs w:val="24"/>
          <w:lang w:val="en-US" w:eastAsia="zh-CN"/>
        </w:rPr>
        <w:t>单方解除</w:t>
      </w:r>
      <w:r>
        <w:rPr>
          <w:rFonts w:hint="eastAsia" w:ascii="宋体" w:hAnsi="宋体" w:eastAsia="宋体" w:cs="宋体"/>
          <w:color w:val="auto"/>
          <w:sz w:val="24"/>
          <w:szCs w:val="24"/>
        </w:rPr>
        <w:t>合同并对</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rPr>
        <w:t>违约行为进行追究</w:t>
      </w:r>
      <w:r>
        <w:rPr>
          <w:rFonts w:hint="eastAsia" w:ascii="宋体" w:hAnsi="宋体" w:eastAsia="宋体" w:cs="宋体"/>
          <w:color w:val="auto"/>
          <w:sz w:val="24"/>
          <w:szCs w:val="24"/>
          <w:lang w:eastAsia="zh-CN"/>
        </w:rPr>
        <w:t>。</w:t>
      </w:r>
    </w:p>
    <w:p w14:paraId="44FCD65D">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、合同争议的解决：</w:t>
      </w:r>
    </w:p>
    <w:p w14:paraId="56B4D195">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合同一经签订，不得随意变更、中止或终止。对确需变更、调整或者中止、终止合同的，应按规定履行相应的手续。</w:t>
      </w:r>
    </w:p>
    <w:p w14:paraId="4260082F">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合同执行中发生争议的，甲、乙双方应协商解决，协商达不成一致时，可向甲方所在地人民法院提请诉讼。</w:t>
      </w:r>
    </w:p>
    <w:p w14:paraId="3E3FE8CE">
      <w:pPr>
        <w:snapToGrid w:val="0"/>
        <w:spacing w:line="360" w:lineRule="auto"/>
        <w:ind w:firstLine="645"/>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十、其它事项</w:t>
      </w:r>
    </w:p>
    <w:p w14:paraId="1E310331">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1、甲、乙双方做为合同执行的主体，有义务及时完全履行合同。</w:t>
      </w:r>
    </w:p>
    <w:p w14:paraId="4F9332EB">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、合同未尽事宜，由甲、乙双方协商，协商方案作为本合同不可分割的组成部分，与本合同具有同等法律效力。</w:t>
      </w:r>
    </w:p>
    <w:p w14:paraId="5BFDAE48">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、招标文件和乙方的投标文件以及合同附件均为合同不可分割的部分。</w:t>
      </w:r>
    </w:p>
    <w:p w14:paraId="7B81174E">
      <w:pPr>
        <w:snapToGrid w:val="0"/>
        <w:spacing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、合同一式</w:t>
      </w:r>
      <w:r>
        <w:rPr>
          <w:rFonts w:hint="eastAsia" w:ascii="宋体" w:hAnsi="宋体" w:eastAsia="宋体" w:cs="宋体"/>
          <w:color w:val="auto"/>
          <w:sz w:val="24"/>
          <w:szCs w:val="24"/>
          <w:u w:val="single"/>
          <w:lang w:val="en-US" w:eastAsia="zh-CN"/>
        </w:rPr>
        <w:t>陆</w:t>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肆</w:t>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lang w:val="en-US" w:eastAsia="zh-CN"/>
        </w:rPr>
        <w:t>贰</w:t>
      </w:r>
      <w:r>
        <w:rPr>
          <w:rFonts w:hint="eastAsia" w:ascii="宋体" w:hAnsi="宋体" w:eastAsia="宋体" w:cs="宋体"/>
          <w:color w:val="auto"/>
          <w:sz w:val="24"/>
          <w:szCs w:val="24"/>
        </w:rPr>
        <w:t>份。双方签字盖章后生效。</w:t>
      </w:r>
    </w:p>
    <w:p w14:paraId="2EDBCC4A">
      <w:pPr>
        <w:snapToGrid w:val="0"/>
        <w:spacing w:line="360" w:lineRule="auto"/>
        <w:ind w:firstLine="645"/>
        <w:rPr>
          <w:rFonts w:hint="eastAsia" w:ascii="宋体" w:hAnsi="宋体" w:eastAsia="宋体" w:cs="宋体"/>
          <w:color w:val="auto"/>
          <w:sz w:val="24"/>
          <w:szCs w:val="24"/>
        </w:rPr>
      </w:pPr>
    </w:p>
    <w:tbl>
      <w:tblPr>
        <w:tblStyle w:val="4"/>
        <w:tblW w:w="0" w:type="auto"/>
        <w:jc w:val="center"/>
        <w:tblLayout w:type="fixed"/>
        <w:tblCellMar>
          <w:top w:w="0" w:type="dxa"/>
          <w:left w:w="108" w:type="dxa"/>
          <w:bottom w:w="0" w:type="dxa"/>
          <w:right w:w="108" w:type="dxa"/>
        </w:tblCellMar>
      </w:tblPr>
      <w:tblGrid>
        <w:gridCol w:w="4670"/>
        <w:gridCol w:w="4670"/>
      </w:tblGrid>
      <w:tr w14:paraId="62FFF67E">
        <w:tblPrEx>
          <w:tblCellMar>
            <w:top w:w="0" w:type="dxa"/>
            <w:left w:w="108" w:type="dxa"/>
            <w:bottom w:w="0" w:type="dxa"/>
            <w:right w:w="108" w:type="dxa"/>
          </w:tblCellMar>
        </w:tblPrEx>
        <w:trPr>
          <w:trHeight w:val="240"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263271E8">
            <w:pPr>
              <w:snapToGrid w:val="0"/>
              <w:spacing w:after="0" w:line="360" w:lineRule="auto"/>
              <w:ind w:firstLine="720" w:firstLineChars="3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甲  方：</w:t>
            </w:r>
          </w:p>
        </w:tc>
        <w:tc>
          <w:tcPr>
            <w:tcW w:w="4670" w:type="dxa"/>
            <w:tcBorders>
              <w:top w:val="single" w:color="auto" w:sz="4" w:space="0"/>
              <w:left w:val="nil"/>
              <w:bottom w:val="single" w:color="auto" w:sz="4" w:space="0"/>
              <w:right w:val="single" w:color="auto" w:sz="4" w:space="0"/>
            </w:tcBorders>
            <w:noWrap w:val="0"/>
            <w:vAlign w:val="center"/>
          </w:tcPr>
          <w:p w14:paraId="2C8EF75D">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69BD3918">
        <w:tblPrEx>
          <w:tblCellMar>
            <w:top w:w="0" w:type="dxa"/>
            <w:left w:w="108" w:type="dxa"/>
            <w:bottom w:w="0" w:type="dxa"/>
            <w:right w:w="108" w:type="dxa"/>
          </w:tblCellMar>
        </w:tblPrEx>
        <w:trPr>
          <w:trHeight w:val="240"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7D429320">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地 址：</w:t>
            </w:r>
          </w:p>
        </w:tc>
        <w:tc>
          <w:tcPr>
            <w:tcW w:w="4670" w:type="dxa"/>
            <w:tcBorders>
              <w:top w:val="single" w:color="auto" w:sz="4" w:space="0"/>
              <w:left w:val="nil"/>
              <w:bottom w:val="single" w:color="auto" w:sz="4" w:space="0"/>
              <w:right w:val="single" w:color="auto" w:sz="4" w:space="0"/>
            </w:tcBorders>
            <w:noWrap w:val="0"/>
            <w:vAlign w:val="center"/>
          </w:tcPr>
          <w:p w14:paraId="6393AAD0">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地 址：</w:t>
            </w:r>
          </w:p>
        </w:tc>
      </w:tr>
      <w:tr w14:paraId="3B737DBC">
        <w:tblPrEx>
          <w:tblCellMar>
            <w:top w:w="0" w:type="dxa"/>
            <w:left w:w="108" w:type="dxa"/>
            <w:bottom w:w="0" w:type="dxa"/>
            <w:right w:w="108" w:type="dxa"/>
          </w:tblCellMar>
        </w:tblPrEx>
        <w:trPr>
          <w:trHeight w:val="267"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4DC92244">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授权代表： </w:t>
            </w:r>
          </w:p>
        </w:tc>
        <w:tc>
          <w:tcPr>
            <w:tcW w:w="4670" w:type="dxa"/>
            <w:tcBorders>
              <w:top w:val="single" w:color="auto" w:sz="4" w:space="0"/>
              <w:left w:val="nil"/>
              <w:bottom w:val="single" w:color="auto" w:sz="4" w:space="0"/>
              <w:right w:val="single" w:color="auto" w:sz="4" w:space="0"/>
            </w:tcBorders>
            <w:noWrap w:val="0"/>
            <w:vAlign w:val="center"/>
          </w:tcPr>
          <w:p w14:paraId="66A41C34">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授权代表：</w:t>
            </w:r>
          </w:p>
        </w:tc>
      </w:tr>
      <w:tr w14:paraId="249FFF8D">
        <w:tblPrEx>
          <w:tblCellMar>
            <w:top w:w="0" w:type="dxa"/>
            <w:left w:w="108" w:type="dxa"/>
            <w:bottom w:w="0" w:type="dxa"/>
            <w:right w:w="108" w:type="dxa"/>
          </w:tblCellMar>
        </w:tblPrEx>
        <w:trPr>
          <w:trHeight w:val="240"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64B826E8">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c>
          <w:tcPr>
            <w:tcW w:w="4670" w:type="dxa"/>
            <w:tcBorders>
              <w:top w:val="single" w:color="auto" w:sz="4" w:space="0"/>
              <w:left w:val="nil"/>
              <w:bottom w:val="single" w:color="auto" w:sz="4" w:space="0"/>
              <w:right w:val="single" w:color="auto" w:sz="4" w:space="0"/>
            </w:tcBorders>
            <w:noWrap w:val="0"/>
            <w:vAlign w:val="center"/>
          </w:tcPr>
          <w:p w14:paraId="73BC7E63">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联系电话：</w:t>
            </w:r>
          </w:p>
        </w:tc>
      </w:tr>
      <w:tr w14:paraId="29D26764">
        <w:tblPrEx>
          <w:tblCellMar>
            <w:top w:w="0" w:type="dxa"/>
            <w:left w:w="108" w:type="dxa"/>
            <w:bottom w:w="0" w:type="dxa"/>
            <w:right w:w="108" w:type="dxa"/>
          </w:tblCellMar>
        </w:tblPrEx>
        <w:trPr>
          <w:trHeight w:val="267"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14352B8D">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开户行：</w:t>
            </w:r>
          </w:p>
        </w:tc>
        <w:tc>
          <w:tcPr>
            <w:tcW w:w="4670" w:type="dxa"/>
            <w:tcBorders>
              <w:top w:val="single" w:color="auto" w:sz="4" w:space="0"/>
              <w:left w:val="nil"/>
              <w:bottom w:val="single" w:color="auto" w:sz="4" w:space="0"/>
              <w:right w:val="single" w:color="auto" w:sz="4" w:space="0"/>
            </w:tcBorders>
            <w:noWrap w:val="0"/>
            <w:vAlign w:val="center"/>
          </w:tcPr>
          <w:p w14:paraId="7F942BC5">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 xml:space="preserve">开户行： </w:t>
            </w:r>
          </w:p>
        </w:tc>
      </w:tr>
      <w:tr w14:paraId="08132BF4">
        <w:tblPrEx>
          <w:tblCellMar>
            <w:top w:w="0" w:type="dxa"/>
            <w:left w:w="108" w:type="dxa"/>
            <w:bottom w:w="0" w:type="dxa"/>
            <w:right w:w="108" w:type="dxa"/>
          </w:tblCellMar>
        </w:tblPrEx>
        <w:trPr>
          <w:trHeight w:val="267"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78DCEED5">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c>
          <w:tcPr>
            <w:tcW w:w="4670" w:type="dxa"/>
            <w:tcBorders>
              <w:top w:val="single" w:color="auto" w:sz="4" w:space="0"/>
              <w:left w:val="nil"/>
              <w:bottom w:val="single" w:color="auto" w:sz="4" w:space="0"/>
              <w:right w:val="single" w:color="auto" w:sz="4" w:space="0"/>
            </w:tcBorders>
            <w:noWrap w:val="0"/>
            <w:vAlign w:val="center"/>
          </w:tcPr>
          <w:p w14:paraId="4468CB58">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6C41C14F">
        <w:tblPrEx>
          <w:tblCellMar>
            <w:top w:w="0" w:type="dxa"/>
            <w:left w:w="108" w:type="dxa"/>
            <w:bottom w:w="0" w:type="dxa"/>
            <w:right w:w="108" w:type="dxa"/>
          </w:tblCellMar>
        </w:tblPrEx>
        <w:trPr>
          <w:trHeight w:val="244" w:hRule="atLeast"/>
          <w:jc w:val="center"/>
        </w:trPr>
        <w:tc>
          <w:tcPr>
            <w:tcW w:w="4670" w:type="dxa"/>
            <w:tcBorders>
              <w:top w:val="single" w:color="auto" w:sz="4" w:space="0"/>
              <w:left w:val="single" w:color="auto" w:sz="4" w:space="0"/>
              <w:bottom w:val="single" w:color="auto" w:sz="4" w:space="0"/>
              <w:right w:val="single" w:color="auto" w:sz="4" w:space="0"/>
            </w:tcBorders>
            <w:noWrap w:val="0"/>
            <w:vAlign w:val="center"/>
          </w:tcPr>
          <w:p w14:paraId="60D7D7E9">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tc>
        <w:tc>
          <w:tcPr>
            <w:tcW w:w="4670" w:type="dxa"/>
            <w:tcBorders>
              <w:top w:val="single" w:color="auto" w:sz="4" w:space="0"/>
              <w:left w:val="nil"/>
              <w:bottom w:val="single" w:color="auto" w:sz="4" w:space="0"/>
              <w:right w:val="single" w:color="auto" w:sz="4" w:space="0"/>
            </w:tcBorders>
            <w:noWrap w:val="0"/>
            <w:vAlign w:val="center"/>
          </w:tcPr>
          <w:p w14:paraId="3EAD6CE9">
            <w:pPr>
              <w:snapToGrid w:val="0"/>
              <w:spacing w:after="0" w:line="360" w:lineRule="auto"/>
              <w:ind w:firstLine="645"/>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tc>
      </w:tr>
    </w:tbl>
    <w:p w14:paraId="50F2BCFF">
      <w:pPr>
        <w:pStyle w:val="7"/>
      </w:pPr>
    </w:p>
    <w:p w14:paraId="086D0E22">
      <w:pPr>
        <w:pStyle w:val="7"/>
        <w:rPr>
          <w:rFonts w:hint="eastAsia"/>
          <w:lang w:val="en-US" w:eastAsia="zh-Hans"/>
        </w:rPr>
      </w:pPr>
    </w:p>
    <w:p w14:paraId="4DC551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CB22A3"/>
    <w:rsid w:val="3020650A"/>
    <w:rsid w:val="4B2B0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4"/>
    </w:rPr>
  </w:style>
  <w:style w:type="paragraph" w:styleId="3">
    <w:name w:val="footer"/>
    <w:basedOn w:val="1"/>
    <w:next w:val="1"/>
    <w:qFormat/>
    <w:uiPriority w:val="99"/>
    <w:pPr>
      <w:tabs>
        <w:tab w:val="center" w:pos="4153"/>
        <w:tab w:val="right" w:pos="8306"/>
      </w:tabs>
      <w:snapToGrid w:val="0"/>
      <w:jc w:val="left"/>
    </w:pPr>
    <w:rPr>
      <w:sz w:val="18"/>
    </w:rPr>
  </w:style>
  <w:style w:type="paragraph" w:customStyle="1" w:styleId="6">
    <w:name w:val="样式 10 磅"/>
    <w:basedOn w:val="1"/>
    <w:qFormat/>
    <w:uiPriority w:val="0"/>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2265</Words>
  <Characters>2282</Characters>
  <Lines>0</Lines>
  <Paragraphs>0</Paragraphs>
  <TotalTime>1</TotalTime>
  <ScaleCrop>false</ScaleCrop>
  <LinksUpToDate>false</LinksUpToDate>
  <CharactersWithSpaces>2390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2026-02-27T06:03:00Z</dcterms:created>
  <dc:creator>pc5</dc:creator>
  <cp:lastModifiedBy>yyy</cp:lastModifiedBy>
  <dcterms:modified xsi:type="dcterms:W3CDTF">2026-02-27T06:42:52Z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eyJoZGlkIjoiZjFmZWIzNDg2MmIzZjExOTIzMmViNTBmYTMwYTk0ZWYiLCJ1c2VySWQiOiIzNzkyNjQ1NTEifQ==</vt:lpwstr>
  </property>
  <property fmtid="{D5CDD505-2E9C-101B-9397-08002B2CF9AE}" pid="4" name="ICV">
    <vt:lpwstr>1D7C60042C9A43BAAFFC66358AF4D5F5_12</vt:lpwstr>
  </property>
</Properties>
</file>