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版本号：ZYTT-2026020220260228001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汉中市中心城区综合交通专项规划项目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ZYTT-20260202</w:t>
      </w:r>
      <w:r>
        <w:br/>
      </w:r>
      <w:r>
        <w:br/>
      </w:r>
      <w:r>
        <w:br/>
      </w:r>
    </w:p>
    <w:p>
      <w:pPr>
        <w:pStyle w:val="null3"/>
        <w:jc w:val="center"/>
        <w:outlineLvl w:val="2"/>
      </w:pPr>
      <w:r>
        <w:rPr>
          <w:rFonts w:ascii="仿宋_GB2312" w:hAnsi="仿宋_GB2312" w:cs="仿宋_GB2312" w:eastAsia="仿宋_GB2312"/>
          <w:sz w:val="28"/>
          <w:b/>
        </w:rPr>
        <w:t>汉中市自然资源局</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w:t>
      </w:r>
      <w:r>
        <w:rPr>
          <w:rFonts w:ascii="仿宋_GB2312" w:hAnsi="仿宋_GB2312" w:cs="仿宋_GB2312" w:eastAsia="仿宋_GB2312"/>
        </w:rPr>
        <w:t>委托，拟对</w:t>
      </w:r>
      <w:r>
        <w:rPr>
          <w:rFonts w:ascii="仿宋_GB2312" w:hAnsi="仿宋_GB2312" w:cs="仿宋_GB2312" w:eastAsia="仿宋_GB2312"/>
        </w:rPr>
        <w:t>汉中市中心城区综合交通专项规划项目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ZYTT-20260202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汉中市中心城区综合交通专项规划项目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入贯彻生态城市战略目标，落实国家、省级层面关于城市综合交通体系建设的部署要求，传导《汉中市国土空间总体规划（2021-2035年）》规划要求，系统谋划新时期汉中市中心城区综合交通发展，特编制本专项规划。通过开展综合交通调查、交通需求分析，科学研判城市交通的发展趋势，合理制定综合交通体系规划方案，为构建绿色、高效、便捷、可持续的中心城区综合交通体系提供科学指引和实施依据。汉中市国土空间总体规划确定的中心城区，规划的城镇开发边界面积约161.42平方公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1、营业执照、事业单位法人证书、 自然人身份证明：投标人为具有独立承担民事责任能力的法人其他组织或自然人，并提供法人或者其他组织合法有效的营业执照等证明文件，事业单位应提供事业单位法人证书，自然人应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授权委托书：投标人应授权合法的人员参加投标，其中法定代表人直接参加的，须出具法定代表人证明书；法定代表人授权他人参加的，须出具法定代表人授权书（非法人单位的负责人均参照执行）。</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和专业技术能力,具有依法缴纳税收和社会保障金的良好记录，参加本项目采购活动前三年内无重大违法活动记录，未列入在信用中国网站“失信被执行人”“重大税收违法案件当事人名单” 中，也未列入中国政府采购网“政府采购严重违法失信行为记录名单” 中，投标人应按照汉中市财政局《关于全面推行政府采购供应商基本资格条件承诺制的通知》（汉采办采管〔2024〕20号）文件要求，须提供加盖公章的《汉中市政府采购供应商资格承诺函》。</w:t>
      </w:r>
    </w:p>
    <w:p>
      <w:pPr>
        <w:pStyle w:val="null3"/>
      </w:pPr>
      <w:r>
        <w:rPr>
          <w:rFonts w:ascii="仿宋_GB2312" w:hAnsi="仿宋_GB2312" w:cs="仿宋_GB2312" w:eastAsia="仿宋_GB2312"/>
        </w:rPr>
        <w:t>4、投标人资质：投标人须具备行政主管部门颁发的有效的《城乡规划（国土空间规划）编制甲级》资质证书。 拟投入本项目的项目负责人须具备注册城乡规划师证书。</w:t>
      </w:r>
    </w:p>
    <w:p>
      <w:pPr>
        <w:pStyle w:val="null3"/>
      </w:pPr>
      <w:r>
        <w:rPr>
          <w:rFonts w:ascii="仿宋_GB2312" w:hAnsi="仿宋_GB2312" w:cs="仿宋_GB2312" w:eastAsia="仿宋_GB2312"/>
        </w:rPr>
        <w:t>5、非联合体声明：本项目不接受联合体投标。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0916-2996052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汉中市自然资源局</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联系人：吕前惠</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生态城市战略目标，落实国家、省级层面关于城市综合交通体系建设的部署要求，传导《汉中市国土空间总体规划（2021-2035年）》规划要求，系统谋划新时期汉中市中心城区综合交通发展，特编制本专项规划。通过开展综合交通调查、交通需求分析，科学研判城市交通的发展趋势，合理制定综合交通体系规划方案，为构建绿色、高效、便捷、可持续的中心城区综合交通体系提供科学指引和实施依据。汉中市国土空间总体规划确定的中心城区，规划的城镇开发边界面积约161.42平方公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2,806,000.00</w:t>
      </w:r>
    </w:p>
    <w:p>
      <w:pPr>
        <w:pStyle w:val="null3"/>
      </w:pPr>
      <w:r>
        <w:rPr>
          <w:rFonts w:ascii="仿宋_GB2312" w:hAnsi="仿宋_GB2312" w:cs="仿宋_GB2312" w:eastAsia="仿宋_GB2312"/>
        </w:rPr>
        <w:t>采购包最高限价（元）: 2,806,000.00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完成汉中市中心城区综合交通专项规划编制工作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标的名称：完成汉中市中心城区综合交通专项规划编制工作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right="150" w:firstLine="381"/>
            </w:pPr>
            <w:r>
              <w:rPr>
                <w:rFonts w:ascii="仿宋_GB2312" w:hAnsi="仿宋_GB2312" w:cs="仿宋_GB2312" w:eastAsia="仿宋_GB2312"/>
                <w:sz w:val="19"/>
                <w:b/>
                <w:color w:val="000000"/>
              </w:rPr>
              <w:t>一、规划背景</w:t>
            </w:r>
          </w:p>
          <w:p>
            <w:pPr>
              <w:pStyle w:val="null3"/>
              <w:spacing w:before="120"/>
              <w:ind w:right="150" w:firstLine="380"/>
            </w:pPr>
            <w:r>
              <w:rPr>
                <w:rFonts w:ascii="仿宋_GB2312" w:hAnsi="仿宋_GB2312" w:cs="仿宋_GB2312" w:eastAsia="仿宋_GB2312"/>
                <w:sz w:val="19"/>
                <w:color w:val="000000"/>
              </w:rPr>
              <w:t>为深入贯彻生态城市战略目标，落实国家、省级层面关于城市综合交通体系建设的部署要求，传导《汉中市国土空间总体规划（2021-2035年）》规划要求，系统谋划新时期汉中市中心城区综合交通发展，特编制本专项规划。通过开展综合交通调查、交通需求分析，科学研判城市交通的发展趋势，合理制定综合交通体系规划方案，为构建绿色、高效、便捷、可持续的中心城区综合交通体系提供科学指引和实施依据。</w:t>
            </w:r>
          </w:p>
          <w:p>
            <w:pPr>
              <w:pStyle w:val="null3"/>
              <w:spacing w:before="120"/>
              <w:ind w:right="150" w:firstLine="381"/>
            </w:pPr>
            <w:r>
              <w:rPr>
                <w:rFonts w:ascii="仿宋_GB2312" w:hAnsi="仿宋_GB2312" w:cs="仿宋_GB2312" w:eastAsia="仿宋_GB2312"/>
                <w:sz w:val="19"/>
                <w:b/>
                <w:color w:val="000000"/>
              </w:rPr>
              <w:t>二、规划范围</w:t>
            </w:r>
          </w:p>
          <w:p>
            <w:pPr>
              <w:pStyle w:val="null3"/>
              <w:spacing w:before="120"/>
              <w:ind w:right="150" w:firstLine="380"/>
            </w:pPr>
            <w:r>
              <w:rPr>
                <w:rFonts w:ascii="仿宋_GB2312" w:hAnsi="仿宋_GB2312" w:cs="仿宋_GB2312" w:eastAsia="仿宋_GB2312"/>
                <w:sz w:val="19"/>
                <w:color w:val="000000"/>
              </w:rPr>
              <w:t>规划范围：汉中市国土空间总体规划确定的中心城区，规划的城镇开发边界面积约161.42平方公里。</w:t>
            </w:r>
          </w:p>
          <w:p>
            <w:pPr>
              <w:pStyle w:val="null3"/>
              <w:spacing w:before="120"/>
              <w:ind w:right="150" w:firstLine="381"/>
            </w:pPr>
            <w:r>
              <w:rPr>
                <w:rFonts w:ascii="仿宋_GB2312" w:hAnsi="仿宋_GB2312" w:cs="仿宋_GB2312" w:eastAsia="仿宋_GB2312"/>
                <w:sz w:val="19"/>
                <w:b/>
                <w:color w:val="000000"/>
              </w:rPr>
              <w:t>三、规划主要内容</w:t>
            </w:r>
          </w:p>
          <w:p>
            <w:pPr>
              <w:pStyle w:val="null3"/>
              <w:spacing w:before="120"/>
              <w:ind w:right="150" w:firstLine="380"/>
            </w:pPr>
            <w:r>
              <w:rPr>
                <w:rFonts w:ascii="仿宋_GB2312" w:hAnsi="仿宋_GB2312" w:cs="仿宋_GB2312" w:eastAsia="仿宋_GB2312"/>
                <w:sz w:val="19"/>
                <w:color w:val="000000"/>
              </w:rPr>
              <w:t>规划必须符合现行国家、省、市有关中心城区综合交通规划的相关规范和技术规定，在综合交通调查的基础上，分析城市交通需求，科学研判城市交通的发展趋势，合理制定城市综合交通体系规划方案。</w:t>
            </w:r>
          </w:p>
          <w:p>
            <w:pPr>
              <w:pStyle w:val="null3"/>
              <w:spacing w:before="120"/>
              <w:ind w:right="150" w:firstLine="381"/>
            </w:pPr>
            <w:r>
              <w:rPr>
                <w:rFonts w:ascii="仿宋_GB2312" w:hAnsi="仿宋_GB2312" w:cs="仿宋_GB2312" w:eastAsia="仿宋_GB2312"/>
                <w:sz w:val="19"/>
                <w:b/>
                <w:color w:val="000000"/>
              </w:rPr>
              <w:t>（一）交通调查与发展趋势分析</w:t>
            </w:r>
          </w:p>
          <w:p>
            <w:pPr>
              <w:pStyle w:val="null3"/>
              <w:spacing w:before="120"/>
              <w:ind w:right="150" w:firstLine="380"/>
            </w:pPr>
            <w:r>
              <w:rPr>
                <w:rFonts w:ascii="仿宋_GB2312" w:hAnsi="仿宋_GB2312" w:cs="仿宋_GB2312" w:eastAsia="仿宋_GB2312"/>
                <w:sz w:val="19"/>
                <w:color w:val="000000"/>
              </w:rPr>
              <w:t>在现状交通调查分析的基础上，评估中心城区交通现状，分析交通存在的问题，构建交通战略分析模型，综合分析城市发展规划和空间发展形态，将交通系统与城市发展进行综合考虑，形成城市与交通协调发展的城市发展模式，评估综合交通系统布局对中心城区空间布局的支撑关系以及综合交通各组成部分的协调关系,提出优化应对措施，为制定合理的交通发展战略目标提供依据。</w:t>
            </w:r>
          </w:p>
          <w:p>
            <w:pPr>
              <w:pStyle w:val="null3"/>
              <w:spacing w:before="120"/>
              <w:ind w:right="150" w:firstLine="381"/>
            </w:pPr>
            <w:r>
              <w:rPr>
                <w:rFonts w:ascii="仿宋_GB2312" w:hAnsi="仿宋_GB2312" w:cs="仿宋_GB2312" w:eastAsia="仿宋_GB2312"/>
                <w:sz w:val="19"/>
                <w:b/>
                <w:color w:val="000000"/>
              </w:rPr>
              <w:t>（二）交通需求分析</w:t>
            </w:r>
          </w:p>
          <w:p>
            <w:pPr>
              <w:pStyle w:val="null3"/>
              <w:spacing w:before="120"/>
              <w:ind w:right="150" w:firstLine="380"/>
            </w:pPr>
            <w:r>
              <w:rPr>
                <w:rFonts w:ascii="仿宋_GB2312" w:hAnsi="仿宋_GB2312" w:cs="仿宋_GB2312" w:eastAsia="仿宋_GB2312"/>
                <w:sz w:val="19"/>
                <w:color w:val="000000"/>
              </w:rPr>
              <w:t>依据汉中市社会经济发展目标、国土空间总体规划及相关发展规划，利用现状资料和调查数据，采用定性与定量相结合的手法，建立交通需求分析模型，分析交通发展趋势及客货运输需求，判别城市交通出行及分布特征。</w:t>
            </w:r>
          </w:p>
          <w:p>
            <w:pPr>
              <w:pStyle w:val="null3"/>
              <w:spacing w:before="120"/>
              <w:ind w:right="150" w:firstLine="381"/>
            </w:pPr>
            <w:r>
              <w:rPr>
                <w:rFonts w:ascii="仿宋_GB2312" w:hAnsi="仿宋_GB2312" w:cs="仿宋_GB2312" w:eastAsia="仿宋_GB2312"/>
                <w:sz w:val="19"/>
                <w:b/>
                <w:color w:val="000000"/>
              </w:rPr>
              <w:t>（三）综合交通发展战略研究</w:t>
            </w:r>
          </w:p>
          <w:p>
            <w:pPr>
              <w:pStyle w:val="null3"/>
              <w:spacing w:before="120"/>
              <w:ind w:right="150" w:firstLine="380"/>
            </w:pPr>
            <w:r>
              <w:rPr>
                <w:rFonts w:ascii="仿宋_GB2312" w:hAnsi="仿宋_GB2312" w:cs="仿宋_GB2312" w:eastAsia="仿宋_GB2312"/>
                <w:sz w:val="19"/>
                <w:color w:val="000000"/>
              </w:rPr>
              <w:t>针对综合交通系统存在的主要问题及未来的发展趋势，结合汉中市社会经济和城市发展战略等，提出综合交通体系总体发展目标与规划指标，通过对城市发展目标、宏观交通政策、交通设施建设、交通系统运行和管理等多方面在战略层面的分析和整合，结合中心城区功能布局和详细规划单元，制定差异化交通发展策略。</w:t>
            </w:r>
          </w:p>
          <w:p>
            <w:pPr>
              <w:pStyle w:val="null3"/>
              <w:spacing w:before="120"/>
              <w:ind w:right="150" w:firstLine="381"/>
            </w:pPr>
            <w:r>
              <w:rPr>
                <w:rFonts w:ascii="仿宋_GB2312" w:hAnsi="仿宋_GB2312" w:cs="仿宋_GB2312" w:eastAsia="仿宋_GB2312"/>
                <w:sz w:val="19"/>
                <w:b/>
                <w:color w:val="000000"/>
              </w:rPr>
              <w:t>（四）综合交通体系组织</w:t>
            </w:r>
          </w:p>
          <w:p>
            <w:pPr>
              <w:pStyle w:val="null3"/>
              <w:spacing w:before="120"/>
              <w:ind w:right="150" w:firstLine="380"/>
            </w:pPr>
            <w:r>
              <w:rPr>
                <w:rFonts w:ascii="仿宋_GB2312" w:hAnsi="仿宋_GB2312" w:cs="仿宋_GB2312" w:eastAsia="仿宋_GB2312"/>
                <w:sz w:val="19"/>
                <w:color w:val="000000"/>
              </w:rPr>
              <w:t>根据综合交通体系总体发展目标和交通资源配置策略，统筹综合交通体系功能组织，提出中心城区道路、公交、步行和非机动车、停车、智慧交通、低空交通等设施系统布局要求以及与市县域综合交通体系的衔接要求。研究对外交通系统构成、客货运交通分布、公共交通系统构成和功能等级、城市道路干路网组成和功能等级、步行及自行车交通组织模式、城市停车设施的供给策略和总体布局原则、交通信息化建设与交通管理的基本策略等内容，明确综合交通各子系统功能定位与规划布局原则及要求。</w:t>
            </w:r>
          </w:p>
          <w:p>
            <w:pPr>
              <w:pStyle w:val="null3"/>
              <w:spacing w:before="120"/>
              <w:ind w:right="150" w:firstLine="381"/>
            </w:pPr>
            <w:r>
              <w:rPr>
                <w:rFonts w:ascii="仿宋_GB2312" w:hAnsi="仿宋_GB2312" w:cs="仿宋_GB2312" w:eastAsia="仿宋_GB2312"/>
                <w:sz w:val="19"/>
                <w:b/>
                <w:color w:val="000000"/>
              </w:rPr>
              <w:t>（五）对外交通系统规划</w:t>
            </w:r>
          </w:p>
          <w:p>
            <w:pPr>
              <w:pStyle w:val="null3"/>
              <w:spacing w:before="120"/>
              <w:ind w:right="150" w:firstLine="380"/>
            </w:pPr>
            <w:r>
              <w:rPr>
                <w:rFonts w:ascii="仿宋_GB2312" w:hAnsi="仿宋_GB2312" w:cs="仿宋_GB2312" w:eastAsia="仿宋_GB2312"/>
                <w:sz w:val="19"/>
                <w:color w:val="000000"/>
              </w:rPr>
              <w:t>在城市交通发展战略指导下，进一步结合区域交通设施专项规划和土地利用布局，研究中心城区对外交通系统网络和区域交通场站设施的布局，主要内容包括：公路、铁路和航空的规划布局、功能定位、设施等级规模、集疏运通道、快速交通集散系统等。</w:t>
            </w:r>
          </w:p>
          <w:p>
            <w:pPr>
              <w:pStyle w:val="null3"/>
              <w:spacing w:before="120"/>
              <w:ind w:right="150" w:firstLine="381"/>
            </w:pPr>
            <w:r>
              <w:rPr>
                <w:rFonts w:ascii="仿宋_GB2312" w:hAnsi="仿宋_GB2312" w:cs="仿宋_GB2312" w:eastAsia="仿宋_GB2312"/>
                <w:sz w:val="19"/>
                <w:b/>
                <w:color w:val="000000"/>
              </w:rPr>
              <w:t>（六）道路系统规划</w:t>
            </w:r>
          </w:p>
          <w:p>
            <w:pPr>
              <w:pStyle w:val="null3"/>
              <w:spacing w:before="120"/>
              <w:ind w:right="150" w:firstLine="380"/>
            </w:pPr>
            <w:r>
              <w:rPr>
                <w:rFonts w:ascii="仿宋_GB2312" w:hAnsi="仿宋_GB2312" w:cs="仿宋_GB2312" w:eastAsia="仿宋_GB2312"/>
                <w:sz w:val="19"/>
                <w:color w:val="000000"/>
              </w:rPr>
              <w:t>在现状道路系统分析的基础上，结合城市交通发展趋势，对既有规划道路系统方案进行分析和评价，提出城市道路网络规划目标、策略，合理规划城市道路功能、等级和布局，并进一步提出道路交通组织规划和道路交通设施规划。主要内容包括：既有规划路网评价、道路网规划原则及目标、道路网络规划布局、各级道路红线宽度指标和典型道路断面形式、道路交通组织规划、道路交通设施规划和规划路网评价。</w:t>
            </w:r>
          </w:p>
          <w:p>
            <w:pPr>
              <w:pStyle w:val="null3"/>
              <w:spacing w:before="120"/>
              <w:ind w:right="150" w:firstLine="381"/>
            </w:pPr>
            <w:r>
              <w:rPr>
                <w:rFonts w:ascii="仿宋_GB2312" w:hAnsi="仿宋_GB2312" w:cs="仿宋_GB2312" w:eastAsia="仿宋_GB2312"/>
                <w:sz w:val="19"/>
                <w:b/>
                <w:color w:val="000000"/>
              </w:rPr>
              <w:t>（七）公共交通系统规划</w:t>
            </w:r>
          </w:p>
          <w:p>
            <w:pPr>
              <w:pStyle w:val="null3"/>
              <w:spacing w:before="120"/>
              <w:ind w:right="150" w:firstLine="380"/>
            </w:pPr>
            <w:r>
              <w:rPr>
                <w:rFonts w:ascii="仿宋_GB2312" w:hAnsi="仿宋_GB2312" w:cs="仿宋_GB2312" w:eastAsia="仿宋_GB2312"/>
                <w:sz w:val="19"/>
                <w:color w:val="000000"/>
              </w:rPr>
              <w:t>在城市公共交通系统现状分析的基础上，结合城市交通发展趋势，提出中心城区公共交通发展策略和目标，确定公共交通系统构成与功能定位；在交通需求分析的基础上，通过公共交通走廊识别，确定各层次公共交通设施网络布局模式。主要内容包括：公共交通发展目标和策略、公共交通系统构架与功能定位、公共交通走廊规划、公共交通场站设施布局规划、港湾式公交站点的设置原则及规划建议等。</w:t>
            </w:r>
          </w:p>
          <w:p>
            <w:pPr>
              <w:pStyle w:val="null3"/>
              <w:spacing w:before="120"/>
              <w:ind w:right="150" w:firstLine="381"/>
            </w:pPr>
            <w:r>
              <w:rPr>
                <w:rFonts w:ascii="仿宋_GB2312" w:hAnsi="仿宋_GB2312" w:cs="仿宋_GB2312" w:eastAsia="仿宋_GB2312"/>
                <w:sz w:val="19"/>
                <w:b/>
                <w:color w:val="000000"/>
              </w:rPr>
              <w:t>（八）慢行交通系统规划</w:t>
            </w:r>
          </w:p>
          <w:p>
            <w:pPr>
              <w:pStyle w:val="null3"/>
              <w:spacing w:before="120"/>
              <w:ind w:right="150" w:firstLine="380"/>
            </w:pPr>
            <w:r>
              <w:rPr>
                <w:rFonts w:ascii="仿宋_GB2312" w:hAnsi="仿宋_GB2312" w:cs="仿宋_GB2312" w:eastAsia="仿宋_GB2312"/>
                <w:sz w:val="19"/>
                <w:color w:val="000000"/>
              </w:rPr>
              <w:t>在城市综合交通发展战略指导下，研究提出慢行交通发展策略，合理规划步行与非机动车网络布局，结合城市道路系统规划和城市更新行动的实施，提出慢行交通系统设施规划标准和主要节点的慢行设施规划建议。</w:t>
            </w:r>
          </w:p>
          <w:p>
            <w:pPr>
              <w:pStyle w:val="null3"/>
              <w:spacing w:before="120"/>
              <w:ind w:right="150" w:firstLine="381"/>
            </w:pPr>
            <w:r>
              <w:rPr>
                <w:rFonts w:ascii="仿宋_GB2312" w:hAnsi="仿宋_GB2312" w:cs="仿宋_GB2312" w:eastAsia="仿宋_GB2312"/>
                <w:sz w:val="19"/>
                <w:b/>
                <w:color w:val="000000"/>
              </w:rPr>
              <w:t>（九）客运交通枢纽规划</w:t>
            </w:r>
          </w:p>
          <w:p>
            <w:pPr>
              <w:pStyle w:val="null3"/>
              <w:spacing w:before="120"/>
              <w:ind w:right="150" w:firstLine="380"/>
            </w:pPr>
            <w:r>
              <w:rPr>
                <w:rFonts w:ascii="仿宋_GB2312" w:hAnsi="仿宋_GB2312" w:cs="仿宋_GB2312" w:eastAsia="仿宋_GB2312"/>
                <w:sz w:val="19"/>
                <w:color w:val="000000"/>
              </w:rPr>
              <w:t>在城市客运交通现状分析的基础上，统筹考虑各系统规划内容，论证客运交通走廊，确定大运量公共客运系统的组成和总体布局，提出城市客运交通枢纽等级和功能层次划分，确定客运交通枢纽布局规划方案，并提出客运交通枢纽用地控制建议。主要内容包括：客运交通枢纽功能层次划分、客运交通枢纽布局等。</w:t>
            </w:r>
          </w:p>
          <w:p>
            <w:pPr>
              <w:pStyle w:val="null3"/>
              <w:spacing w:before="120"/>
              <w:ind w:right="150" w:firstLine="381"/>
            </w:pPr>
            <w:r>
              <w:rPr>
                <w:rFonts w:ascii="仿宋_GB2312" w:hAnsi="仿宋_GB2312" w:cs="仿宋_GB2312" w:eastAsia="仿宋_GB2312"/>
                <w:sz w:val="19"/>
                <w:b/>
                <w:color w:val="000000"/>
              </w:rPr>
              <w:t>（十）货运交通系统规划</w:t>
            </w:r>
          </w:p>
          <w:p>
            <w:pPr>
              <w:pStyle w:val="null3"/>
              <w:spacing w:before="120"/>
              <w:ind w:right="150" w:firstLine="380"/>
            </w:pPr>
            <w:r>
              <w:rPr>
                <w:rFonts w:ascii="仿宋_GB2312" w:hAnsi="仿宋_GB2312" w:cs="仿宋_GB2312" w:eastAsia="仿宋_GB2312"/>
                <w:sz w:val="19"/>
                <w:color w:val="000000"/>
              </w:rPr>
              <w:t>在城市货运交通现状分析的基础上，结合汉中市货运及物流发展趋势和货运交通需求分析，合理规划货运交通系统，论证货运交通走廊，确定城市货运通道、货运枢纽和场站的规划布局等内容，确定中心城区货运道路网络和管理对策。</w:t>
            </w:r>
          </w:p>
          <w:p>
            <w:pPr>
              <w:pStyle w:val="null3"/>
              <w:spacing w:before="120"/>
              <w:ind w:right="150" w:firstLine="381"/>
            </w:pPr>
            <w:r>
              <w:rPr>
                <w:rFonts w:ascii="仿宋_GB2312" w:hAnsi="仿宋_GB2312" w:cs="仿宋_GB2312" w:eastAsia="仿宋_GB2312"/>
                <w:sz w:val="19"/>
                <w:b/>
                <w:color w:val="000000"/>
              </w:rPr>
              <w:t>（十一）交通信息化与智能交通发展规划</w:t>
            </w:r>
          </w:p>
          <w:p>
            <w:pPr>
              <w:pStyle w:val="null3"/>
              <w:spacing w:before="120"/>
              <w:ind w:right="150" w:firstLine="380"/>
            </w:pPr>
            <w:r>
              <w:rPr>
                <w:rFonts w:ascii="仿宋_GB2312" w:hAnsi="仿宋_GB2312" w:cs="仿宋_GB2312" w:eastAsia="仿宋_GB2312"/>
                <w:sz w:val="19"/>
                <w:color w:val="000000"/>
              </w:rPr>
              <w:t>在城市交通信息化建设和智能交通发展现状分析的基础上，合理制定交通信息化和智能交通系统的发展模式、系统框架、发展策略和基础设施规划和建设方案，提出交通信息共享机制和共享信息类别。</w:t>
            </w:r>
          </w:p>
          <w:p>
            <w:pPr>
              <w:pStyle w:val="null3"/>
              <w:spacing w:before="120"/>
              <w:ind w:right="150" w:firstLine="381"/>
            </w:pPr>
            <w:r>
              <w:rPr>
                <w:rFonts w:ascii="仿宋_GB2312" w:hAnsi="仿宋_GB2312" w:cs="仿宋_GB2312" w:eastAsia="仿宋_GB2312"/>
                <w:sz w:val="19"/>
                <w:b/>
                <w:color w:val="000000"/>
              </w:rPr>
              <w:t>（十二）交通近期建设规划</w:t>
            </w:r>
          </w:p>
          <w:p>
            <w:pPr>
              <w:pStyle w:val="null3"/>
              <w:spacing w:before="120"/>
              <w:ind w:right="150" w:firstLine="380"/>
            </w:pPr>
            <w:r>
              <w:rPr>
                <w:rFonts w:ascii="仿宋_GB2312" w:hAnsi="仿宋_GB2312" w:cs="仿宋_GB2312" w:eastAsia="仿宋_GB2312"/>
                <w:sz w:val="19"/>
                <w:color w:val="000000"/>
              </w:rPr>
              <w:t>明确中心城区交通重点项目清单和近期建设要求，提出近期交通发展政策与措施、近期城市交通系统规划方案，确定近期建设的交通项目和建设时序，提出节约集约用地要求和空间管控引导措施。</w:t>
            </w:r>
          </w:p>
          <w:p>
            <w:pPr>
              <w:pStyle w:val="null3"/>
              <w:spacing w:before="120"/>
              <w:ind w:right="150" w:firstLine="381"/>
            </w:pPr>
            <w:r>
              <w:rPr>
                <w:rFonts w:ascii="仿宋_GB2312" w:hAnsi="仿宋_GB2312" w:cs="仿宋_GB2312" w:eastAsia="仿宋_GB2312"/>
                <w:sz w:val="19"/>
                <w:b/>
                <w:color w:val="000000"/>
              </w:rPr>
              <w:t>（十三）规划实施保障措施</w:t>
            </w:r>
          </w:p>
          <w:p>
            <w:pPr>
              <w:pStyle w:val="null3"/>
              <w:spacing w:before="120"/>
              <w:ind w:right="150" w:firstLine="380"/>
            </w:pPr>
            <w:r>
              <w:rPr>
                <w:rFonts w:ascii="仿宋_GB2312" w:hAnsi="仿宋_GB2312" w:cs="仿宋_GB2312" w:eastAsia="仿宋_GB2312"/>
                <w:sz w:val="19"/>
                <w:color w:val="000000"/>
              </w:rPr>
              <w:t>在城市交通发展政策的指导下，结合汉中市社会经济发展以及城市发展的需要，从多方面提出综合交通规划实施的保障措施和相关建议。</w:t>
            </w:r>
          </w:p>
          <w:p>
            <w:pPr>
              <w:pStyle w:val="null3"/>
              <w:spacing w:before="120"/>
              <w:ind w:right="150" w:firstLine="381"/>
            </w:pPr>
            <w:r>
              <w:rPr>
                <w:rFonts w:ascii="仿宋_GB2312" w:hAnsi="仿宋_GB2312" w:cs="仿宋_GB2312" w:eastAsia="仿宋_GB2312"/>
                <w:sz w:val="19"/>
                <w:b/>
                <w:color w:val="000000"/>
              </w:rPr>
              <w:t>（十四）环境影响评价篇章</w:t>
            </w:r>
          </w:p>
          <w:p>
            <w:pPr>
              <w:pStyle w:val="null3"/>
              <w:spacing w:before="120"/>
              <w:ind w:right="150" w:firstLine="380"/>
            </w:pPr>
            <w:r>
              <w:rPr>
                <w:rFonts w:ascii="仿宋_GB2312" w:hAnsi="仿宋_GB2312" w:cs="仿宋_GB2312" w:eastAsia="仿宋_GB2312"/>
                <w:sz w:val="19"/>
                <w:color w:val="000000"/>
              </w:rPr>
              <w:t>提出规划实施的环境污染控制目标以及对生态环境、声环境、空气环境和水环境等保护措施。</w:t>
            </w:r>
          </w:p>
          <w:p>
            <w:pPr>
              <w:pStyle w:val="null3"/>
              <w:spacing w:before="120"/>
              <w:ind w:right="150" w:firstLine="381"/>
            </w:pPr>
            <w:r>
              <w:rPr>
                <w:rFonts w:ascii="仿宋_GB2312" w:hAnsi="仿宋_GB2312" w:cs="仿宋_GB2312" w:eastAsia="仿宋_GB2312"/>
                <w:sz w:val="19"/>
                <w:b/>
                <w:color w:val="000000"/>
              </w:rPr>
              <w:t>（十五）专题1：中心城区综合交通规划调查与需求预测报告</w:t>
            </w:r>
          </w:p>
          <w:p>
            <w:pPr>
              <w:pStyle w:val="null3"/>
              <w:spacing w:before="120"/>
              <w:ind w:right="150" w:firstLine="380"/>
            </w:pPr>
            <w:r>
              <w:rPr>
                <w:rFonts w:ascii="仿宋_GB2312" w:hAnsi="仿宋_GB2312" w:cs="仿宋_GB2312" w:eastAsia="仿宋_GB2312"/>
                <w:sz w:val="19"/>
                <w:color w:val="000000"/>
              </w:rPr>
              <w:t>开展交通需求、设施、运行、管理等相关调查，全面掌握汉中市现状城市概况、经济与产业、空间结构与土地利用、交通需求特征、交通供给及交通运行等基本情况，分析交通存在的关键问题及其症结，评价城市交通与经济、资源、环境、城市建设的协调关系，形成综合交通规划调查与需求预测报告</w:t>
            </w:r>
            <w:r>
              <w:rPr>
                <w:rFonts w:ascii="仿宋_GB2312" w:hAnsi="仿宋_GB2312" w:cs="仿宋_GB2312" w:eastAsia="仿宋_GB2312"/>
                <w:sz w:val="19"/>
                <w:b/>
                <w:color w:val="000000"/>
              </w:rPr>
              <w:t>。</w:t>
            </w:r>
          </w:p>
          <w:p>
            <w:pPr>
              <w:pStyle w:val="null3"/>
              <w:spacing w:before="120"/>
              <w:ind w:right="150" w:firstLine="381"/>
            </w:pPr>
            <w:r>
              <w:rPr>
                <w:rFonts w:ascii="仿宋_GB2312" w:hAnsi="仿宋_GB2312" w:cs="仿宋_GB2312" w:eastAsia="仿宋_GB2312"/>
                <w:sz w:val="19"/>
                <w:b/>
                <w:color w:val="000000"/>
              </w:rPr>
              <w:t>（十六）专题2：中心城区交通重点区域研究</w:t>
            </w:r>
          </w:p>
          <w:p>
            <w:pPr>
              <w:pStyle w:val="null3"/>
              <w:spacing w:before="120"/>
              <w:ind w:right="150" w:firstLine="380"/>
            </w:pPr>
            <w:r>
              <w:rPr>
                <w:rFonts w:ascii="仿宋_GB2312" w:hAnsi="仿宋_GB2312" w:cs="仿宋_GB2312" w:eastAsia="仿宋_GB2312"/>
                <w:sz w:val="19"/>
                <w:color w:val="000000"/>
              </w:rPr>
              <w:t>结合规划编制，进一步针对中心城区区域交通发展的热点问题，如老城区道路畅通工程、桥北广场改造及交通组织、跨江交通等重点区域与重点问题进行专题研究。</w:t>
            </w:r>
          </w:p>
          <w:p>
            <w:pPr>
              <w:pStyle w:val="null3"/>
              <w:spacing w:before="120"/>
              <w:ind w:right="150" w:firstLine="381"/>
            </w:pPr>
            <w:r>
              <w:rPr>
                <w:rFonts w:ascii="仿宋_GB2312" w:hAnsi="仿宋_GB2312" w:cs="仿宋_GB2312" w:eastAsia="仿宋_GB2312"/>
                <w:sz w:val="19"/>
                <w:b/>
                <w:color w:val="000000"/>
              </w:rPr>
              <w:t>（十七）专题3：中心城区公共停车场研究</w:t>
            </w:r>
          </w:p>
          <w:p>
            <w:pPr>
              <w:pStyle w:val="null3"/>
              <w:spacing w:before="120"/>
              <w:ind w:right="150" w:firstLine="380"/>
            </w:pPr>
            <w:r>
              <w:rPr>
                <w:rFonts w:ascii="仿宋_GB2312" w:hAnsi="仿宋_GB2312" w:cs="仿宋_GB2312" w:eastAsia="仿宋_GB2312"/>
                <w:sz w:val="19"/>
                <w:color w:val="000000"/>
              </w:rPr>
              <w:t>结合社会经济发展和机动化趋势，分析预测停车需求，制定分区停车政策，确定公共停车设施规划布局，提出停车管理和政策保障建议。主要内容包括：停车需求分析、路外公共停车设施布局规划、公共停车场建设与管理措施建议等。</w:t>
            </w:r>
          </w:p>
          <w:p>
            <w:pPr>
              <w:pStyle w:val="null3"/>
              <w:spacing w:before="120"/>
              <w:ind w:right="150" w:firstLine="381"/>
            </w:pPr>
            <w:r>
              <w:rPr>
                <w:rFonts w:ascii="仿宋_GB2312" w:hAnsi="仿宋_GB2312" w:cs="仿宋_GB2312" w:eastAsia="仿宋_GB2312"/>
                <w:sz w:val="19"/>
                <w:b/>
                <w:color w:val="000000"/>
              </w:rPr>
              <w:t>四、规划编制要求</w:t>
            </w:r>
          </w:p>
          <w:p>
            <w:pPr>
              <w:pStyle w:val="null3"/>
              <w:spacing w:before="120"/>
              <w:ind w:right="150" w:firstLine="381"/>
            </w:pPr>
            <w:r>
              <w:rPr>
                <w:rFonts w:ascii="仿宋_GB2312" w:hAnsi="仿宋_GB2312" w:cs="仿宋_GB2312" w:eastAsia="仿宋_GB2312"/>
                <w:sz w:val="19"/>
                <w:b/>
                <w:color w:val="000000"/>
              </w:rPr>
              <w:t>（一）总体要求</w:t>
            </w:r>
          </w:p>
          <w:p>
            <w:pPr>
              <w:pStyle w:val="null3"/>
              <w:spacing w:before="120"/>
              <w:ind w:right="150" w:firstLine="380"/>
            </w:pPr>
            <w:r>
              <w:rPr>
                <w:rFonts w:ascii="仿宋_GB2312" w:hAnsi="仿宋_GB2312" w:cs="仿宋_GB2312" w:eastAsia="仿宋_GB2312"/>
                <w:sz w:val="19"/>
                <w:color w:val="000000"/>
              </w:rPr>
              <w:t>规划编制要符合《汉中市国土空间总体规划（2021-2035年）》等上位规划要求，规划内容和深度要符合《国土空间综合交通规划编制指南(征求意见稿)》《城市综合交通体系规划编制办法》《城市综合交通体系规划交通调查导则》《城市综合交通体系规划编制导则》《城市综合交通体系规划标准》等国家标准和相关规定要求，规划成果要纳入国土空间规划“一张图”实施监督系统管理和国土空间规划实施监测网络(CSPON)统一管理。同时，与汉中市“十五五”综合交通运输发展规划做好衔接。</w:t>
            </w:r>
          </w:p>
          <w:p>
            <w:pPr>
              <w:pStyle w:val="null3"/>
              <w:spacing w:before="120"/>
              <w:ind w:right="150" w:firstLine="381"/>
            </w:pPr>
            <w:r>
              <w:rPr>
                <w:rFonts w:ascii="仿宋_GB2312" w:hAnsi="仿宋_GB2312" w:cs="仿宋_GB2312" w:eastAsia="仿宋_GB2312"/>
                <w:sz w:val="19"/>
                <w:b/>
                <w:color w:val="000000"/>
              </w:rPr>
              <w:t>（二）成果要求</w:t>
            </w:r>
          </w:p>
          <w:p>
            <w:pPr>
              <w:pStyle w:val="null3"/>
              <w:spacing w:before="120"/>
              <w:ind w:right="150" w:firstLine="381"/>
            </w:pPr>
            <w:r>
              <w:rPr>
                <w:rFonts w:ascii="仿宋_GB2312" w:hAnsi="仿宋_GB2312" w:cs="仿宋_GB2312" w:eastAsia="仿宋_GB2312"/>
                <w:sz w:val="19"/>
                <w:b/>
                <w:color w:val="000000"/>
              </w:rPr>
              <w:t>1.</w:t>
            </w:r>
            <w:r>
              <w:rPr>
                <w:rFonts w:ascii="仿宋_GB2312" w:hAnsi="仿宋_GB2312" w:cs="仿宋_GB2312" w:eastAsia="仿宋_GB2312"/>
                <w:sz w:val="19"/>
                <w:b/>
                <w:color w:val="000000"/>
              </w:rPr>
              <w:t>规划文本</w:t>
            </w:r>
          </w:p>
          <w:p>
            <w:pPr>
              <w:pStyle w:val="null3"/>
              <w:spacing w:before="120"/>
              <w:ind w:right="150" w:firstLine="380"/>
            </w:pPr>
            <w:r>
              <w:rPr>
                <w:rFonts w:ascii="仿宋_GB2312" w:hAnsi="仿宋_GB2312" w:cs="仿宋_GB2312" w:eastAsia="仿宋_GB2312"/>
                <w:sz w:val="19"/>
                <w:color w:val="000000"/>
              </w:rPr>
              <w:t>规划文本应涵盖上述规划重点内容，以条文方式表述规划结论，内容明确简练，具有指导性和可操作性。</w:t>
            </w:r>
          </w:p>
          <w:p>
            <w:pPr>
              <w:pStyle w:val="null3"/>
              <w:spacing w:before="120"/>
              <w:ind w:right="150" w:firstLine="381"/>
            </w:pPr>
            <w:r>
              <w:rPr>
                <w:rFonts w:ascii="仿宋_GB2312" w:hAnsi="仿宋_GB2312" w:cs="仿宋_GB2312" w:eastAsia="仿宋_GB2312"/>
                <w:sz w:val="19"/>
                <w:b/>
                <w:color w:val="000000"/>
              </w:rPr>
              <w:t>2.</w:t>
            </w:r>
            <w:r>
              <w:rPr>
                <w:rFonts w:ascii="仿宋_GB2312" w:hAnsi="仿宋_GB2312" w:cs="仿宋_GB2312" w:eastAsia="仿宋_GB2312"/>
                <w:sz w:val="19"/>
                <w:b/>
                <w:color w:val="000000"/>
              </w:rPr>
              <w:t>规划说明书</w:t>
            </w:r>
          </w:p>
          <w:p>
            <w:pPr>
              <w:pStyle w:val="null3"/>
              <w:spacing w:before="120"/>
              <w:ind w:right="150" w:firstLine="380"/>
            </w:pPr>
            <w:r>
              <w:rPr>
                <w:rFonts w:ascii="仿宋_GB2312" w:hAnsi="仿宋_GB2312" w:cs="仿宋_GB2312" w:eastAsia="仿宋_GB2312"/>
                <w:sz w:val="19"/>
                <w:color w:val="000000"/>
              </w:rPr>
              <w:t>规划说明书应当与规划文本的条文相对应，并对规划文本条文做出详细论述。规划说明书附录包括：</w:t>
            </w:r>
          </w:p>
          <w:p>
            <w:pPr>
              <w:pStyle w:val="null3"/>
              <w:spacing w:before="120"/>
              <w:ind w:right="150" w:firstLine="380"/>
            </w:pPr>
            <w:r>
              <w:rPr>
                <w:rFonts w:ascii="仿宋_GB2312" w:hAnsi="仿宋_GB2312" w:cs="仿宋_GB2312" w:eastAsia="仿宋_GB2312"/>
                <w:sz w:val="19"/>
                <w:color w:val="000000"/>
              </w:rPr>
              <w:t>①基础资料汇编；②全套交通调查原始电子数据、中间处理成果、最终处理成果及基于全套数据建立的交通数据库和模型；③汉中城市交通近期实施方案。</w:t>
            </w:r>
          </w:p>
          <w:p>
            <w:pPr>
              <w:pStyle w:val="null3"/>
              <w:spacing w:before="120"/>
              <w:ind w:right="150" w:firstLine="381"/>
            </w:pPr>
            <w:r>
              <w:rPr>
                <w:rFonts w:ascii="仿宋_GB2312" w:hAnsi="仿宋_GB2312" w:cs="仿宋_GB2312" w:eastAsia="仿宋_GB2312"/>
                <w:sz w:val="19"/>
                <w:b/>
                <w:color w:val="000000"/>
              </w:rPr>
              <w:t>3.</w:t>
            </w:r>
            <w:r>
              <w:rPr>
                <w:rFonts w:ascii="仿宋_GB2312" w:hAnsi="仿宋_GB2312" w:cs="仿宋_GB2312" w:eastAsia="仿宋_GB2312"/>
                <w:sz w:val="19"/>
                <w:b/>
                <w:color w:val="000000"/>
              </w:rPr>
              <w:t>规划图纸</w:t>
            </w:r>
          </w:p>
          <w:p>
            <w:pPr>
              <w:pStyle w:val="null3"/>
              <w:spacing w:before="120"/>
              <w:ind w:right="150" w:firstLine="380"/>
            </w:pPr>
            <w:r>
              <w:rPr>
                <w:rFonts w:ascii="仿宋_GB2312" w:hAnsi="仿宋_GB2312" w:cs="仿宋_GB2312" w:eastAsia="仿宋_GB2312"/>
                <w:sz w:val="19"/>
                <w:color w:val="000000"/>
              </w:rPr>
              <w:t>规划图纸所表达的内容应当清晰、准确，与规划文本内容相符。现状图、规划图和分析图应当分别表示，图例应当一致。包括但不限于：</w:t>
            </w:r>
          </w:p>
          <w:p>
            <w:pPr>
              <w:pStyle w:val="null3"/>
              <w:spacing w:before="120"/>
              <w:ind w:right="150" w:firstLine="380"/>
            </w:pPr>
            <w:r>
              <w:rPr>
                <w:rFonts w:ascii="仿宋_GB2312" w:hAnsi="仿宋_GB2312" w:cs="仿宋_GB2312" w:eastAsia="仿宋_GB2312"/>
                <w:sz w:val="19"/>
                <w:color w:val="000000"/>
              </w:rPr>
              <w:t>①区位分析图；②对外交通现状图；③城市交通现状图；④对外交通规划图；⑤交通站场规划图；⑥道路系统规划图；⑦慢行系统规划图；⑧主要道路断面规划图；⑨重要交通节点规划设计；⑩公共交通系统规划图；⑪停车系统布局规划图；⑫综合交通近期建设规划图（包括新建道路、改造道路、公交站场、停车设施等）。</w:t>
            </w:r>
          </w:p>
          <w:p>
            <w:pPr>
              <w:pStyle w:val="null3"/>
              <w:spacing w:before="120"/>
              <w:ind w:right="150" w:firstLine="381"/>
            </w:pPr>
            <w:r>
              <w:rPr>
                <w:rFonts w:ascii="仿宋_GB2312" w:hAnsi="仿宋_GB2312" w:cs="仿宋_GB2312" w:eastAsia="仿宋_GB2312"/>
                <w:sz w:val="19"/>
                <w:b/>
                <w:color w:val="000000"/>
              </w:rPr>
              <w:t>4.</w:t>
            </w:r>
            <w:r>
              <w:rPr>
                <w:rFonts w:ascii="仿宋_GB2312" w:hAnsi="仿宋_GB2312" w:cs="仿宋_GB2312" w:eastAsia="仿宋_GB2312"/>
                <w:sz w:val="19"/>
                <w:b/>
                <w:color w:val="000000"/>
              </w:rPr>
              <w:t>专题研究报告</w:t>
            </w:r>
          </w:p>
          <w:p>
            <w:pPr>
              <w:pStyle w:val="null3"/>
              <w:spacing w:before="120"/>
              <w:ind w:right="150" w:firstLine="380"/>
            </w:pPr>
            <w:r>
              <w:rPr>
                <w:rFonts w:ascii="仿宋_GB2312" w:hAnsi="仿宋_GB2312" w:cs="仿宋_GB2312" w:eastAsia="仿宋_GB2312"/>
                <w:sz w:val="19"/>
                <w:color w:val="000000"/>
              </w:rPr>
              <w:t>专题研究报告是规划成果的重要组成部分，是针对关键问题进行深化或补充研究，也是规划审批的要件之一。主要包括：</w:t>
            </w:r>
          </w:p>
          <w:p>
            <w:pPr>
              <w:pStyle w:val="null3"/>
              <w:spacing w:before="120"/>
              <w:ind w:right="150" w:firstLine="380"/>
            </w:pPr>
            <w:r>
              <w:rPr>
                <w:rFonts w:ascii="仿宋_GB2312" w:hAnsi="仿宋_GB2312" w:cs="仿宋_GB2312" w:eastAsia="仿宋_GB2312"/>
                <w:sz w:val="19"/>
                <w:color w:val="000000"/>
              </w:rPr>
              <w:t>①城市综合交通调查报告；②城市交通重点区域研究；③中心城区公共停车场研究。</w:t>
            </w:r>
          </w:p>
          <w:p>
            <w:pPr>
              <w:pStyle w:val="null3"/>
              <w:spacing w:before="120"/>
              <w:ind w:right="150" w:firstLine="381"/>
            </w:pPr>
            <w:r>
              <w:rPr>
                <w:rFonts w:ascii="仿宋_GB2312" w:hAnsi="仿宋_GB2312" w:cs="仿宋_GB2312" w:eastAsia="仿宋_GB2312"/>
                <w:sz w:val="19"/>
                <w:b/>
                <w:color w:val="000000"/>
              </w:rPr>
              <w:t>5.</w:t>
            </w:r>
            <w:r>
              <w:rPr>
                <w:rFonts w:ascii="仿宋_GB2312" w:hAnsi="仿宋_GB2312" w:cs="仿宋_GB2312" w:eastAsia="仿宋_GB2312"/>
                <w:sz w:val="19"/>
                <w:b/>
                <w:color w:val="000000"/>
              </w:rPr>
              <w:t>规划数据库建设</w:t>
            </w:r>
          </w:p>
          <w:p>
            <w:pPr>
              <w:pStyle w:val="null3"/>
              <w:spacing w:before="120"/>
              <w:ind w:right="150" w:firstLine="380"/>
            </w:pPr>
            <w:r>
              <w:rPr>
                <w:rFonts w:ascii="仿宋_GB2312" w:hAnsi="仿宋_GB2312" w:cs="仿宋_GB2312" w:eastAsia="仿宋_GB2312"/>
                <w:sz w:val="19"/>
                <w:color w:val="000000"/>
              </w:rPr>
              <w:t>依据现状底数梳理以及中心城区综合交通专项规划编制成果形成数据库，数据库应能在汉中市国土空间规划“一张图”实施监督信息系统和国土空间规划实施监测网络(CSPON)上搭载应用。</w:t>
            </w:r>
          </w:p>
          <w:p>
            <w:pPr>
              <w:pStyle w:val="null3"/>
              <w:spacing w:before="120"/>
              <w:ind w:right="150" w:firstLine="381"/>
            </w:pPr>
            <w:r>
              <w:rPr>
                <w:rFonts w:ascii="仿宋_GB2312" w:hAnsi="仿宋_GB2312" w:cs="仿宋_GB2312" w:eastAsia="仿宋_GB2312"/>
                <w:sz w:val="19"/>
                <w:b/>
                <w:color w:val="000000"/>
              </w:rPr>
              <w:t>6.</w:t>
            </w:r>
            <w:r>
              <w:rPr>
                <w:rFonts w:ascii="仿宋_GB2312" w:hAnsi="仿宋_GB2312" w:cs="仿宋_GB2312" w:eastAsia="仿宋_GB2312"/>
                <w:sz w:val="19"/>
                <w:b/>
                <w:color w:val="000000"/>
              </w:rPr>
              <w:t>效果展示</w:t>
            </w:r>
          </w:p>
          <w:p>
            <w:pPr>
              <w:pStyle w:val="null3"/>
              <w:spacing w:before="120"/>
              <w:ind w:right="150" w:firstLine="380"/>
            </w:pPr>
            <w:r>
              <w:rPr>
                <w:rFonts w:ascii="仿宋_GB2312" w:hAnsi="仿宋_GB2312" w:cs="仿宋_GB2312" w:eastAsia="仿宋_GB2312"/>
                <w:sz w:val="19"/>
                <w:color w:val="000000"/>
              </w:rPr>
              <w:t>通过动画、效果图等表达方式生动形象地展示规划方案。</w:t>
            </w:r>
          </w:p>
          <w:p>
            <w:pPr>
              <w:pStyle w:val="null3"/>
              <w:spacing w:before="120"/>
              <w:ind w:right="150" w:firstLine="381"/>
            </w:pPr>
            <w:r>
              <w:rPr>
                <w:rFonts w:ascii="仿宋_GB2312" w:hAnsi="仿宋_GB2312" w:cs="仿宋_GB2312" w:eastAsia="仿宋_GB2312"/>
                <w:sz w:val="19"/>
                <w:b/>
                <w:color w:val="000000"/>
              </w:rPr>
              <w:t>7.</w:t>
            </w:r>
            <w:r>
              <w:rPr>
                <w:rFonts w:ascii="仿宋_GB2312" w:hAnsi="仿宋_GB2312" w:cs="仿宋_GB2312" w:eastAsia="仿宋_GB2312"/>
                <w:sz w:val="19"/>
                <w:b/>
                <w:color w:val="000000"/>
              </w:rPr>
              <w:t>成果形式</w:t>
            </w:r>
          </w:p>
          <w:p>
            <w:pPr>
              <w:pStyle w:val="null3"/>
              <w:spacing w:before="120"/>
              <w:ind w:right="150" w:firstLine="380"/>
            </w:pPr>
            <w:r>
              <w:rPr>
                <w:rFonts w:ascii="仿宋_GB2312" w:hAnsi="仿宋_GB2312" w:cs="仿宋_GB2312" w:eastAsia="仿宋_GB2312"/>
                <w:sz w:val="19"/>
                <w:color w:val="000000"/>
              </w:rPr>
              <w:t>上述最终成果的电子文件1套（文字为doc格式，图纸为dwg、GIS、jpg格式，数据库为mdb、gdb格式，效果图为jpg格式，供汇报展示用演示文件为ppt格式）。成果纸质版各10套，不含中间成果及评审材料。</w:t>
            </w:r>
          </w:p>
          <w:p>
            <w:pPr>
              <w:pStyle w:val="null3"/>
              <w:spacing w:before="120"/>
              <w:ind w:right="150" w:firstLine="381"/>
            </w:pPr>
            <w:r>
              <w:rPr>
                <w:rFonts w:ascii="仿宋_GB2312" w:hAnsi="仿宋_GB2312" w:cs="仿宋_GB2312" w:eastAsia="仿宋_GB2312"/>
                <w:sz w:val="19"/>
                <w:b/>
                <w:color w:val="000000"/>
              </w:rPr>
              <w:t>五、其他要求</w:t>
            </w:r>
          </w:p>
          <w:p>
            <w:pPr>
              <w:pStyle w:val="null3"/>
              <w:spacing w:before="120"/>
              <w:ind w:right="150" w:firstLine="380"/>
            </w:pPr>
            <w:r>
              <w:rPr>
                <w:rFonts w:ascii="仿宋_GB2312" w:hAnsi="仿宋_GB2312" w:cs="仿宋_GB2312" w:eastAsia="仿宋_GB2312"/>
                <w:sz w:val="19"/>
                <w:color w:val="000000"/>
              </w:rPr>
              <w:t>按照合同约定期限，参与中心城区综合交通相关的规划建设，并出具书面指导意见。</w:t>
            </w:r>
          </w:p>
          <w:p>
            <w:pPr>
              <w:pStyle w:val="null3"/>
              <w:spacing w:before="120"/>
              <w:ind w:right="150" w:firstLine="381"/>
            </w:pPr>
            <w:r>
              <w:rPr>
                <w:rFonts w:ascii="仿宋_GB2312" w:hAnsi="仿宋_GB2312" w:cs="仿宋_GB2312" w:eastAsia="仿宋_GB2312"/>
                <w:sz w:val="19"/>
                <w:b/>
                <w:color w:val="000000"/>
              </w:rPr>
              <w:t>六、成果验收</w:t>
            </w:r>
          </w:p>
          <w:p>
            <w:pPr>
              <w:pStyle w:val="null3"/>
            </w:pPr>
            <w:r>
              <w:rPr>
                <w:rFonts w:ascii="仿宋_GB2312" w:hAnsi="仿宋_GB2312" w:cs="仿宋_GB2312" w:eastAsia="仿宋_GB2312"/>
                <w:sz w:val="19"/>
                <w:color w:val="000000"/>
              </w:rPr>
              <w:t xml:space="preserve">  经汉中市国土空间规划委员会审议通过后一个月内，设计方根据各阶段研究审议提出的修改、补充、完善意见，全面修改，达到纸质及电子文档最终成果提交要求，经市自然资源局及相关行业主管部门复核无误，出具书面成果接收清单后，方可视为正式通过验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满足本项目实施要求即可</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满足本项目实施要求即可</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自本合同签订之日起60天内完成规划编制。(上述所列时间不包含招投标阶段、最终成果评审验收用时，但包含乙方中期成果评审验收后根据评审意见修改、补充、完善用时。)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验收：经汉中市国土空间规划委员会审议通过后一个月内，设计方根据各阶段研究审议提出的修改、补充、完善意见，全面修改，达到纸质及电子文档最终成果提交要求，经市自然资源局及相关行业主管部门复核无误，出具书面成果接收清单后，方可视为正式通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完成初步方案经甲方确认后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规划成果经专家评审论证通过、通过规委会审议后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规划成果经市政府批准后提交最终规划成果、数据库验收入库后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成果使用一年后且该段时间内项目责任规划师后续服务质量保障到位后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按照合同内容执行。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投标函 授权委托书.docx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 授权委托书.docx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投标函 授权委托书.docx 汉中市政府采购供应商资格承诺函.docx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营业执照、事业单位法人证书、 自然人身份证明：投标人为具有独立承担民事责任能力的法人其他组织或自然人，并提供法人或者其他组织合法有效的营业执照等证明文件，事业单位应提供事业单位法人证书，自然人应提供身份证明文件；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投标人应授权合法的人员参加投标，其中法定代表人直接参加的，须出具法定代表人证明书；法定代表人授权他人参加的，须出具法定代表人授权书（非法人单位的负责人均参照执行）。</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和专业技术能力,具有依法缴纳税收和社会保障金的良好记录，参加本项目采购活动前三年内无重大违法活动记录，未列入在信用中国网站“失信被执行人”“重大税收违法案件当事人名单” 中，也未列入中国政府采购网“政府采购严重违法失信行为记录名单” 中，投标人应按照汉中市财政局《关于全面推行政府采购供应商基本资格条件承诺制的通知》（汉采办采管〔2024〕20号）文件要求，须提供加盖公章的《汉中市政府采购供应商资格承诺函》。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投标人须具备行政主管部门颁发的有效的《城乡规划（国土空间规划）编制甲级》资质证书。 拟投入本项目的项目负责人须具备注册城乡规划师证书。</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投标文件的签署、盖章符合采购文件要求，且无遗漏。</w:t>
            </w:r>
          </w:p>
        </w:tc>
        <w:tc>
          <w:tcPr>
            <w:tcW w:type="dxa" w:w="1661"/>
          </w:tcPr>
          <w:p>
            <w:pPr>
              <w:pStyle w:val="null3"/>
            </w:pPr>
            <w:r>
              <w:rPr>
                <w:rFonts w:ascii="仿宋_GB2312" w:hAnsi="仿宋_GB2312" w:cs="仿宋_GB2312" w:eastAsia="仿宋_GB2312"/>
              </w:rPr>
              <w:t>沟通与协调管理方案.docx 开标一览表 业绩.docx 本项目重点、难点分析及对策的评价.docx 服务内容及服务邀请应答表 供应商应提供的资格证明文件.docx 授权委托书.docx 中小企业声明函 项目团队.docx 商务应答表 项目实施方案.docx 汉中市政府采购供应商资格承诺函.docx 质量控制措施.docx 风险控制预案及处置措施.docx 应急预案及处置措施.docx 服务承诺及保证措施.docx 投标函 进度安排.docx 残疾人福利性单位声明函 标的清单 投标文件封面 对项目的理解和认识.docx 保密管理方案.docx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项目技术、服务、商务及其他要求</w:t>
            </w:r>
          </w:p>
        </w:tc>
        <w:tc>
          <w:tcPr>
            <w:tcW w:type="dxa" w:w="3322"/>
          </w:tcPr>
          <w:p>
            <w:pPr>
              <w:pStyle w:val="null3"/>
            </w:pPr>
            <w:r>
              <w:rPr>
                <w:rFonts w:ascii="仿宋_GB2312" w:hAnsi="仿宋_GB2312" w:cs="仿宋_GB2312" w:eastAsia="仿宋_GB2312"/>
              </w:rPr>
              <w:t>完全理解并响应招标项目技术、服务、商务及其他要求，且未含有采购人不能接受的附加条件的。</w:t>
            </w:r>
          </w:p>
        </w:tc>
        <w:tc>
          <w:tcPr>
            <w:tcW w:type="dxa" w:w="1661"/>
          </w:tcPr>
          <w:p>
            <w:pPr>
              <w:pStyle w:val="null3"/>
            </w:pPr>
            <w:r>
              <w:rPr>
                <w:rFonts w:ascii="仿宋_GB2312" w:hAnsi="仿宋_GB2312" w:cs="仿宋_GB2312" w:eastAsia="仿宋_GB2312"/>
              </w:rPr>
              <w:t>沟通与协调管理方案.docx 开标一览表 业绩.docx 本项目重点、难点分析及对策的评价.docx 服务内容及服务邀请应答表 供应商应提供的资格证明文件.docx 授权委托书.docx 中小企业声明函 项目团队.docx 商务应答表 项目实施方案.docx 汉中市政府采购供应商资格承诺函.docx 质量控制措施.docx 风险控制预案及处置措施.docx 应急预案及处置措施.docx 服务承诺及保证措施.docx 投标函 进度安排.docx 残疾人福利性单位声明函 标的清单 投标文件封面 对项目的理解和认识.docx 保密管理方案.docx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不存在其它不符合法律法规或招标文件规定的投标无效条款。</w:t>
            </w:r>
          </w:p>
        </w:tc>
        <w:tc>
          <w:tcPr>
            <w:tcW w:type="dxa" w:w="1661"/>
          </w:tcPr>
          <w:p>
            <w:pPr>
              <w:pStyle w:val="null3"/>
            </w:pPr>
            <w:r>
              <w:rPr>
                <w:rFonts w:ascii="仿宋_GB2312" w:hAnsi="仿宋_GB2312" w:cs="仿宋_GB2312" w:eastAsia="仿宋_GB2312"/>
              </w:rPr>
              <w:t>沟通与协调管理方案.docx 开标一览表 业绩.docx 本项目重点、难点分析及对策的评价.docx 服务内容及服务邀请应答表 供应商应提供的资格证明文件.docx 授权委托书.docx 中小企业声明函 项目团队.docx 商务应答表 项目实施方案.docx 汉中市政府采购供应商资格承诺函.docx 质量控制措施.docx 风险控制预案及处置措施.docx 应急预案及处置措施.docx 服务承诺及保证措施.docx 投标函 进度安排.docx 残疾人福利性单位声明函 标的清单 投标文件封面 对项目的理解和认识.docx 保密管理方案.docx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一、评审内容：内容至少包括以下内容：①项目需求情况全面分析；②项目背景、项目目的、项目内容等总体情况理解和了解；③项目的基本情况和当前存在的主要问题分析。 二、 赋分依据: 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方案存在严重缺陷，内容与本项目无关或未提供的，该项不得分。注：以上3项内容，每项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对项目的理解和认识.docx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一、评审内容：内容至少包括以下内容：①编制方法；②工作流程；③目标定位；④重要任务；⑤成果提交、数据审核汇交。 二、 赋分依据: 1.方案紧密贴合实际需求，内容详尽全面、针对性强，完全符合项目要求，得3分； 2.方案符合基本要求，内容阐述基本明确，具有针对性，基本符合项目要求得2分； 3.方案与工作需求存在出入，完整性有待提升，方案内容描述不够详尽，未能充分满足项目要求，方案不具体或存在漏项，得1分；4.方案存在严重缺陷，内容与本项目无关或未提供的，该项不得分。注：以上5项内容，每项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一、评审内容：内容至少包括以下内容：①提供合理的工作计划及时间节点；②具体工作进度的保障措施。 二、赋分依据: 1.方案紧密贴合实际需求，内容详尽全面、针对性强，完全符合项目要求，得3分； 2.方案符合基本要求，内容阐述基本明确，具有针对性，基本符合项目要求得2分； 3.方案与工作需求存在出入，完整性有待提升，方案内容描述不够详尽，未能充分满足项目要求，方案不具体或存在漏项，得1分；4.方案存在严重缺陷，内容与本项目无关或未提供的，该项不得分。注：以上3项内容，每项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进度安排.docx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一、评审内容：内容至少包括以下内容：①服务质量目标分析；②针对本项目质量管理制度；③内部管控流程；④工作成果质量保障措施。 二、 赋分依据: 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方案存在严重缺陷，内容与本项目无关或未提供的，该项不得分。注：以上4项内容，每项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（1）项目负责人具有相关专业高级及以上职称证的，得3分；具有相关专业中级职称证的，得1分，其余不得分。此项最多得3分。 注:项目负责人须在本单位工作，且年龄不得超过65周岁，以投标人所属社保机构出具的前一年内至投标截止之日任意连续3个月或以上的社保缴费证明为准(须加盖缴费证明专用章)，退休人员无需提供社保缴费证明，需提供与聘用单位签订的有效的聘用劳动合同及退休证明原件扫描件。 （2）拟派项目团队成员中（项目负责人除外）具备相关专业高级及以上职称的，提供一人得1分；具备相关专业中级级职称的，提供一人得0.5分；该项最多得5分。 注：以上人员须提供身份证、职称证书复印件并加盖公章，否则不予认定 （3）团队人员配置方案：包括岗位设置、团队人员配置清单 1.人员配置数量充足，分工合理，责任明确，完全满足项目需求，得5分；2.人员配置数量基本充足，分工基本合理，责任基本明确，基本满足项目需求，得3分；3.人员配置数量不足，无具体分工，责任模糊，部分满足项目需求，得1分；4、未提供具体方案，该项不得分。 注：以上人员须提供身份证、执业证书或职称证书复印件并加盖公章。</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沟通与协调管理方案</w:t>
            </w:r>
          </w:p>
        </w:tc>
        <w:tc>
          <w:tcPr>
            <w:tcW w:type="dxa" w:w="2492"/>
          </w:tcPr>
          <w:p>
            <w:pPr>
              <w:pStyle w:val="null3"/>
            </w:pPr>
            <w:r>
              <w:rPr>
                <w:rFonts w:ascii="仿宋_GB2312" w:hAnsi="仿宋_GB2312" w:cs="仿宋_GB2312" w:eastAsia="仿宋_GB2312"/>
              </w:rPr>
              <w:t>一、评审内容：针对本项目提供沟通与协调管理方案进行综合评价，内容包括但不限于①组织协调目标；②沟通协调机制；③配合与沟通方案。 二、 赋分依据: 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方案存在严重缺陷，内容与本项目无关或未提供的，该项不得分。注：以上3项内容，每项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沟通与协调管理方案.docx</w:t>
            </w:r>
          </w:p>
        </w:tc>
      </w:tr>
      <w:tr>
        <w:tc>
          <w:tcPr>
            <w:tcW w:type="dxa" w:w="831"/>
            <w:vMerge/>
          </w:tcPr>
          <w:p/>
        </w:tc>
        <w:tc>
          <w:tcPr>
            <w:tcW w:type="dxa" w:w="1661"/>
          </w:tcPr>
          <w:p>
            <w:pPr>
              <w:pStyle w:val="null3"/>
            </w:pPr>
            <w:r>
              <w:rPr>
                <w:rFonts w:ascii="仿宋_GB2312" w:hAnsi="仿宋_GB2312" w:cs="仿宋_GB2312" w:eastAsia="仿宋_GB2312"/>
              </w:rPr>
              <w:t>本项目重点、难点分析及对策的评价</w:t>
            </w:r>
          </w:p>
        </w:tc>
        <w:tc>
          <w:tcPr>
            <w:tcW w:type="dxa" w:w="2492"/>
          </w:tcPr>
          <w:p>
            <w:pPr>
              <w:pStyle w:val="null3"/>
            </w:pPr>
            <w:r>
              <w:rPr>
                <w:rFonts w:ascii="仿宋_GB2312" w:hAnsi="仿宋_GB2312" w:cs="仿宋_GB2312" w:eastAsia="仿宋_GB2312"/>
              </w:rPr>
              <w:t>一、评审内容：内容至少包括以下内容：①项目重点分析；②项目难点分析；③应对策略； 二、赋分依据: 1. 分析全面、内容阐述准确，针对性强，得3分； 2.分析基本全面、内容阐述基本明确，具有针对性，得2分； 3.分析问题不够全面，内容阐述不够明确，针对性不足，得1分；4.存在严重缺陷，内容与本项目无关或未提供的，该项不得分。注：以上3项内容，每项3分，最高得9分。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本项目重点、难点分析及对策的评价.docx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针对本项目提供保密管理方案进行综合评价，内容包括但不限于收集的资料、成果的保管和使用、保密管理制度、保密措施等。 1、方案规范、内容详尽全面、针对性强，切实可行计6分； 2、方案基本规范、内容基本详尽，针对性一般，可行性一般计4分； 3、方案规范性一般、不具体或存在漏项，完整性有待提升，可行性较差计2分； 4、方案存在严重缺陷，内容与本项目无关或未提供的，该项不得分。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保密管理方案.docx</w:t>
            </w:r>
          </w:p>
        </w:tc>
      </w:tr>
      <w:tr>
        <w:tc>
          <w:tcPr>
            <w:tcW w:type="dxa" w:w="831"/>
            <w:vMerge/>
          </w:tcPr>
          <w:p/>
        </w:tc>
        <w:tc>
          <w:tcPr>
            <w:tcW w:type="dxa" w:w="1661"/>
          </w:tcPr>
          <w:p>
            <w:pPr>
              <w:pStyle w:val="null3"/>
            </w:pPr>
            <w:r>
              <w:rPr>
                <w:rFonts w:ascii="仿宋_GB2312" w:hAnsi="仿宋_GB2312" w:cs="仿宋_GB2312" w:eastAsia="仿宋_GB2312"/>
              </w:rPr>
              <w:t>风险控制预案及处置措施</w:t>
            </w:r>
          </w:p>
        </w:tc>
        <w:tc>
          <w:tcPr>
            <w:tcW w:type="dxa" w:w="2492"/>
          </w:tcPr>
          <w:p>
            <w:pPr>
              <w:pStyle w:val="null3"/>
            </w:pPr>
            <w:r>
              <w:rPr>
                <w:rFonts w:ascii="仿宋_GB2312" w:hAnsi="仿宋_GB2312" w:cs="仿宋_GB2312" w:eastAsia="仿宋_GB2312"/>
              </w:rPr>
              <w:t>根据项目实施过程中可能出现的突发情况和风险，制定相应应急预案及处置措施。 1、风险控制预案内容详尽全面、针对性强，处置措施合理，可行，计5分； 2、风险控制预案内容基本全面、具有针对性，处置措施基本合理，可行，计3分； 3、风险控制预案内容简单、不具体或存在漏项，处置措施可行性较差，计1分； 4、方案存在严重缺陷，内容与本项目无关或未提供的，该项不得分。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风险控制预案及处置措施.docx</w:t>
            </w:r>
          </w:p>
        </w:tc>
      </w:tr>
      <w:tr>
        <w:tc>
          <w:tcPr>
            <w:tcW w:type="dxa" w:w="831"/>
            <w:vMerge/>
          </w:tcPr>
          <w:p/>
        </w:tc>
        <w:tc>
          <w:tcPr>
            <w:tcW w:type="dxa" w:w="1661"/>
          </w:tcPr>
          <w:p>
            <w:pPr>
              <w:pStyle w:val="null3"/>
            </w:pPr>
            <w:r>
              <w:rPr>
                <w:rFonts w:ascii="仿宋_GB2312" w:hAnsi="仿宋_GB2312" w:cs="仿宋_GB2312" w:eastAsia="仿宋_GB2312"/>
              </w:rPr>
              <w:t>服务承诺及保证措施</w:t>
            </w:r>
          </w:p>
        </w:tc>
        <w:tc>
          <w:tcPr>
            <w:tcW w:type="dxa" w:w="2492"/>
          </w:tcPr>
          <w:p>
            <w:pPr>
              <w:pStyle w:val="null3"/>
            </w:pPr>
            <w:r>
              <w:rPr>
                <w:rFonts w:ascii="仿宋_GB2312" w:hAnsi="仿宋_GB2312" w:cs="仿宋_GB2312" w:eastAsia="仿宋_GB2312"/>
              </w:rPr>
              <w:t>供应商针对本项目有详细、可行的服务承诺及保证措施，包括前期准备中、组织实施时、提交成果后等其他伴随服务等各项服务承诺及在合同履行过程中为采购人提供的各项服务从成果质量及对后期的指导服务等方面的服务保证措施。 1、服务承诺内容详尽全面、针对性强，保证措施合理，可行，计6分； 2、服务承诺内容基本全面、具有针对性，保证措施基本合理，可行，计4分； 3、服务承诺内容简单、不具体或存在漏项，保证措施可行性较差，计2分； 4、服务承诺及保证措施存在严重缺陷，内容与本项目无关或未提供的，该项不得分。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服务承诺及保证措施.docx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2020年6月1日至今参与或完成的类似项目业绩：每有一个类似项目业绩得2分,最高10分。 注：业绩证明材料须提供合同复印件加盖投标人公章（包括合同金额、合同双方名称及盖章、服务内容、合同签订日期等），提供的证明材料均不得遮挡涂黑，否则不予认定。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详见附件：对项目的理解和认识.docx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详见附件：进度安排.docx</w:t>
      </w:r>
    </w:p>
    <w:p>
      <w:pPr>
        <w:pStyle w:val="null3"/>
        <w:ind w:firstLine="960"/>
      </w:pPr>
      <w:r>
        <w:rPr>
          <w:rFonts w:ascii="仿宋_GB2312" w:hAnsi="仿宋_GB2312" w:cs="仿宋_GB2312" w:eastAsia="仿宋_GB2312"/>
        </w:rPr>
        <w:t>详见附件：质量控制措施.docx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详见附件：沟通与协调管理方案.docx</w:t>
      </w:r>
    </w:p>
    <w:p>
      <w:pPr>
        <w:pStyle w:val="null3"/>
        <w:ind w:firstLine="960"/>
      </w:pPr>
      <w:r>
        <w:rPr>
          <w:rFonts w:ascii="仿宋_GB2312" w:hAnsi="仿宋_GB2312" w:cs="仿宋_GB2312" w:eastAsia="仿宋_GB2312"/>
        </w:rPr>
        <w:t>详见附件：本项目重点、难点分析及对策的评价.docx</w:t>
      </w:r>
    </w:p>
    <w:p>
      <w:pPr>
        <w:pStyle w:val="null3"/>
        <w:ind w:firstLine="960"/>
      </w:pPr>
      <w:r>
        <w:rPr>
          <w:rFonts w:ascii="仿宋_GB2312" w:hAnsi="仿宋_GB2312" w:cs="仿宋_GB2312" w:eastAsia="仿宋_GB2312"/>
        </w:rPr>
        <w:t>详见附件：保密管理方案.docx</w:t>
      </w:r>
    </w:p>
    <w:p>
      <w:pPr>
        <w:pStyle w:val="null3"/>
        <w:ind w:firstLine="960"/>
      </w:pPr>
      <w:r>
        <w:rPr>
          <w:rFonts w:ascii="仿宋_GB2312" w:hAnsi="仿宋_GB2312" w:cs="仿宋_GB2312" w:eastAsia="仿宋_GB2312"/>
        </w:rPr>
        <w:t>详见附件：应急预案及处置措施.docx</w:t>
      </w:r>
    </w:p>
    <w:p>
      <w:pPr>
        <w:pStyle w:val="null3"/>
        <w:ind w:firstLine="960"/>
      </w:pPr>
      <w:r>
        <w:rPr>
          <w:rFonts w:ascii="仿宋_GB2312" w:hAnsi="仿宋_GB2312" w:cs="仿宋_GB2312" w:eastAsia="仿宋_GB2312"/>
        </w:rPr>
        <w:t>详见附件：风险控制预案及处置措施.docx</w:t>
      </w:r>
    </w:p>
    <w:p>
      <w:pPr>
        <w:pStyle w:val="null3"/>
        <w:ind w:firstLine="960"/>
      </w:pPr>
      <w:r>
        <w:rPr>
          <w:rFonts w:ascii="仿宋_GB2312" w:hAnsi="仿宋_GB2312" w:cs="仿宋_GB2312" w:eastAsia="仿宋_GB2312"/>
        </w:rPr>
        <w:t>详见附件：服务承诺及保证措施.docx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详见附件：综合交通专项规划合同.docx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