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A3B8A">
      <w:pPr>
        <w:pStyle w:val="7"/>
        <w:keepNext w:val="0"/>
        <w:keepLines w:val="0"/>
        <w:widowControl/>
        <w:suppressLineNumbers w:val="0"/>
        <w:spacing w:before="0" w:beforeAutospacing="0" w:after="0" w:afterAutospacing="0"/>
        <w:ind w:left="0" w:right="0" w:firstLine="0"/>
        <w:jc w:val="center"/>
        <w:rPr>
          <w:b/>
          <w:bCs/>
          <w:sz w:val="44"/>
          <w:szCs w:val="44"/>
          <w:highlight w:val="none"/>
        </w:rPr>
      </w:pPr>
      <w:bookmarkStart w:id="5" w:name="_GoBack"/>
      <w:bookmarkEnd w:id="5"/>
    </w:p>
    <w:p w14:paraId="785F1020">
      <w:pPr>
        <w:pStyle w:val="7"/>
        <w:keepNext w:val="0"/>
        <w:keepLines w:val="0"/>
        <w:widowControl/>
        <w:suppressLineNumbers w:val="0"/>
        <w:spacing w:before="0" w:beforeAutospacing="0" w:after="0" w:afterAutospacing="0"/>
        <w:ind w:left="0" w:right="0" w:firstLine="0"/>
        <w:jc w:val="center"/>
        <w:rPr>
          <w:rFonts w:hint="eastAsia"/>
          <w:b/>
          <w:bCs/>
          <w:sz w:val="44"/>
          <w:szCs w:val="44"/>
          <w:highlight w:val="none"/>
          <w:lang w:val="en-US" w:eastAsia="zh-CN"/>
        </w:rPr>
      </w:pPr>
      <w:r>
        <w:rPr>
          <w:b/>
          <w:bCs/>
          <w:sz w:val="48"/>
          <w:szCs w:val="48"/>
          <w:highlight w:val="none"/>
        </w:rPr>
        <w:t>汉中市中心城区</w:t>
      </w:r>
      <w:r>
        <w:rPr>
          <w:rFonts w:hint="eastAsia"/>
          <w:b/>
          <w:bCs/>
          <w:sz w:val="48"/>
          <w:szCs w:val="48"/>
          <w:highlight w:val="none"/>
        </w:rPr>
        <w:t>综合</w:t>
      </w:r>
      <w:r>
        <w:rPr>
          <w:rFonts w:hint="eastAsia"/>
          <w:b/>
          <w:bCs/>
          <w:sz w:val="48"/>
          <w:szCs w:val="48"/>
          <w:highlight w:val="none"/>
          <w:lang w:val="en-US" w:eastAsia="zh-CN"/>
        </w:rPr>
        <w:t>交通</w:t>
      </w:r>
      <w:r>
        <w:rPr>
          <w:rFonts w:hint="eastAsia"/>
          <w:b/>
          <w:bCs/>
          <w:sz w:val="48"/>
          <w:szCs w:val="48"/>
          <w:highlight w:val="none"/>
        </w:rPr>
        <w:t>专项规划</w:t>
      </w:r>
    </w:p>
    <w:p w14:paraId="6C4DCF55">
      <w:pPr>
        <w:pStyle w:val="7"/>
        <w:keepNext w:val="0"/>
        <w:keepLines w:val="0"/>
        <w:widowControl/>
        <w:suppressLineNumbers w:val="0"/>
        <w:spacing w:before="0" w:beforeAutospacing="0" w:after="0" w:afterAutospacing="0"/>
        <w:ind w:left="0" w:right="0" w:firstLine="0"/>
        <w:jc w:val="center"/>
        <w:rPr>
          <w:rFonts w:hint="eastAsia"/>
          <w:b/>
          <w:bCs/>
          <w:sz w:val="44"/>
          <w:szCs w:val="44"/>
          <w:highlight w:val="none"/>
          <w:lang w:val="en-US" w:eastAsia="zh-CN"/>
        </w:rPr>
      </w:pPr>
    </w:p>
    <w:p w14:paraId="60A5195E">
      <w:pPr>
        <w:pStyle w:val="7"/>
        <w:keepNext w:val="0"/>
        <w:keepLines w:val="0"/>
        <w:widowControl/>
        <w:suppressLineNumbers w:val="0"/>
        <w:spacing w:before="0" w:beforeAutospacing="0" w:after="0" w:afterAutospacing="0"/>
        <w:ind w:left="0" w:right="0" w:firstLine="0"/>
        <w:jc w:val="center"/>
        <w:rPr>
          <w:rFonts w:hint="eastAsia"/>
          <w:b/>
          <w:bCs/>
          <w:sz w:val="44"/>
          <w:szCs w:val="44"/>
          <w:highlight w:val="none"/>
          <w:lang w:val="en-US" w:eastAsia="zh-CN"/>
        </w:rPr>
      </w:pPr>
    </w:p>
    <w:p w14:paraId="1648A49F">
      <w:pPr>
        <w:pStyle w:val="7"/>
        <w:keepNext w:val="0"/>
        <w:keepLines w:val="0"/>
        <w:widowControl/>
        <w:suppressLineNumbers w:val="0"/>
        <w:spacing w:before="0" w:beforeAutospacing="0" w:after="0" w:afterAutospacing="0"/>
        <w:ind w:left="0" w:right="0" w:firstLine="0"/>
        <w:jc w:val="center"/>
        <w:rPr>
          <w:rFonts w:hint="eastAsia"/>
          <w:b/>
          <w:bCs/>
          <w:sz w:val="44"/>
          <w:szCs w:val="44"/>
          <w:highlight w:val="none"/>
          <w:lang w:val="en-US" w:eastAsia="zh-CN"/>
        </w:rPr>
      </w:pPr>
    </w:p>
    <w:p w14:paraId="18825F28">
      <w:pPr>
        <w:pStyle w:val="7"/>
        <w:keepNext w:val="0"/>
        <w:keepLines w:val="0"/>
        <w:widowControl/>
        <w:suppressLineNumbers w:val="0"/>
        <w:spacing w:before="0" w:beforeAutospacing="0" w:after="0" w:afterAutospacing="0"/>
        <w:ind w:left="0" w:right="0" w:firstLine="0"/>
        <w:jc w:val="center"/>
        <w:rPr>
          <w:rFonts w:hint="eastAsia"/>
          <w:b/>
          <w:bCs/>
          <w:sz w:val="72"/>
          <w:szCs w:val="72"/>
          <w:highlight w:val="none"/>
          <w:lang w:val="en-US" w:eastAsia="zh-CN"/>
        </w:rPr>
      </w:pPr>
    </w:p>
    <w:p w14:paraId="2CF1D590">
      <w:pPr>
        <w:pStyle w:val="7"/>
        <w:keepNext w:val="0"/>
        <w:keepLines w:val="0"/>
        <w:widowControl/>
        <w:suppressLineNumbers w:val="0"/>
        <w:spacing w:before="0" w:beforeAutospacing="0" w:after="0" w:afterAutospacing="0"/>
        <w:ind w:left="0" w:right="0" w:firstLine="0"/>
        <w:jc w:val="center"/>
        <w:rPr>
          <w:b/>
          <w:bCs/>
          <w:sz w:val="72"/>
          <w:szCs w:val="72"/>
          <w:highlight w:val="none"/>
        </w:rPr>
      </w:pPr>
      <w:r>
        <w:rPr>
          <w:rFonts w:hint="eastAsia"/>
          <w:b/>
          <w:bCs/>
          <w:sz w:val="72"/>
          <w:szCs w:val="72"/>
          <w:highlight w:val="none"/>
          <w:lang w:val="en-US" w:eastAsia="zh-CN"/>
        </w:rPr>
        <w:t>服务</w:t>
      </w:r>
      <w:r>
        <w:rPr>
          <w:b/>
          <w:bCs/>
          <w:sz w:val="72"/>
          <w:szCs w:val="72"/>
          <w:highlight w:val="none"/>
        </w:rPr>
        <w:t>合同</w:t>
      </w:r>
    </w:p>
    <w:p w14:paraId="7A884CB0">
      <w:pPr>
        <w:pStyle w:val="7"/>
        <w:keepNext w:val="0"/>
        <w:keepLines w:val="0"/>
        <w:widowControl/>
        <w:suppressLineNumbers w:val="0"/>
        <w:spacing w:before="0" w:beforeAutospacing="0" w:after="0" w:afterAutospacing="0"/>
        <w:ind w:left="0" w:right="0" w:firstLine="0"/>
        <w:jc w:val="center"/>
        <w:rPr>
          <w:b/>
          <w:bCs/>
          <w:sz w:val="52"/>
          <w:szCs w:val="52"/>
          <w:highlight w:val="none"/>
        </w:rPr>
      </w:pPr>
    </w:p>
    <w:p w14:paraId="14D56109">
      <w:pPr>
        <w:pStyle w:val="7"/>
        <w:keepNext w:val="0"/>
        <w:keepLines w:val="0"/>
        <w:widowControl/>
        <w:suppressLineNumbers w:val="0"/>
        <w:spacing w:before="0" w:beforeAutospacing="0" w:after="0" w:afterAutospacing="0"/>
        <w:ind w:left="0" w:right="0" w:firstLine="0"/>
        <w:jc w:val="center"/>
        <w:rPr>
          <w:b/>
          <w:bCs/>
          <w:sz w:val="52"/>
          <w:szCs w:val="52"/>
          <w:highlight w:val="none"/>
        </w:rPr>
      </w:pPr>
    </w:p>
    <w:p w14:paraId="665F90D6">
      <w:pPr>
        <w:pStyle w:val="7"/>
        <w:keepNext w:val="0"/>
        <w:keepLines w:val="0"/>
        <w:widowControl/>
        <w:suppressLineNumbers w:val="0"/>
        <w:spacing w:before="0" w:beforeAutospacing="0" w:after="0" w:afterAutospacing="0"/>
        <w:ind w:left="0" w:right="0" w:firstLine="0"/>
        <w:jc w:val="center"/>
        <w:rPr>
          <w:b/>
          <w:bCs/>
          <w:sz w:val="52"/>
          <w:szCs w:val="52"/>
          <w:highlight w:val="none"/>
        </w:rPr>
      </w:pPr>
    </w:p>
    <w:p w14:paraId="3EF3774C">
      <w:pPr>
        <w:pStyle w:val="7"/>
        <w:keepNext w:val="0"/>
        <w:keepLines w:val="0"/>
        <w:widowControl/>
        <w:suppressLineNumbers w:val="0"/>
        <w:spacing w:before="0" w:beforeAutospacing="0" w:after="0" w:afterAutospacing="0"/>
        <w:ind w:left="0" w:right="0" w:firstLine="0"/>
        <w:jc w:val="center"/>
        <w:rPr>
          <w:b/>
          <w:bCs/>
          <w:sz w:val="52"/>
          <w:szCs w:val="52"/>
          <w:highlight w:val="none"/>
        </w:rPr>
      </w:pPr>
    </w:p>
    <w:p w14:paraId="1CD64606">
      <w:pPr>
        <w:pStyle w:val="11"/>
        <w:keepNext w:val="0"/>
        <w:keepLines w:val="0"/>
        <w:pageBreakBefore w:val="0"/>
        <w:kinsoku/>
        <w:wordWrap/>
        <w:overflowPunct/>
        <w:topLinePunct w:val="0"/>
        <w:autoSpaceDE/>
        <w:autoSpaceDN/>
        <w:bidi w:val="0"/>
        <w:spacing w:line="560" w:lineRule="exact"/>
        <w:jc w:val="both"/>
        <w:textAlignment w:val="auto"/>
        <w:outlineLvl w:val="2"/>
        <w:rPr>
          <w:rFonts w:hint="eastAsia" w:ascii="宋体" w:hAnsi="宋体" w:eastAsia="宋体" w:cs="宋体"/>
          <w:b/>
          <w:bCs/>
          <w:sz w:val="28"/>
          <w:szCs w:val="28"/>
          <w:highlight w:val="none"/>
          <w:lang w:val="en-US" w:eastAsia="zh-CN"/>
        </w:rPr>
      </w:pPr>
    </w:p>
    <w:p w14:paraId="0FA33B55">
      <w:pPr>
        <w:pStyle w:val="11"/>
        <w:keepNext w:val="0"/>
        <w:keepLines w:val="0"/>
        <w:pageBreakBefore w:val="0"/>
        <w:kinsoku/>
        <w:wordWrap/>
        <w:overflowPunct/>
        <w:topLinePunct w:val="0"/>
        <w:autoSpaceDE/>
        <w:autoSpaceDN/>
        <w:bidi w:val="0"/>
        <w:spacing w:line="560" w:lineRule="exact"/>
        <w:ind w:firstLine="1687" w:firstLineChars="600"/>
        <w:jc w:val="both"/>
        <w:textAlignment w:val="auto"/>
        <w:outlineLvl w:val="2"/>
        <w:rPr>
          <w:rFonts w:hint="eastAsia" w:ascii="宋体" w:hAnsi="宋体" w:eastAsia="宋体" w:cs="宋体"/>
          <w:b/>
          <w:bCs/>
          <w:sz w:val="28"/>
          <w:szCs w:val="28"/>
          <w:highlight w:val="none"/>
          <w:lang w:val="en-US" w:eastAsia="zh-CN"/>
        </w:rPr>
      </w:pPr>
    </w:p>
    <w:p w14:paraId="4A4ECFBF">
      <w:pPr>
        <w:pStyle w:val="11"/>
        <w:keepNext w:val="0"/>
        <w:keepLines w:val="0"/>
        <w:pageBreakBefore w:val="0"/>
        <w:kinsoku/>
        <w:wordWrap/>
        <w:overflowPunct/>
        <w:topLinePunct w:val="0"/>
        <w:autoSpaceDE/>
        <w:autoSpaceDN/>
        <w:bidi w:val="0"/>
        <w:spacing w:line="560" w:lineRule="exact"/>
        <w:ind w:firstLine="1687" w:firstLineChars="600"/>
        <w:jc w:val="both"/>
        <w:textAlignment w:val="auto"/>
        <w:outlineLvl w:val="2"/>
        <w:rPr>
          <w:rFonts w:ascii="宋体" w:hAnsi="宋体" w:eastAsia="宋体" w:cs="宋体"/>
          <w:b/>
          <w:sz w:val="28"/>
          <w:szCs w:val="28"/>
          <w:highlight w:val="none"/>
        </w:rPr>
      </w:pPr>
      <w:r>
        <w:rPr>
          <w:rFonts w:hint="eastAsia" w:ascii="宋体" w:hAnsi="宋体" w:eastAsia="宋体" w:cs="宋体"/>
          <w:b/>
          <w:bCs/>
          <w:sz w:val="28"/>
          <w:szCs w:val="28"/>
          <w:highlight w:val="none"/>
          <w:lang w:val="en-US" w:eastAsia="zh-CN"/>
        </w:rPr>
        <w:t>委托人（</w:t>
      </w:r>
      <w:r>
        <w:rPr>
          <w:rFonts w:ascii="宋体" w:hAnsi="宋体" w:eastAsia="宋体" w:cs="宋体"/>
          <w:b/>
          <w:bCs/>
          <w:sz w:val="28"/>
          <w:szCs w:val="28"/>
          <w:highlight w:val="none"/>
        </w:rPr>
        <w:t>甲方</w:t>
      </w:r>
      <w:r>
        <w:rPr>
          <w:rFonts w:hint="eastAsia" w:ascii="宋体" w:hAnsi="宋体" w:eastAsia="宋体" w:cs="宋体"/>
          <w:b/>
          <w:bCs/>
          <w:sz w:val="28"/>
          <w:szCs w:val="28"/>
          <w:highlight w:val="none"/>
          <w:lang w:val="en-US" w:eastAsia="zh-CN"/>
        </w:rPr>
        <w:t>）</w:t>
      </w:r>
      <w:r>
        <w:rPr>
          <w:rFonts w:ascii="宋体" w:hAnsi="宋体" w:eastAsia="宋体" w:cs="宋体"/>
          <w:b/>
          <w:bCs/>
          <w:sz w:val="28"/>
          <w:szCs w:val="28"/>
          <w:highlight w:val="none"/>
        </w:rPr>
        <w:t>： 汉中市自然资源局</w:t>
      </w:r>
    </w:p>
    <w:p w14:paraId="4747AA8E">
      <w:pPr>
        <w:keepNext w:val="0"/>
        <w:keepLines w:val="0"/>
        <w:pageBreakBefore w:val="0"/>
        <w:kinsoku/>
        <w:wordWrap/>
        <w:overflowPunct/>
        <w:topLinePunct w:val="0"/>
        <w:autoSpaceDE/>
        <w:autoSpaceDN/>
        <w:bidi w:val="0"/>
        <w:adjustRightInd w:val="0"/>
        <w:snapToGrid w:val="0"/>
        <w:spacing w:line="560" w:lineRule="exact"/>
        <w:ind w:firstLine="1687" w:firstLineChars="600"/>
        <w:textAlignment w:val="auto"/>
        <w:rPr>
          <w:rFonts w:hint="default" w:ascii="宋体" w:hAnsi="宋体" w:eastAsia="宋体" w:cs="宋体"/>
          <w:sz w:val="28"/>
          <w:szCs w:val="28"/>
          <w:highlight w:val="none"/>
          <w:lang w:val="en-US" w:eastAsia="zh-CN"/>
        </w:rPr>
      </w:pPr>
      <w:r>
        <w:rPr>
          <w:rFonts w:hint="eastAsia" w:ascii="宋体" w:hAnsi="宋体" w:eastAsia="宋体" w:cs="宋体"/>
          <w:b/>
          <w:bCs/>
          <w:sz w:val="28"/>
          <w:szCs w:val="28"/>
          <w:highlight w:val="none"/>
          <w:lang w:val="en-US" w:eastAsia="zh-CN"/>
        </w:rPr>
        <w:t>受托人（乙</w:t>
      </w:r>
      <w:r>
        <w:rPr>
          <w:rFonts w:ascii="宋体" w:hAnsi="宋体" w:eastAsia="宋体" w:cs="宋体"/>
          <w:b/>
          <w:bCs/>
          <w:sz w:val="28"/>
          <w:szCs w:val="28"/>
          <w:highlight w:val="none"/>
        </w:rPr>
        <w:t>方</w:t>
      </w:r>
      <w:r>
        <w:rPr>
          <w:rFonts w:hint="eastAsia" w:ascii="宋体" w:hAnsi="宋体" w:eastAsia="宋体" w:cs="宋体"/>
          <w:b/>
          <w:bCs/>
          <w:sz w:val="28"/>
          <w:szCs w:val="28"/>
          <w:highlight w:val="none"/>
          <w:lang w:val="en-US" w:eastAsia="zh-CN"/>
        </w:rPr>
        <w:t>）</w:t>
      </w:r>
      <w:r>
        <w:rPr>
          <w:rFonts w:ascii="宋体" w:hAnsi="宋体" w:eastAsia="宋体" w:cs="宋体"/>
          <w:b/>
          <w:bCs/>
          <w:sz w:val="28"/>
          <w:szCs w:val="28"/>
          <w:highlight w:val="none"/>
        </w:rPr>
        <w:t>：</w:t>
      </w:r>
    </w:p>
    <w:p w14:paraId="7F10F4A9">
      <w:pPr>
        <w:pStyle w:val="7"/>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firstLine="1687" w:firstLineChars="600"/>
        <w:jc w:val="both"/>
        <w:textAlignment w:val="auto"/>
        <w:rPr>
          <w:rFonts w:hint="default" w:ascii="宋体" w:hAnsi="宋体" w:eastAsia="宋体" w:cs="宋体"/>
          <w:b/>
          <w:bCs/>
          <w:kern w:val="2"/>
          <w:sz w:val="28"/>
          <w:szCs w:val="28"/>
          <w:highlight w:val="none"/>
          <w:lang w:val="en-US" w:eastAsia="zh-CN" w:bidi="ar-SA"/>
        </w:rPr>
        <w:sectPr>
          <w:footerReference r:id="rId3" w:type="default"/>
          <w:pgSz w:w="11906" w:h="16838"/>
          <w:pgMar w:top="1440" w:right="1463" w:bottom="1440" w:left="1463" w:header="851" w:footer="992" w:gutter="0"/>
          <w:pgNumType w:start="1"/>
          <w:cols w:space="425" w:num="1"/>
          <w:docGrid w:type="lines" w:linePitch="312" w:charSpace="0"/>
        </w:sectPr>
      </w:pPr>
      <w:r>
        <w:rPr>
          <w:rFonts w:hint="eastAsia" w:ascii="宋体" w:hAnsi="宋体" w:eastAsia="宋体" w:cs="宋体"/>
          <w:b/>
          <w:bCs/>
          <w:kern w:val="2"/>
          <w:sz w:val="28"/>
          <w:szCs w:val="28"/>
          <w:highlight w:val="none"/>
          <w:lang w:val="en-US" w:eastAsia="zh-CN" w:bidi="ar-SA"/>
        </w:rPr>
        <w:t>日期：</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年</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月</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日</w:t>
      </w:r>
    </w:p>
    <w:p w14:paraId="1EFDF347">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合同主要条款</w:t>
      </w:r>
    </w:p>
    <w:p w14:paraId="4E5B8B48">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bookmarkStart w:id="0" w:name="_Toc28427"/>
    </w:p>
    <w:p w14:paraId="0D71A0BE">
      <w:pPr>
        <w:pStyle w:val="11"/>
        <w:keepLines w:val="0"/>
        <w:pageBreakBefore w:val="0"/>
        <w:kinsoku/>
        <w:wordWrap/>
        <w:overflowPunct/>
        <w:topLinePunct w:val="0"/>
        <w:autoSpaceDE/>
        <w:autoSpaceDN/>
        <w:bidi w:val="0"/>
        <w:spacing w:line="360" w:lineRule="auto"/>
        <w:jc w:val="both"/>
        <w:textAlignment w:val="auto"/>
        <w:outlineLvl w:val="2"/>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甲方（招标人全称）：汉中市自然资源局</w:t>
      </w:r>
    </w:p>
    <w:p w14:paraId="72022F48">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乙方（投标人全称）：         </w:t>
      </w:r>
      <w:r>
        <w:rPr>
          <w:rFonts w:hint="eastAsia" w:ascii="宋体" w:hAnsi="宋体" w:eastAsia="宋体" w:cs="宋体"/>
          <w:color w:val="auto"/>
          <w:sz w:val="24"/>
          <w:szCs w:val="24"/>
          <w:highlight w:val="none"/>
        </w:rPr>
        <w:t xml:space="preserve">                         </w:t>
      </w:r>
    </w:p>
    <w:p w14:paraId="340073EB">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汉中市</w:t>
      </w:r>
      <w:r>
        <w:rPr>
          <w:rFonts w:hint="eastAsia" w:ascii="宋体" w:hAnsi="宋体" w:eastAsia="宋体" w:cs="宋体"/>
          <w:color w:val="auto"/>
          <w:sz w:val="24"/>
          <w:szCs w:val="24"/>
          <w:highlight w:val="none"/>
          <w:u w:val="single"/>
          <w:lang w:eastAsia="zh-CN"/>
        </w:rPr>
        <w:t>中心城区综合交通专项规划</w:t>
      </w:r>
      <w:r>
        <w:rPr>
          <w:rFonts w:hint="eastAsia" w:ascii="宋体" w:hAnsi="宋体" w:eastAsia="宋体" w:cs="宋体"/>
          <w:color w:val="auto"/>
          <w:sz w:val="24"/>
          <w:szCs w:val="24"/>
          <w:highlight w:val="none"/>
          <w:u w:val="single"/>
          <w:lang w:val="en-US" w:eastAsia="zh-CN"/>
        </w:rPr>
        <w:t>项目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的中标结果，根据《中华人民共和国民法典》及其他有关法律、法规，遵循平等、自愿、公平和诚信的原则，双方就下述项目范围与相关服务事项协商一致，订立本合同。</w:t>
      </w:r>
    </w:p>
    <w:p w14:paraId="13367F72">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一、项目概况</w:t>
      </w:r>
    </w:p>
    <w:p w14:paraId="5CAD843C">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汉中市中心城区综合交通专项规划 </w:t>
      </w:r>
      <w:r>
        <w:rPr>
          <w:rFonts w:hint="eastAsia" w:ascii="宋体" w:hAnsi="宋体" w:eastAsia="宋体" w:cs="宋体"/>
          <w:color w:val="auto"/>
          <w:sz w:val="24"/>
          <w:szCs w:val="24"/>
          <w:highlight w:val="none"/>
          <w:lang w:eastAsia="zh-CN"/>
        </w:rPr>
        <w:t>。</w:t>
      </w:r>
    </w:p>
    <w:p w14:paraId="31E6D684">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、项目地点：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陕西省汉中市</w:t>
      </w:r>
      <w:r>
        <w:rPr>
          <w:rFonts w:hint="eastAsia" w:ascii="宋体" w:hAnsi="宋体" w:eastAsia="宋体" w:cs="宋体"/>
          <w:color w:val="auto"/>
          <w:sz w:val="24"/>
          <w:szCs w:val="24"/>
          <w:highlight w:val="none"/>
          <w:lang w:eastAsia="zh-CN"/>
        </w:rPr>
        <w:t>。</w:t>
      </w:r>
    </w:p>
    <w:p w14:paraId="55B59F3C">
      <w:pPr>
        <w:adjustRightInd w:val="0"/>
        <w:snapToGrid w:val="0"/>
        <w:spacing w:line="360" w:lineRule="auto"/>
        <w:ind w:firstLine="480" w:firstLineChars="200"/>
        <w:rPr>
          <w:rFonts w:ascii="宋体" w:hAnsi="宋体" w:eastAsia="宋体" w:cs="宋体"/>
          <w:color w:val="auto"/>
          <w:sz w:val="24"/>
          <w:highlight w:val="none"/>
          <w:u w:val="single"/>
        </w:rPr>
      </w:pPr>
      <w:r>
        <w:rPr>
          <w:rFonts w:hint="eastAsia" w:ascii="宋体" w:hAnsi="宋体" w:eastAsia="宋体" w:cs="宋体"/>
          <w:color w:val="auto"/>
          <w:sz w:val="24"/>
          <w:highlight w:val="none"/>
        </w:rPr>
        <w:t>3、工作内容：</w:t>
      </w:r>
      <w:r>
        <w:rPr>
          <w:rFonts w:hint="eastAsia" w:ascii="宋体" w:hAnsi="宋体" w:eastAsia="宋体" w:cs="宋体"/>
          <w:color w:val="auto"/>
          <w:sz w:val="24"/>
          <w:highlight w:val="none"/>
          <w:u w:val="single"/>
        </w:rPr>
        <w:t>详见任务书。</w:t>
      </w:r>
    </w:p>
    <w:p w14:paraId="6A145878">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、规划周期：</w:t>
      </w:r>
      <w:r>
        <w:rPr>
          <w:rFonts w:hint="eastAsia" w:ascii="宋体" w:hAnsi="宋体" w:eastAsia="宋体" w:cs="宋体"/>
          <w:color w:val="auto"/>
          <w:sz w:val="24"/>
          <w:szCs w:val="24"/>
          <w:highlight w:val="none"/>
          <w:u w:val="single"/>
          <w:lang w:val="en-US" w:eastAsia="zh-CN"/>
        </w:rPr>
        <w:t>自本合同签订之日起60</w:t>
      </w:r>
      <w:r>
        <w:rPr>
          <w:rFonts w:hint="eastAsia" w:ascii="宋体" w:hAnsi="宋体" w:eastAsia="宋体" w:cs="宋体"/>
          <w:color w:val="auto"/>
          <w:sz w:val="24"/>
          <w:szCs w:val="24"/>
          <w:highlight w:val="none"/>
          <w:u w:val="single"/>
        </w:rPr>
        <w:t>天内完成规划编制</w:t>
      </w:r>
      <w:r>
        <w:rPr>
          <w:rFonts w:hint="eastAsia" w:ascii="宋体" w:hAnsi="宋体" w:eastAsia="宋体" w:cs="宋体"/>
          <w:color w:val="auto"/>
          <w:sz w:val="24"/>
          <w:szCs w:val="24"/>
          <w:highlight w:val="none"/>
        </w:rPr>
        <w:t>。(上述所列时间不包含招投标阶段、最终成果评审验收用时，但包含乙方中期成果评审验收后根据评审意见修改、补充、完善用时。)</w:t>
      </w:r>
    </w:p>
    <w:p w14:paraId="1B85D1C6">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二、组成本合同的文件</w:t>
      </w:r>
    </w:p>
    <w:p w14:paraId="2F03B4BC">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1、中标通知书、投标文件、招标文件、澄清、补充文件（或委托书）；</w:t>
      </w:r>
    </w:p>
    <w:p w14:paraId="07414CBB">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2、相关服务建议书；</w:t>
      </w:r>
    </w:p>
    <w:p w14:paraId="1E3533C4">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3、本合同签订后，双方依法签订的补充协议也是本合同文件的组成部分。</w:t>
      </w:r>
    </w:p>
    <w:p w14:paraId="483591A9">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三、合同总价及付款：</w:t>
      </w:r>
    </w:p>
    <w:p w14:paraId="167C2253">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1、合同总价</w:t>
      </w:r>
      <w:r>
        <w:rPr>
          <w:rFonts w:hint="eastAsia" w:ascii="宋体" w:hAnsi="宋体" w:eastAsia="宋体" w:cs="宋体"/>
          <w:bCs/>
          <w:color w:val="auto"/>
          <w:sz w:val="24"/>
          <w:szCs w:val="24"/>
          <w:highlight w:val="none"/>
          <w:lang w:val="en-US" w:eastAsia="zh-CN"/>
        </w:rPr>
        <w:t>人民币</w:t>
      </w:r>
      <w:r>
        <w:rPr>
          <w:rFonts w:hint="eastAsia" w:ascii="宋体" w:hAnsi="宋体" w:eastAsia="宋体" w:cs="宋体"/>
          <w:bCs/>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5B396DFE">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合同价格为含税价，</w:t>
      </w:r>
      <w:r>
        <w:rPr>
          <w:rFonts w:hint="eastAsia" w:ascii="宋体" w:hAnsi="宋体" w:eastAsia="宋体" w:cs="宋体"/>
          <w:color w:val="auto"/>
          <w:sz w:val="24"/>
        </w:rPr>
        <w:t>不含税价格为</w:t>
      </w:r>
      <w:r>
        <w:rPr>
          <w:rFonts w:hint="eastAsia" w:ascii="宋体" w:hAnsi="宋体" w:eastAsia="宋体" w:cs="宋体"/>
          <w:color w:val="auto"/>
          <w:sz w:val="24"/>
          <w:u w:val="single"/>
        </w:rPr>
        <w:t xml:space="preserve">      </w:t>
      </w:r>
      <w:r>
        <w:rPr>
          <w:rFonts w:hint="eastAsia" w:ascii="宋体" w:hAnsi="宋体" w:eastAsia="宋体" w:cs="宋体"/>
          <w:color w:val="auto"/>
          <w:sz w:val="24"/>
        </w:rPr>
        <w:t>（¥    ）</w:t>
      </w:r>
      <w:r>
        <w:rPr>
          <w:rFonts w:hint="eastAsia" w:ascii="宋体" w:hAnsi="宋体" w:eastAsia="宋体" w:cs="宋体"/>
          <w:color w:val="auto"/>
          <w:sz w:val="24"/>
          <w:lang w:eastAsia="zh-CN"/>
        </w:rPr>
        <w:t>，</w:t>
      </w:r>
      <w:r>
        <w:rPr>
          <w:rFonts w:hint="eastAsia" w:ascii="宋体" w:hAnsi="宋体" w:eastAsia="宋体" w:cs="宋体"/>
          <w:color w:val="auto"/>
          <w:sz w:val="24"/>
          <w:szCs w:val="24"/>
          <w:highlight w:val="none"/>
          <w:lang w:val="en-US" w:eastAsia="zh-CN"/>
        </w:rPr>
        <w:t>税率为6%。</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en-US" w:eastAsia="zh-CN"/>
        </w:rPr>
        <w:t>合同总价为完成本项目所需的一切费用，包含编制费用、多媒体汇报费用、三维动画演示费用、成果资料费用、评审会务费、专家费、公告公示费、税费（</w:t>
      </w:r>
      <w:r>
        <w:rPr>
          <w:rFonts w:hint="eastAsia" w:ascii="宋体" w:hAnsi="宋体" w:eastAsia="宋体" w:cs="宋体"/>
          <w:color w:val="auto"/>
          <w:sz w:val="24"/>
          <w:szCs w:val="24"/>
          <w:highlight w:val="none"/>
        </w:rPr>
        <w:t>服务发生的一切税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包括增值税</w:t>
      </w:r>
      <w:r>
        <w:rPr>
          <w:rFonts w:hint="eastAsia" w:ascii="宋体" w:hAnsi="宋体" w:eastAsia="宋体" w:cs="宋体"/>
          <w:color w:val="auto"/>
          <w:sz w:val="24"/>
          <w:szCs w:val="24"/>
          <w:highlight w:val="none"/>
          <w:lang w:val="en-US" w:eastAsia="zh-CN"/>
        </w:rPr>
        <w:t>）等。合同价款不因市场变化、税率调整等任何原因而调整，乙方不得以任何理由要求甲方再支付任何费用。</w:t>
      </w:r>
    </w:p>
    <w:p w14:paraId="13C59ED4">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bCs/>
          <w:sz w:val="24"/>
          <w:highlight w:val="none"/>
        </w:rPr>
        <w:t>付款方式：</w:t>
      </w:r>
    </w:p>
    <w:p w14:paraId="10C04F7A">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（1）签订合同</w:t>
      </w:r>
      <w:r>
        <w:rPr>
          <w:rFonts w:hint="eastAsia" w:ascii="宋体" w:hAnsi="宋体" w:eastAsia="宋体" w:cs="宋体"/>
          <w:sz w:val="24"/>
          <w:highlight w:val="none"/>
          <w:lang w:val="en-US" w:eastAsia="zh-CN"/>
        </w:rPr>
        <w:t>并</w:t>
      </w:r>
      <w:r>
        <w:rPr>
          <w:rFonts w:hint="eastAsia" w:ascii="宋体" w:hAnsi="宋体" w:eastAsia="宋体" w:cs="宋体"/>
          <w:sz w:val="24"/>
          <w:highlight w:val="none"/>
        </w:rPr>
        <w:t>达到</w:t>
      </w:r>
      <w:r>
        <w:rPr>
          <w:rFonts w:hint="eastAsia" w:ascii="宋体" w:hAnsi="宋体" w:eastAsia="宋体" w:cs="宋体"/>
          <w:sz w:val="24"/>
          <w:highlight w:val="none"/>
          <w:lang w:val="en-US" w:eastAsia="zh-CN"/>
        </w:rPr>
        <w:t>其他</w:t>
      </w:r>
      <w:r>
        <w:rPr>
          <w:rFonts w:hint="eastAsia" w:ascii="宋体" w:hAnsi="宋体" w:eastAsia="宋体" w:cs="宋体"/>
          <w:sz w:val="24"/>
          <w:highlight w:val="none"/>
        </w:rPr>
        <w:t>付款条件</w:t>
      </w:r>
      <w:r>
        <w:rPr>
          <w:rFonts w:hint="eastAsia" w:ascii="宋体" w:hAnsi="宋体" w:eastAsia="宋体" w:cs="宋体"/>
          <w:sz w:val="24"/>
          <w:highlight w:val="none"/>
          <w:lang w:val="en-US" w:eastAsia="zh-CN"/>
        </w:rPr>
        <w:t>后</w:t>
      </w:r>
      <w:r>
        <w:rPr>
          <w:rFonts w:hint="eastAsia" w:ascii="宋体" w:hAnsi="宋体" w:eastAsia="宋体" w:cs="宋体"/>
          <w:sz w:val="24"/>
          <w:highlight w:val="none"/>
        </w:rPr>
        <w:t>，支付合同总价的30%；完成初步方案经甲方确认</w:t>
      </w:r>
      <w:r>
        <w:rPr>
          <w:rFonts w:hint="eastAsia" w:ascii="宋体" w:hAnsi="宋体" w:eastAsia="宋体" w:cs="宋体"/>
          <w:sz w:val="24"/>
          <w:highlight w:val="none"/>
          <w:lang w:val="en-US" w:eastAsia="zh-CN"/>
        </w:rPr>
        <w:t>并</w:t>
      </w:r>
      <w:r>
        <w:rPr>
          <w:rFonts w:hint="eastAsia" w:ascii="宋体" w:hAnsi="宋体" w:eastAsia="宋体" w:cs="宋体"/>
          <w:sz w:val="24"/>
          <w:highlight w:val="none"/>
        </w:rPr>
        <w:t>达到</w:t>
      </w:r>
      <w:r>
        <w:rPr>
          <w:rFonts w:hint="eastAsia" w:ascii="宋体" w:hAnsi="宋体" w:eastAsia="宋体" w:cs="宋体"/>
          <w:sz w:val="24"/>
          <w:highlight w:val="none"/>
          <w:lang w:val="en-US" w:eastAsia="zh-CN"/>
        </w:rPr>
        <w:t>其他</w:t>
      </w:r>
      <w:r>
        <w:rPr>
          <w:rFonts w:hint="eastAsia" w:ascii="宋体" w:hAnsi="宋体" w:eastAsia="宋体" w:cs="宋体"/>
          <w:sz w:val="24"/>
          <w:highlight w:val="none"/>
        </w:rPr>
        <w:t>付款条件</w:t>
      </w:r>
      <w:r>
        <w:rPr>
          <w:rFonts w:hint="eastAsia" w:ascii="宋体" w:hAnsi="宋体" w:eastAsia="宋体" w:cs="宋体"/>
          <w:sz w:val="24"/>
          <w:highlight w:val="none"/>
          <w:lang w:val="en-US" w:eastAsia="zh-CN"/>
        </w:rPr>
        <w:t>后</w:t>
      </w:r>
      <w:r>
        <w:rPr>
          <w:rFonts w:hint="eastAsia" w:ascii="宋体" w:hAnsi="宋体" w:eastAsia="宋体" w:cs="宋体"/>
          <w:sz w:val="24"/>
          <w:highlight w:val="none"/>
        </w:rPr>
        <w:t>，支付合同总价的20%；规划成果经专家评审论证通过</w:t>
      </w:r>
      <w:r>
        <w:rPr>
          <w:rFonts w:hint="eastAsia" w:ascii="宋体" w:hAnsi="宋体" w:eastAsia="宋体" w:cs="宋体"/>
          <w:sz w:val="24"/>
          <w:highlight w:val="none"/>
          <w:lang w:eastAsia="zh-CN"/>
        </w:rPr>
        <w:t>、</w:t>
      </w:r>
      <w:r>
        <w:rPr>
          <w:rFonts w:hint="eastAsia" w:ascii="宋体" w:hAnsi="宋体" w:eastAsia="宋体" w:cs="宋体"/>
          <w:sz w:val="24"/>
          <w:highlight w:val="none"/>
        </w:rPr>
        <w:t>通过规委会审议</w:t>
      </w:r>
      <w:r>
        <w:rPr>
          <w:rFonts w:hint="eastAsia" w:ascii="宋体" w:hAnsi="宋体" w:eastAsia="宋体" w:cs="宋体"/>
          <w:sz w:val="24"/>
          <w:highlight w:val="none"/>
          <w:lang w:val="en-US" w:eastAsia="zh-CN"/>
        </w:rPr>
        <w:t>并</w:t>
      </w:r>
      <w:r>
        <w:rPr>
          <w:rFonts w:hint="eastAsia" w:ascii="宋体" w:hAnsi="宋体" w:eastAsia="宋体" w:cs="宋体"/>
          <w:sz w:val="24"/>
          <w:highlight w:val="none"/>
        </w:rPr>
        <w:t>达到</w:t>
      </w:r>
      <w:r>
        <w:rPr>
          <w:rFonts w:hint="eastAsia" w:ascii="宋体" w:hAnsi="宋体" w:eastAsia="宋体" w:cs="宋体"/>
          <w:sz w:val="24"/>
          <w:highlight w:val="none"/>
          <w:lang w:val="en-US" w:eastAsia="zh-CN"/>
        </w:rPr>
        <w:t>其他</w:t>
      </w:r>
      <w:r>
        <w:rPr>
          <w:rFonts w:hint="eastAsia" w:ascii="宋体" w:hAnsi="宋体" w:eastAsia="宋体" w:cs="宋体"/>
          <w:sz w:val="24"/>
          <w:highlight w:val="none"/>
        </w:rPr>
        <w:t>付款条件</w:t>
      </w:r>
      <w:r>
        <w:rPr>
          <w:rFonts w:hint="eastAsia" w:ascii="宋体" w:hAnsi="宋体" w:eastAsia="宋体" w:cs="宋体"/>
          <w:sz w:val="24"/>
          <w:highlight w:val="none"/>
          <w:lang w:val="en-US" w:eastAsia="zh-CN"/>
        </w:rPr>
        <w:t>后</w:t>
      </w:r>
      <w:r>
        <w:rPr>
          <w:rFonts w:hint="eastAsia" w:ascii="宋体" w:hAnsi="宋体" w:eastAsia="宋体" w:cs="宋体"/>
          <w:sz w:val="24"/>
          <w:highlight w:val="none"/>
        </w:rPr>
        <w:t>，支付合同金额的30%；规划成果经市政府批准后提交最终规划成果、数据库验收入库</w:t>
      </w:r>
      <w:r>
        <w:rPr>
          <w:rFonts w:hint="eastAsia" w:ascii="宋体" w:hAnsi="宋体" w:eastAsia="宋体" w:cs="宋体"/>
          <w:sz w:val="24"/>
          <w:highlight w:val="none"/>
          <w:lang w:val="en-US" w:eastAsia="zh-CN"/>
        </w:rPr>
        <w:t>并</w:t>
      </w:r>
      <w:r>
        <w:rPr>
          <w:rFonts w:hint="eastAsia" w:ascii="宋体" w:hAnsi="宋体" w:eastAsia="宋体" w:cs="宋体"/>
          <w:sz w:val="24"/>
          <w:highlight w:val="none"/>
        </w:rPr>
        <w:t>达到</w:t>
      </w:r>
      <w:r>
        <w:rPr>
          <w:rFonts w:hint="eastAsia" w:ascii="宋体" w:hAnsi="宋体" w:eastAsia="宋体" w:cs="宋体"/>
          <w:sz w:val="24"/>
          <w:highlight w:val="none"/>
          <w:lang w:val="en-US" w:eastAsia="zh-CN"/>
        </w:rPr>
        <w:t>其他</w:t>
      </w:r>
      <w:r>
        <w:rPr>
          <w:rFonts w:hint="eastAsia" w:ascii="宋体" w:hAnsi="宋体" w:eastAsia="宋体" w:cs="宋体"/>
          <w:sz w:val="24"/>
          <w:highlight w:val="none"/>
        </w:rPr>
        <w:t>付款条件</w:t>
      </w:r>
      <w:r>
        <w:rPr>
          <w:rFonts w:hint="eastAsia" w:ascii="宋体" w:hAnsi="宋体" w:eastAsia="宋体" w:cs="宋体"/>
          <w:sz w:val="24"/>
          <w:highlight w:val="none"/>
          <w:lang w:val="en-US" w:eastAsia="zh-CN"/>
        </w:rPr>
        <w:t>的</w:t>
      </w:r>
      <w:r>
        <w:rPr>
          <w:rFonts w:hint="eastAsia" w:ascii="宋体" w:hAnsi="宋体" w:eastAsia="宋体" w:cs="宋体"/>
          <w:sz w:val="24"/>
          <w:highlight w:val="none"/>
        </w:rPr>
        <w:t>，支付合同总价的15%；成果使用一年后且该段时间内项目责任规划师后续服务质量保障到位，达到付款条件</w:t>
      </w:r>
      <w:r>
        <w:rPr>
          <w:rFonts w:hint="eastAsia" w:ascii="宋体" w:hAnsi="宋体" w:eastAsia="宋体" w:cs="宋体"/>
          <w:sz w:val="24"/>
          <w:highlight w:val="none"/>
          <w:lang w:val="en-US" w:eastAsia="zh-CN"/>
        </w:rPr>
        <w:t>的</w:t>
      </w:r>
      <w:r>
        <w:rPr>
          <w:rFonts w:hint="eastAsia" w:ascii="宋体" w:hAnsi="宋体" w:eastAsia="宋体" w:cs="宋体"/>
          <w:sz w:val="24"/>
          <w:highlight w:val="none"/>
        </w:rPr>
        <w:t>，支付合同总价的5%尾款。</w:t>
      </w:r>
    </w:p>
    <w:p w14:paraId="6BF18965">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具体支付分期金额详见下表：</w:t>
      </w: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5"/>
        <w:gridCol w:w="2101"/>
        <w:gridCol w:w="5873"/>
      </w:tblGrid>
      <w:tr w14:paraId="162F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pct"/>
            <w:vAlign w:val="center"/>
          </w:tcPr>
          <w:p w14:paraId="1DAC18B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支付分期</w:t>
            </w:r>
          </w:p>
        </w:tc>
        <w:tc>
          <w:tcPr>
            <w:tcW w:w="1143" w:type="pct"/>
            <w:vAlign w:val="center"/>
          </w:tcPr>
          <w:p w14:paraId="7616770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支付比例</w:t>
            </w:r>
          </w:p>
        </w:tc>
        <w:tc>
          <w:tcPr>
            <w:tcW w:w="3195" w:type="pct"/>
            <w:vAlign w:val="center"/>
          </w:tcPr>
          <w:p w14:paraId="338E651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支付时间</w:t>
            </w:r>
          </w:p>
        </w:tc>
      </w:tr>
      <w:tr w14:paraId="4C41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661" w:type="pct"/>
            <w:vAlign w:val="center"/>
          </w:tcPr>
          <w:p w14:paraId="5EB233E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第一期</w:t>
            </w:r>
          </w:p>
        </w:tc>
        <w:tc>
          <w:tcPr>
            <w:tcW w:w="1143" w:type="pct"/>
            <w:vAlign w:val="center"/>
          </w:tcPr>
          <w:p w14:paraId="24E62C2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30%</w:t>
            </w:r>
          </w:p>
        </w:tc>
        <w:tc>
          <w:tcPr>
            <w:tcW w:w="3195" w:type="pct"/>
            <w:vAlign w:val="center"/>
          </w:tcPr>
          <w:p w14:paraId="2FABFD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签订合同</w:t>
            </w:r>
            <w:r>
              <w:rPr>
                <w:rFonts w:hint="eastAsia" w:ascii="宋体" w:hAnsi="宋体" w:eastAsia="宋体" w:cs="宋体"/>
                <w:sz w:val="24"/>
                <w:highlight w:val="none"/>
                <w:lang w:val="en-US" w:eastAsia="zh-CN"/>
              </w:rPr>
              <w:t>并达到其他付款条件</w:t>
            </w:r>
            <w:r>
              <w:rPr>
                <w:rFonts w:hint="eastAsia" w:ascii="宋体" w:hAnsi="宋体" w:eastAsia="宋体" w:cs="宋体"/>
                <w:sz w:val="24"/>
                <w:highlight w:val="none"/>
              </w:rPr>
              <w:t>后</w:t>
            </w:r>
          </w:p>
        </w:tc>
      </w:tr>
      <w:tr w14:paraId="3CA8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pct"/>
            <w:vAlign w:val="center"/>
          </w:tcPr>
          <w:p w14:paraId="321D89F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第二期</w:t>
            </w:r>
          </w:p>
        </w:tc>
        <w:tc>
          <w:tcPr>
            <w:tcW w:w="1143" w:type="pct"/>
            <w:vAlign w:val="center"/>
          </w:tcPr>
          <w:p w14:paraId="02837A3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0%</w:t>
            </w:r>
          </w:p>
        </w:tc>
        <w:tc>
          <w:tcPr>
            <w:tcW w:w="3195" w:type="pct"/>
            <w:vAlign w:val="center"/>
          </w:tcPr>
          <w:p w14:paraId="234867B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完成初步方案经甲方确认</w:t>
            </w:r>
            <w:r>
              <w:rPr>
                <w:rFonts w:hint="eastAsia" w:ascii="宋体" w:hAnsi="宋体" w:eastAsia="宋体" w:cs="宋体"/>
                <w:sz w:val="24"/>
                <w:highlight w:val="none"/>
                <w:lang w:val="en-US" w:eastAsia="zh-CN"/>
              </w:rPr>
              <w:t>并达到其他付款条件</w:t>
            </w:r>
            <w:r>
              <w:rPr>
                <w:rFonts w:hint="eastAsia" w:ascii="宋体" w:hAnsi="宋体" w:eastAsia="宋体" w:cs="宋体"/>
                <w:sz w:val="24"/>
                <w:highlight w:val="none"/>
              </w:rPr>
              <w:t>后</w:t>
            </w:r>
          </w:p>
        </w:tc>
      </w:tr>
      <w:tr w14:paraId="64E9E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61" w:type="pct"/>
            <w:vAlign w:val="center"/>
          </w:tcPr>
          <w:p w14:paraId="06A7E3C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第三期</w:t>
            </w:r>
          </w:p>
        </w:tc>
        <w:tc>
          <w:tcPr>
            <w:tcW w:w="1143" w:type="pct"/>
            <w:vAlign w:val="center"/>
          </w:tcPr>
          <w:p w14:paraId="335A1E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30</w:t>
            </w:r>
            <w:r>
              <w:rPr>
                <w:rFonts w:hint="eastAsia" w:ascii="宋体" w:hAnsi="宋体" w:eastAsia="宋体" w:cs="宋体"/>
                <w:sz w:val="24"/>
                <w:highlight w:val="none"/>
              </w:rPr>
              <w:t>%</w:t>
            </w:r>
          </w:p>
        </w:tc>
        <w:tc>
          <w:tcPr>
            <w:tcW w:w="3195" w:type="pct"/>
            <w:vAlign w:val="center"/>
          </w:tcPr>
          <w:p w14:paraId="002E4E3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rPr>
              <w:t>经专家评审论证通过</w:t>
            </w:r>
            <w:r>
              <w:rPr>
                <w:rFonts w:hint="eastAsia" w:ascii="宋体" w:hAnsi="宋体" w:eastAsia="宋体" w:cs="宋体"/>
                <w:sz w:val="24"/>
                <w:highlight w:val="none"/>
                <w:lang w:eastAsia="zh-CN"/>
              </w:rPr>
              <w:t>、</w:t>
            </w:r>
            <w:r>
              <w:rPr>
                <w:rFonts w:hint="eastAsia" w:ascii="宋体" w:hAnsi="宋体" w:eastAsia="宋体" w:cs="宋体"/>
                <w:strike w:val="0"/>
                <w:dstrike w:val="0"/>
                <w:sz w:val="24"/>
                <w:highlight w:val="none"/>
              </w:rPr>
              <w:t>通过规委会审议</w:t>
            </w:r>
            <w:r>
              <w:rPr>
                <w:rFonts w:hint="eastAsia" w:ascii="宋体" w:hAnsi="宋体" w:eastAsia="宋体" w:cs="宋体"/>
                <w:strike w:val="0"/>
                <w:dstrike w:val="0"/>
                <w:sz w:val="24"/>
                <w:highlight w:val="none"/>
                <w:lang w:val="en-US" w:eastAsia="zh-CN"/>
              </w:rPr>
              <w:t>并达到其他付款条件的</w:t>
            </w:r>
          </w:p>
        </w:tc>
      </w:tr>
      <w:tr w14:paraId="51F3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pct"/>
            <w:vAlign w:val="center"/>
          </w:tcPr>
          <w:p w14:paraId="2F87E2D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第四期</w:t>
            </w:r>
          </w:p>
        </w:tc>
        <w:tc>
          <w:tcPr>
            <w:tcW w:w="1143" w:type="pct"/>
            <w:vAlign w:val="center"/>
          </w:tcPr>
          <w:p w14:paraId="470EF7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15</w:t>
            </w:r>
            <w:r>
              <w:rPr>
                <w:rFonts w:hint="eastAsia" w:ascii="宋体" w:hAnsi="宋体" w:eastAsia="宋体" w:cs="宋体"/>
                <w:sz w:val="24"/>
                <w:highlight w:val="none"/>
              </w:rPr>
              <w:t>%</w:t>
            </w:r>
          </w:p>
        </w:tc>
        <w:tc>
          <w:tcPr>
            <w:tcW w:w="3195" w:type="pct"/>
            <w:vAlign w:val="center"/>
          </w:tcPr>
          <w:p w14:paraId="73617C7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规划成果经市政府批准后提交最终规划成果、数据库验收入库</w:t>
            </w:r>
            <w:r>
              <w:rPr>
                <w:rFonts w:hint="eastAsia" w:ascii="宋体" w:hAnsi="宋体" w:eastAsia="宋体" w:cs="宋体"/>
                <w:sz w:val="24"/>
                <w:highlight w:val="none"/>
                <w:lang w:val="en-US" w:eastAsia="zh-CN"/>
              </w:rPr>
              <w:t>并达到其他付款条件的</w:t>
            </w:r>
          </w:p>
        </w:tc>
      </w:tr>
      <w:tr w14:paraId="272D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pct"/>
            <w:vAlign w:val="center"/>
          </w:tcPr>
          <w:p w14:paraId="25D97D5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第五期</w:t>
            </w:r>
          </w:p>
        </w:tc>
        <w:tc>
          <w:tcPr>
            <w:tcW w:w="1143" w:type="pct"/>
            <w:vAlign w:val="center"/>
          </w:tcPr>
          <w:p w14:paraId="489FBDF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5%</w:t>
            </w:r>
          </w:p>
        </w:tc>
        <w:tc>
          <w:tcPr>
            <w:tcW w:w="3195" w:type="pct"/>
            <w:vAlign w:val="center"/>
          </w:tcPr>
          <w:p w14:paraId="326D442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成果使用一年后且该段时间内项目责任规划师后续服务质量保障到位</w:t>
            </w:r>
            <w:r>
              <w:rPr>
                <w:rFonts w:hint="eastAsia" w:ascii="宋体" w:hAnsi="宋体" w:eastAsia="宋体" w:cs="宋体"/>
                <w:sz w:val="24"/>
                <w:highlight w:val="none"/>
                <w:lang w:val="en-US" w:eastAsia="zh-CN"/>
              </w:rPr>
              <w:t>并达到其他付款条件的</w:t>
            </w:r>
          </w:p>
        </w:tc>
      </w:tr>
    </w:tbl>
    <w:p w14:paraId="7B25D1BB">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甲方付款前，乙方应根据甲方需要提供等额正规发票给甲方；否则甲方有权迟延付款且无需承担任何责任，同时不免除乙方所应履行的合同义务。乙方应当对其所开具发票的真实性及合法合规性负责，如果因为乙方所开具发票的真实性或合法性合规性而导致甲方无法抵扣税款或遭受其他损失的，乙方应承担赔偿责任，并在甲方要求的期限内重新开具合法有效的发票。</w:t>
      </w:r>
    </w:p>
    <w:p w14:paraId="135ACC36">
      <w:pPr>
        <w:pStyle w:val="3"/>
        <w:spacing w:line="360" w:lineRule="auto"/>
        <w:ind w:firstLine="480"/>
        <w:rPr>
          <w:rFonts w:hint="eastAsia" w:ascii="宋体" w:hAnsi="宋体" w:eastAsia="宋体" w:cs="宋体"/>
          <w:sz w:val="24"/>
          <w:highlight w:val="none"/>
        </w:rPr>
      </w:pPr>
      <w:r>
        <w:rPr>
          <w:rFonts w:hint="eastAsia" w:ascii="宋体" w:hAnsi="宋体" w:eastAsia="宋体" w:cs="宋体"/>
          <w:sz w:val="24"/>
          <w:highlight w:val="none"/>
        </w:rPr>
        <w:t>（3）如因乙方责任造成延期，</w:t>
      </w:r>
      <w:r>
        <w:rPr>
          <w:rFonts w:hint="eastAsia" w:ascii="宋体" w:hAnsi="宋体" w:eastAsia="宋体" w:cs="宋体"/>
          <w:sz w:val="24"/>
          <w:highlight w:val="none"/>
          <w:lang w:val="en-US" w:eastAsia="zh-CN"/>
        </w:rPr>
        <w:t>给甲方造成损失的，乙方应当承担相应的损失。</w:t>
      </w:r>
    </w:p>
    <w:p w14:paraId="1A43E5EA">
      <w:pPr>
        <w:pStyle w:val="3"/>
        <w:spacing w:line="360" w:lineRule="auto"/>
        <w:ind w:firstLine="480"/>
        <w:rPr>
          <w:rFonts w:hint="eastAsia" w:ascii="宋体" w:hAnsi="宋体" w:eastAsia="宋体" w:cs="宋体"/>
          <w:sz w:val="24"/>
          <w:highlight w:val="none"/>
        </w:rPr>
      </w:pPr>
      <w:r>
        <w:rPr>
          <w:rFonts w:hint="eastAsia" w:ascii="宋体" w:hAnsi="宋体" w:eastAsia="宋体" w:cs="宋体"/>
          <w:sz w:val="24"/>
          <w:highlight w:val="none"/>
        </w:rPr>
        <w:t>（4）支付方式：银行转账。</w:t>
      </w:r>
    </w:p>
    <w:p w14:paraId="1BC05636">
      <w:pPr>
        <w:pStyle w:val="3"/>
        <w:spacing w:line="360" w:lineRule="auto"/>
        <w:ind w:firstLine="480"/>
        <w:rPr>
          <w:rFonts w:ascii="宋体" w:hAnsi="宋体" w:eastAsia="宋体" w:cs="宋体"/>
          <w:color w:val="auto"/>
          <w:sz w:val="24"/>
        </w:rPr>
      </w:pPr>
      <w:r>
        <w:rPr>
          <w:rFonts w:hint="eastAsia" w:ascii="宋体" w:hAnsi="宋体" w:eastAsia="宋体" w:cs="宋体"/>
          <w:color w:val="auto"/>
          <w:sz w:val="24"/>
        </w:rPr>
        <w:t>（5）收款信息：</w:t>
      </w:r>
    </w:p>
    <w:p w14:paraId="22DA2ECF">
      <w:pPr>
        <w:pStyle w:val="3"/>
        <w:spacing w:line="360" w:lineRule="auto"/>
        <w:ind w:firstLine="960" w:firstLineChars="400"/>
        <w:rPr>
          <w:rFonts w:ascii="宋体" w:hAnsi="宋体" w:eastAsia="宋体" w:cs="宋体"/>
          <w:color w:val="auto"/>
          <w:sz w:val="24"/>
        </w:rPr>
      </w:pPr>
      <w:r>
        <w:rPr>
          <w:rFonts w:hint="eastAsia" w:ascii="宋体" w:hAnsi="宋体" w:eastAsia="宋体" w:cs="宋体"/>
          <w:color w:val="auto"/>
          <w:sz w:val="24"/>
        </w:rPr>
        <w:t>开户行名称</w:t>
      </w:r>
      <w:r>
        <w:rPr>
          <w:rFonts w:hint="eastAsia" w:ascii="宋体" w:hAnsi="宋体" w:eastAsia="宋体" w:cs="宋体"/>
          <w:color w:val="auto"/>
          <w:sz w:val="24"/>
          <w:u w:val="single"/>
        </w:rPr>
        <w:t xml:space="preserve"> </w:t>
      </w:r>
      <w:r>
        <w:rPr>
          <w:rFonts w:ascii="宋体" w:hAnsi="宋体" w:eastAsia="宋体" w:cs="宋体"/>
          <w:color w:val="auto"/>
          <w:sz w:val="24"/>
          <w:u w:val="single"/>
        </w:rPr>
        <w:t xml:space="preserve">                              </w:t>
      </w:r>
    </w:p>
    <w:p w14:paraId="22A5DFFB">
      <w:pPr>
        <w:pStyle w:val="3"/>
        <w:spacing w:line="360" w:lineRule="auto"/>
        <w:ind w:firstLine="960" w:firstLineChars="400"/>
        <w:rPr>
          <w:rFonts w:hint="eastAsia" w:ascii="宋体" w:hAnsi="宋体" w:eastAsia="宋体" w:cs="宋体"/>
          <w:color w:val="auto"/>
          <w:sz w:val="24"/>
        </w:rPr>
      </w:pPr>
      <w:r>
        <w:rPr>
          <w:rFonts w:hint="eastAsia" w:ascii="宋体" w:hAnsi="宋体" w:eastAsia="宋体" w:cs="宋体"/>
          <w:color w:val="auto"/>
          <w:sz w:val="24"/>
        </w:rPr>
        <w:t>开户账号</w:t>
      </w:r>
      <w:r>
        <w:rPr>
          <w:rFonts w:hint="eastAsia" w:ascii="宋体" w:hAnsi="宋体" w:eastAsia="宋体" w:cs="宋体"/>
          <w:color w:val="auto"/>
          <w:sz w:val="24"/>
          <w:u w:val="single"/>
        </w:rPr>
        <w:t xml:space="preserve"> </w:t>
      </w:r>
      <w:r>
        <w:rPr>
          <w:rFonts w:ascii="宋体" w:hAnsi="宋体" w:eastAsia="宋体" w:cs="宋体"/>
          <w:color w:val="auto"/>
          <w:sz w:val="24"/>
          <w:u w:val="single"/>
        </w:rPr>
        <w:t xml:space="preserve">                                </w:t>
      </w:r>
      <w:r>
        <w:rPr>
          <w:rFonts w:ascii="宋体" w:hAnsi="宋体" w:eastAsia="宋体" w:cs="宋体"/>
          <w:color w:val="auto"/>
          <w:sz w:val="24"/>
        </w:rPr>
        <w:t xml:space="preserve">  </w:t>
      </w:r>
    </w:p>
    <w:p w14:paraId="007F4D66">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四、服务要求</w:t>
      </w:r>
    </w:p>
    <w:p w14:paraId="7F2DAB78">
      <w:pPr>
        <w:tabs>
          <w:tab w:val="left" w:pos="480"/>
        </w:tabs>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以招标文件技术要求、投标文件响应、澄清表（函）、合同和随服务的相关文件为准。</w:t>
      </w:r>
    </w:p>
    <w:p w14:paraId="588674D3">
      <w:pPr>
        <w:tabs>
          <w:tab w:val="left" w:pos="480"/>
        </w:tabs>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2.乙方提交的工作成果未能获得专家评审或者市政府批准的，甲方有权要求乙方进行调整、修改，在合同约定期限内重新报送专家评审并获得通过政府批准、验收入库。 </w:t>
      </w:r>
    </w:p>
    <w:p w14:paraId="387358F3">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五、质量保证</w:t>
      </w:r>
    </w:p>
    <w:p w14:paraId="53A6E0ED">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质量标准：符合相关法律法规以及国家、省部等相关标准、规范及甲方要求。</w:t>
      </w:r>
    </w:p>
    <w:p w14:paraId="450F6A93">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六、知识产权</w:t>
      </w:r>
    </w:p>
    <w:p w14:paraId="4FE75E21">
      <w:pPr>
        <w:pStyle w:val="11"/>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bCs/>
          <w:strike/>
          <w:dstrike w:val="0"/>
          <w:color w:val="auto"/>
          <w:sz w:val="24"/>
          <w:szCs w:val="24"/>
          <w:highlight w:val="none"/>
        </w:rPr>
      </w:pPr>
      <w:r>
        <w:rPr>
          <w:rFonts w:hint="eastAsia" w:ascii="宋体" w:hAnsi="宋体" w:eastAsia="宋体" w:cs="宋体"/>
          <w:bCs/>
          <w:color w:val="auto"/>
          <w:sz w:val="24"/>
          <w:szCs w:val="24"/>
          <w:highlight w:val="none"/>
        </w:rPr>
        <w:t>1、乙方保证，甲方在使用乙方所提供的服务时免受第三方提出的侵犯其专利权或其它知识产权的起诉；如甲方因使用乙方提供服务成果内容侵权引起的任何法律责任以及给甲方带来的所有损失(包括但不限于甲方向第三人支付的赔偿、诉讼费、甲方律师费、差旅费、鉴定</w:t>
      </w:r>
      <w:r>
        <w:rPr>
          <w:rFonts w:hint="eastAsia" w:ascii="宋体" w:hAnsi="宋体" w:eastAsia="宋体" w:cs="宋体"/>
          <w:bCs/>
          <w:color w:val="auto"/>
          <w:sz w:val="24"/>
          <w:szCs w:val="24"/>
          <w:highlight w:val="none"/>
          <w:lang w:val="en-US" w:eastAsia="zh-CN"/>
        </w:rPr>
        <w:t>费、</w:t>
      </w:r>
      <w:r>
        <w:rPr>
          <w:rFonts w:hint="eastAsia" w:ascii="宋体" w:hAnsi="宋体" w:eastAsia="宋体" w:cs="宋体"/>
          <w:bCs/>
          <w:color w:val="auto"/>
          <w:sz w:val="24"/>
          <w:szCs w:val="24"/>
          <w:highlight w:val="none"/>
        </w:rPr>
        <w:t>公证费、甲方人员误工费等)由乙方承担，同时乙方应对此承担违约责任。</w:t>
      </w:r>
    </w:p>
    <w:p w14:paraId="451419BB">
      <w:pPr>
        <w:pStyle w:val="5"/>
        <w:keepLines w:val="0"/>
        <w:pageBreakBefore w:val="0"/>
        <w:kinsoku/>
        <w:wordWrap/>
        <w:overflowPunct/>
        <w:topLinePunct w:val="0"/>
        <w:autoSpaceDE/>
        <w:autoSpaceDN/>
        <w:bidi w:val="0"/>
        <w:spacing w:after="0"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2、乙方提交的成果的知识产权归甲方所有。</w:t>
      </w:r>
    </w:p>
    <w:p w14:paraId="2A3AC518">
      <w:pPr>
        <w:pStyle w:val="3"/>
        <w:keepLines w:val="0"/>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七、保密条款</w:t>
      </w:r>
    </w:p>
    <w:p w14:paraId="2FB5D5D6">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甲、乙双方对本合同履行过程中获得的对方的资料数据、商业技术信息等承担保密责任。未经对方事先书面同意，任何一方不得以任何形式向第三方泄露其相关内容。如任何一方未遵守本条约定，造成相对方损失的，违约方除赔偿守约方损失外，还需承担违约责任。本合同的解除或终止，不免除双方对本保密条款的遵守。本合同的解除或终止，不免除双方对本保密条款的遵守。</w:t>
      </w:r>
    </w:p>
    <w:p w14:paraId="49313C88">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 无产权瑕疵条款</w:t>
      </w:r>
    </w:p>
    <w:p w14:paraId="0B5D766A">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乙方保证所提供的服务的所有权完全属于乙方且无任何抵押、查封等产权瑕疵。如有</w:t>
      </w:r>
      <w:r>
        <w:rPr>
          <w:rFonts w:hint="eastAsia" w:ascii="宋体" w:hAnsi="宋体" w:eastAsia="宋体" w:cs="宋体"/>
          <w:bCs/>
          <w:color w:val="auto"/>
          <w:sz w:val="24"/>
          <w:szCs w:val="24"/>
          <w:highlight w:val="none"/>
          <w:lang w:val="en-US" w:eastAsia="zh-CN"/>
        </w:rPr>
        <w:t>权力</w:t>
      </w:r>
      <w:r>
        <w:rPr>
          <w:rFonts w:hint="eastAsia" w:ascii="宋体" w:hAnsi="宋体" w:eastAsia="宋体" w:cs="宋体"/>
          <w:bCs/>
          <w:color w:val="auto"/>
          <w:sz w:val="24"/>
          <w:szCs w:val="24"/>
          <w:highlight w:val="none"/>
        </w:rPr>
        <w:t>瑕疵的，视为乙方违约。乙方应负担由此而产生的一切损失</w:t>
      </w:r>
      <w:r>
        <w:rPr>
          <w:rFonts w:hint="eastAsia" w:ascii="宋体" w:hAnsi="宋体" w:eastAsia="宋体" w:cs="宋体"/>
          <w:bCs/>
          <w:color w:val="auto"/>
          <w:sz w:val="24"/>
          <w:szCs w:val="24"/>
          <w:highlight w:val="none"/>
          <w:lang w:val="en-US" w:eastAsia="zh-CN"/>
        </w:rPr>
        <w:t>并承担违约责任</w:t>
      </w:r>
      <w:r>
        <w:rPr>
          <w:rFonts w:hint="eastAsia" w:ascii="宋体" w:hAnsi="宋体" w:eastAsia="宋体" w:cs="宋体"/>
          <w:bCs/>
          <w:color w:val="auto"/>
          <w:sz w:val="24"/>
          <w:szCs w:val="24"/>
          <w:highlight w:val="none"/>
        </w:rPr>
        <w:t>。</w:t>
      </w:r>
    </w:p>
    <w:p w14:paraId="6D59C914">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 甲方的权利和义务</w:t>
      </w:r>
    </w:p>
    <w:p w14:paraId="44519163">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1、甲方按照涉密管理相关要求，向乙方提供以下文件及资料。</w:t>
      </w: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5319"/>
        <w:gridCol w:w="2976"/>
      </w:tblGrid>
      <w:tr w14:paraId="7FD0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vAlign w:val="center"/>
          </w:tcPr>
          <w:p w14:paraId="66824A57">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序号</w:t>
            </w:r>
          </w:p>
        </w:tc>
        <w:tc>
          <w:tcPr>
            <w:tcW w:w="2894" w:type="pct"/>
            <w:vAlign w:val="center"/>
          </w:tcPr>
          <w:p w14:paraId="23421247">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文件及资料名称</w:t>
            </w:r>
          </w:p>
        </w:tc>
        <w:tc>
          <w:tcPr>
            <w:tcW w:w="1619" w:type="pct"/>
            <w:vAlign w:val="center"/>
          </w:tcPr>
          <w:p w14:paraId="21086E14">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内容格式</w:t>
            </w:r>
          </w:p>
        </w:tc>
      </w:tr>
      <w:tr w14:paraId="0946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vAlign w:val="center"/>
          </w:tcPr>
          <w:p w14:paraId="283454BF">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1</w:t>
            </w:r>
          </w:p>
        </w:tc>
        <w:tc>
          <w:tcPr>
            <w:tcW w:w="2894" w:type="pct"/>
            <w:vAlign w:val="center"/>
          </w:tcPr>
          <w:p w14:paraId="086EA78E">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《汉中市国土空间总体规划（2021-2035年）》</w:t>
            </w:r>
          </w:p>
        </w:tc>
        <w:tc>
          <w:tcPr>
            <w:tcW w:w="1619" w:type="pct"/>
            <w:vAlign w:val="center"/>
          </w:tcPr>
          <w:p w14:paraId="7A459EC5">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SHP格式矢量</w:t>
            </w:r>
          </w:p>
          <w:p w14:paraId="0969D962">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CGCS2000坐标</w:t>
            </w:r>
          </w:p>
        </w:tc>
      </w:tr>
      <w:tr w14:paraId="2308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vAlign w:val="center"/>
          </w:tcPr>
          <w:p w14:paraId="7148F174">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2</w:t>
            </w:r>
          </w:p>
        </w:tc>
        <w:tc>
          <w:tcPr>
            <w:tcW w:w="2894" w:type="pct"/>
            <w:vAlign w:val="center"/>
          </w:tcPr>
          <w:p w14:paraId="2775024C">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中心城区各县区国土空间总体规划</w:t>
            </w:r>
          </w:p>
        </w:tc>
        <w:tc>
          <w:tcPr>
            <w:tcW w:w="1619" w:type="pct"/>
            <w:vAlign w:val="center"/>
          </w:tcPr>
          <w:p w14:paraId="23932B04">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SHP格式矢量</w:t>
            </w:r>
          </w:p>
          <w:p w14:paraId="6F136731">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CGCS2000坐标</w:t>
            </w:r>
          </w:p>
        </w:tc>
      </w:tr>
      <w:tr w14:paraId="2079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486" w:type="pct"/>
            <w:vAlign w:val="center"/>
          </w:tcPr>
          <w:p w14:paraId="5FB6E12F">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3</w:t>
            </w:r>
          </w:p>
        </w:tc>
        <w:tc>
          <w:tcPr>
            <w:tcW w:w="2894" w:type="pct"/>
            <w:vAlign w:val="center"/>
          </w:tcPr>
          <w:p w14:paraId="17D249F2">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中心城区各片区国土空间详细规划阶段稿</w:t>
            </w:r>
          </w:p>
        </w:tc>
        <w:tc>
          <w:tcPr>
            <w:tcW w:w="1619" w:type="pct"/>
            <w:vAlign w:val="center"/>
          </w:tcPr>
          <w:p w14:paraId="2B3CF37C">
            <w:pPr>
              <w:pStyle w:val="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Cs/>
                <w:color w:val="auto"/>
                <w:sz w:val="24"/>
                <w:szCs w:val="24"/>
                <w:highlight w:val="none"/>
                <w:vertAlign w:val="baseline"/>
                <w:lang w:val="en-US" w:eastAsia="zh-CN"/>
              </w:rPr>
            </w:pPr>
            <w:r>
              <w:rPr>
                <w:rFonts w:hint="eastAsia" w:ascii="宋体" w:hAnsi="宋体" w:eastAsia="宋体" w:cs="宋体"/>
                <w:bCs/>
                <w:color w:val="auto"/>
                <w:sz w:val="24"/>
                <w:szCs w:val="24"/>
                <w:highlight w:val="none"/>
                <w:vertAlign w:val="baseline"/>
                <w:lang w:val="en-US" w:eastAsia="zh-CN"/>
              </w:rPr>
              <w:t>PDF</w:t>
            </w:r>
          </w:p>
        </w:tc>
      </w:tr>
    </w:tbl>
    <w:p w14:paraId="7892D5FA">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乙方收到整改通知书后应在甲方给予的期限内完成整改工作，逾期按照合同约定承担逾期违约金</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逾期整改超过30日的，甲方有权书面通知乙方解除合同并要求其承担违约责任。</w:t>
      </w:r>
    </w:p>
    <w:p w14:paraId="5ADE4449">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、负责检查监督乙方管理工作的实施及制度的执行情况。</w:t>
      </w:r>
    </w:p>
    <w:p w14:paraId="1C968252">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、根据本合同规定，按时向乙方支付应付服务费用。</w:t>
      </w:r>
    </w:p>
    <w:p w14:paraId="6457DF90">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、甲方应及时向乙方提供相关资料，协助乙方办理有关事宜。</w:t>
      </w:r>
    </w:p>
    <w:p w14:paraId="52A8E752">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、对合同条款及所知悉的乙方商业秘密负有保密义务。</w:t>
      </w:r>
    </w:p>
    <w:p w14:paraId="267CD24A">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、国家法律、法规所规定由甲方承担的其它责任。</w:t>
      </w:r>
    </w:p>
    <w:p w14:paraId="276D84DB">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 乙方的权利和义务</w:t>
      </w:r>
    </w:p>
    <w:p w14:paraId="3BA90B8F">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1、除甲方提供现有资料之外，其余资料由乙方自行联络解决。但甲方应提供协助、予以配合。</w:t>
      </w:r>
    </w:p>
    <w:p w14:paraId="5B713ED9">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、对本合同规定的委托服务范围内的项目享有管理权及服务义务。</w:t>
      </w:r>
    </w:p>
    <w:p w14:paraId="198D7464">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、根据本合同的规定向甲方收取相关服务费用，并有权在本项目管理范围内管理及合理使用。</w:t>
      </w:r>
    </w:p>
    <w:p w14:paraId="690E7420">
      <w:pPr>
        <w:pStyle w:val="3"/>
        <w:spacing w:line="360" w:lineRule="auto"/>
        <w:ind w:firstLine="480"/>
        <w:rPr>
          <w:rFonts w:hint="default" w:ascii="宋体" w:hAnsi="宋体" w:eastAsia="宋体" w:cs="宋体"/>
          <w:bCs/>
          <w:color w:val="auto"/>
          <w:sz w:val="24"/>
          <w:lang w:val="en-US" w:eastAsia="zh-CN"/>
        </w:rPr>
      </w:pPr>
      <w:r>
        <w:rPr>
          <w:rFonts w:hint="eastAsia" w:ascii="宋体" w:hAnsi="宋体" w:eastAsia="宋体" w:cs="宋体"/>
          <w:bCs/>
          <w:color w:val="auto"/>
          <w:sz w:val="24"/>
        </w:rPr>
        <w:t>4、及时向甲方通告本项目服务范围内有关服务的重大事项，及时配合处理。</w:t>
      </w:r>
      <w:r>
        <w:rPr>
          <w:rFonts w:hint="eastAsia" w:ascii="宋体" w:hAnsi="宋体" w:eastAsia="宋体" w:cs="宋体"/>
          <w:bCs/>
          <w:color w:val="auto"/>
          <w:sz w:val="24"/>
          <w:lang w:val="en-US" w:eastAsia="zh-CN"/>
        </w:rPr>
        <w:t>针对甲方就乙方提交的初步方案提出的异议，乙方应当进行必要合理的说明。</w:t>
      </w:r>
    </w:p>
    <w:p w14:paraId="3B29108C">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、乙方应保护甲方提供的相关资料。未经甲方同意不得擅自修改、复制或向第三人转让或用于本合同外的项目，如发生以上情况，乙方应负法律责任，甲方有权向乙方提出索赔。</w:t>
      </w:r>
    </w:p>
    <w:p w14:paraId="4C87AB09">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6、乙方在中途需更换所指派的项目负责人，应事先征得甲方同意，甲方应在接到乙方更换项目负责人申请后5个工作日内进行书面回复，逾期未回复的，视为同意乙方的更换要求。</w:t>
      </w:r>
    </w:p>
    <w:p w14:paraId="5E32D78F">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、接受项目行业管理部门及政府有关部门的指导，接受甲方的监督。</w:t>
      </w:r>
    </w:p>
    <w:p w14:paraId="66A58543">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8、乙方确定</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同志为项目负责人，</w:t>
      </w:r>
      <w:r>
        <w:rPr>
          <w:rFonts w:hint="eastAsia" w:ascii="宋体" w:hAnsi="宋体" w:eastAsia="宋体" w:cs="宋体"/>
          <w:color w:val="auto"/>
          <w:sz w:val="24"/>
        </w:rPr>
        <w:t>负责本项目的全过程的规划设计管理、联系、沟通、协调工作。全面履行合同约定的规划职责，</w:t>
      </w:r>
      <w:r>
        <w:rPr>
          <w:rFonts w:hint="eastAsia" w:ascii="宋体" w:hAnsi="宋体" w:eastAsia="宋体" w:cs="宋体"/>
          <w:bCs/>
          <w:color w:val="auto"/>
          <w:sz w:val="24"/>
        </w:rPr>
        <w:t>落实招标承诺书内容，在规划有效期内提供与本规划相关的专业技术咨询。</w:t>
      </w:r>
    </w:p>
    <w:p w14:paraId="09A61C0D">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9</w:t>
      </w:r>
      <w:r>
        <w:rPr>
          <w:rFonts w:hint="eastAsia" w:ascii="宋体" w:hAnsi="宋体" w:eastAsia="宋体" w:cs="宋体"/>
          <w:bCs/>
          <w:color w:val="auto"/>
          <w:sz w:val="24"/>
          <w:szCs w:val="24"/>
          <w:highlight w:val="none"/>
        </w:rPr>
        <w:t>、乙方项目团队人员配置必须与招标文件中所报项目组人员一致</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并提供驻场人员名单和工作时间表，在编制期内应提供驻场周期。乙方应保证上述项目组人员在收到甲方进场通知后在规定期限内进场提供服务。</w:t>
      </w:r>
    </w:p>
    <w:p w14:paraId="73CA5E13">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10</w:t>
      </w:r>
      <w:r>
        <w:rPr>
          <w:rFonts w:hint="eastAsia" w:ascii="宋体" w:hAnsi="宋体" w:eastAsia="宋体" w:cs="宋体"/>
          <w:bCs/>
          <w:color w:val="auto"/>
          <w:sz w:val="24"/>
          <w:szCs w:val="24"/>
          <w:highlight w:val="none"/>
        </w:rPr>
        <w:t>、乙方按合同要求交付规划设计成果后，参加有关规划设计成果的审查活动，并根据审查结论负责调整补充。合同履行过程中，若根据实际需要工作内容出现变化。乙方应当将工作变化情况及时书面报送甲方沟通。</w:t>
      </w:r>
    </w:p>
    <w:p w14:paraId="77AFAC96">
      <w:pPr>
        <w:pStyle w:val="3"/>
        <w:keepLines w:val="0"/>
        <w:pageBreakBefore w:val="0"/>
        <w:kinsoku/>
        <w:wordWrap/>
        <w:overflowPunct/>
        <w:topLinePunct w:val="0"/>
        <w:autoSpaceDE/>
        <w:autoSpaceDN/>
        <w:bidi w:val="0"/>
        <w:spacing w:line="360" w:lineRule="auto"/>
        <w:ind w:firstLine="48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11、乙方</w:t>
      </w:r>
      <w:r>
        <w:rPr>
          <w:rFonts w:ascii="Segoe UI Emoji" w:hAnsi="Segoe UI Emoji" w:eastAsia="Segoe UI Emoji" w:cs="Segoe UI Emoji"/>
          <w:i w:val="0"/>
          <w:iCs w:val="0"/>
          <w:caps w:val="0"/>
          <w:color w:val="auto"/>
          <w:spacing w:val="0"/>
          <w:sz w:val="24"/>
          <w:szCs w:val="24"/>
          <w:highlight w:val="none"/>
          <w:shd w:val="clear" w:fill="FCFCFC"/>
        </w:rPr>
        <w:t>在本项目编制过程中收集的所有相关基础资料、调研数据，须全部提交甲方。</w:t>
      </w:r>
    </w:p>
    <w:p w14:paraId="4D0A10AF">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12、按照合同约定期限，参与中心城区综合交通相关的规划建设，并出具书面指导意见。</w:t>
      </w:r>
    </w:p>
    <w:p w14:paraId="27AE3862">
      <w:pPr>
        <w:pStyle w:val="3"/>
        <w:keepLines w:val="0"/>
        <w:pageBreakBefore w:val="0"/>
        <w:kinsoku/>
        <w:wordWrap/>
        <w:overflowPunct/>
        <w:topLinePunct w:val="0"/>
        <w:autoSpaceDE/>
        <w:autoSpaceDN/>
        <w:bidi w:val="0"/>
        <w:spacing w:line="360" w:lineRule="auto"/>
        <w:ind w:firstLine="48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13、双方一致确认：非因甲方原因导致专家评审、规委会审议和市政府批准等流程滞后的，甲方不对此承担责任，但甲方应当积极配合乙方协调相关部门加快流程。</w:t>
      </w:r>
    </w:p>
    <w:p w14:paraId="680091F7">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14、乙方对其提交的规划设计成果质量终身负责，并负责对在合同约定范围内的规划设计成果出现的遗漏或错误进行修改、补充。</w:t>
      </w:r>
    </w:p>
    <w:p w14:paraId="21F2D91B">
      <w:pPr>
        <w:pStyle w:val="3"/>
        <w:keepLines w:val="0"/>
        <w:pageBreakBefore w:val="0"/>
        <w:kinsoku/>
        <w:wordWrap/>
        <w:overflowPunct/>
        <w:topLinePunct w:val="0"/>
        <w:autoSpaceDE/>
        <w:autoSpaceDN/>
        <w:bidi w:val="0"/>
        <w:spacing w:line="360" w:lineRule="auto"/>
        <w:ind w:firstLine="48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合同期满，如甲方因政策原因、上级主管部门要求或者涉及诉讼案件等情形需要对本合同项下规划成果进行说明的，乙方应当委派工作人员进行说明，甲方不再另行支付费用。</w:t>
      </w:r>
    </w:p>
    <w:p w14:paraId="2D505536">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16、</w:t>
      </w:r>
      <w:r>
        <w:rPr>
          <w:rFonts w:hint="eastAsia" w:ascii="宋体" w:hAnsi="宋体" w:eastAsia="宋体" w:cs="宋体"/>
          <w:bCs/>
          <w:color w:val="auto"/>
          <w:sz w:val="24"/>
          <w:szCs w:val="24"/>
          <w:highlight w:val="none"/>
        </w:rPr>
        <w:t>国家法律、法规所规定由乙方承担的其它责任。</w:t>
      </w:r>
    </w:p>
    <w:p w14:paraId="39E59FB9">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 违约责任</w:t>
      </w:r>
    </w:p>
    <w:p w14:paraId="1E59EB66">
      <w:pPr>
        <w:pStyle w:val="3"/>
        <w:spacing w:line="360" w:lineRule="auto"/>
        <w:ind w:firstLine="480"/>
        <w:rPr>
          <w:rFonts w:hint="eastAsia" w:ascii="宋体" w:hAnsi="宋体" w:cs="宋体"/>
          <w:bCs/>
          <w:sz w:val="24"/>
          <w:highlight w:val="none"/>
        </w:rPr>
      </w:pPr>
      <w:r>
        <w:rPr>
          <w:rFonts w:hint="eastAsia" w:ascii="宋体" w:hAnsi="宋体" w:cs="宋体"/>
          <w:bCs/>
          <w:sz w:val="24"/>
          <w:highlight w:val="none"/>
        </w:rPr>
        <w:t>1、甲乙双方必须遵守本合同并执行合同中的各项规定，保证本合同的正常履行。</w:t>
      </w:r>
    </w:p>
    <w:p w14:paraId="7A1B045B">
      <w:pPr>
        <w:pStyle w:val="3"/>
        <w:spacing w:line="360" w:lineRule="auto"/>
        <w:ind w:firstLine="480"/>
        <w:rPr>
          <w:rFonts w:hint="eastAsia" w:ascii="宋体" w:hAnsi="宋体" w:cs="宋体"/>
          <w:bCs/>
          <w:sz w:val="24"/>
          <w:highlight w:val="none"/>
        </w:rPr>
      </w:pPr>
      <w:r>
        <w:rPr>
          <w:rFonts w:hint="eastAsia" w:ascii="宋体" w:hAnsi="宋体" w:cs="宋体"/>
          <w:bCs/>
          <w:sz w:val="24"/>
          <w:highlight w:val="none"/>
        </w:rPr>
        <w:t>2、</w:t>
      </w:r>
      <w:r>
        <w:rPr>
          <w:rFonts w:ascii="宋体" w:hAnsi="宋体" w:cs="宋体"/>
          <w:bCs/>
          <w:sz w:val="24"/>
          <w:highlight w:val="none"/>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83CD6EB">
      <w:pPr>
        <w:pStyle w:val="3"/>
        <w:spacing w:line="360" w:lineRule="auto"/>
        <w:ind w:firstLine="480"/>
        <w:rPr>
          <w:rFonts w:hint="eastAsia" w:ascii="宋体" w:hAnsi="宋体" w:cs="宋体"/>
          <w:bCs/>
          <w:sz w:val="24"/>
          <w:highlight w:val="none"/>
        </w:rPr>
      </w:pPr>
      <w:r>
        <w:rPr>
          <w:rFonts w:hint="eastAsia" w:ascii="宋体" w:hAnsi="宋体" w:cs="宋体"/>
          <w:bCs/>
          <w:sz w:val="24"/>
          <w:highlight w:val="none"/>
        </w:rPr>
        <w:t>3、</w:t>
      </w:r>
      <w:r>
        <w:rPr>
          <w:rFonts w:ascii="宋体" w:hAnsi="宋体" w:cs="宋体"/>
          <w:bCs/>
          <w:sz w:val="24"/>
          <w:highlight w:val="none"/>
        </w:rPr>
        <w:t>未按合同要求进行项目的实施或实施不能满足技术要求，</w:t>
      </w:r>
      <w:r>
        <w:rPr>
          <w:rFonts w:hint="eastAsia" w:ascii="宋体" w:hAnsi="宋体" w:cs="宋体"/>
          <w:bCs/>
          <w:sz w:val="24"/>
          <w:highlight w:val="none"/>
        </w:rPr>
        <w:t>甲方</w:t>
      </w:r>
      <w:r>
        <w:rPr>
          <w:rFonts w:ascii="宋体" w:hAnsi="宋体" w:cs="宋体"/>
          <w:bCs/>
          <w:sz w:val="24"/>
          <w:highlight w:val="none"/>
        </w:rPr>
        <w:t>有权终止合同和对</w:t>
      </w:r>
      <w:r>
        <w:rPr>
          <w:rFonts w:hint="eastAsia" w:ascii="宋体" w:hAnsi="宋体" w:cs="宋体"/>
          <w:bCs/>
          <w:sz w:val="24"/>
          <w:highlight w:val="none"/>
        </w:rPr>
        <w:t>乙方</w:t>
      </w:r>
      <w:r>
        <w:rPr>
          <w:rFonts w:ascii="宋体" w:hAnsi="宋体" w:cs="宋体"/>
          <w:bCs/>
          <w:sz w:val="24"/>
          <w:highlight w:val="none"/>
        </w:rPr>
        <w:t>违约行为进行追究，同时按政府采购法的有关规定进行相应的处罚。</w:t>
      </w:r>
    </w:p>
    <w:p w14:paraId="60735CAE">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4、如因乙方原因导致甲方遭受损失，或导致合同解除的，乙方</w:t>
      </w:r>
      <w:r>
        <w:rPr>
          <w:rFonts w:hint="eastAsia" w:ascii="宋体" w:hAnsi="宋体" w:eastAsia="宋体" w:cs="宋体"/>
          <w:bCs/>
          <w:color w:val="auto"/>
          <w:sz w:val="24"/>
          <w:lang w:val="en-US" w:eastAsia="zh-CN"/>
        </w:rPr>
        <w:t>应当</w:t>
      </w:r>
      <w:r>
        <w:rPr>
          <w:rFonts w:hint="eastAsia" w:ascii="宋体" w:hAnsi="宋体" w:eastAsia="宋体" w:cs="宋体"/>
          <w:bCs/>
          <w:color w:val="auto"/>
          <w:sz w:val="24"/>
        </w:rPr>
        <w:t>赔偿甲方相关损失。</w:t>
      </w:r>
    </w:p>
    <w:p w14:paraId="6AFC28B0">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十二、不可抗力事件处理</w:t>
      </w:r>
    </w:p>
    <w:p w14:paraId="7EB8A4FA">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1、在合同有效期内，任何一方因不可抗力事件导致不能履行合同，则合同履行期可延长，其延长期与不可抗力影响期相同，不可抗力导致延期期间不计算逾期违约金。</w:t>
      </w:r>
    </w:p>
    <w:p w14:paraId="652FE569">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2、不可抗力事件发生后，具有通知义务的一方应立即通知对方，报告所发生的不可抗力并提供有关部门的证明文件。因负有通知义务的一方未及时行通知义务造成相对方损失的，不免除其赔偿责任。</w:t>
      </w:r>
    </w:p>
    <w:p w14:paraId="503FBDDE">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3、不可抗力事件延续15天以上，双方应通过友好协商，确定是否继续履行合同</w:t>
      </w:r>
      <w:r>
        <w:rPr>
          <w:rFonts w:hint="eastAsia" w:ascii="宋体" w:hAnsi="宋体" w:eastAsia="宋体" w:cs="宋体"/>
          <w:bCs/>
          <w:color w:val="auto"/>
          <w:sz w:val="24"/>
          <w:szCs w:val="24"/>
          <w:highlight w:val="none"/>
          <w:lang w:eastAsia="zh-CN"/>
        </w:rPr>
        <w:t>，若双方决定终止合同的，互不承担违约责任。</w:t>
      </w:r>
    </w:p>
    <w:p w14:paraId="06A63F73">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十三、解决合同纠纷的方式</w:t>
      </w:r>
    </w:p>
    <w:p w14:paraId="337414A6">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在执行本合同中发生的或与本合同有关的争端，双方应通过友好协商解决，经协商在 7 天内不能达成协议时，则采取向</w:t>
      </w:r>
      <w:r>
        <w:rPr>
          <w:rFonts w:hint="eastAsia" w:ascii="宋体" w:hAnsi="宋体" w:eastAsia="宋体" w:cs="宋体"/>
          <w:bCs/>
          <w:color w:val="auto"/>
          <w:sz w:val="24"/>
          <w:szCs w:val="24"/>
          <w:highlight w:val="none"/>
          <w:u w:val="single"/>
        </w:rPr>
        <w:t>甲方所在地</w:t>
      </w:r>
      <w:r>
        <w:rPr>
          <w:rFonts w:hint="eastAsia" w:ascii="宋体" w:hAnsi="宋体" w:eastAsia="宋体" w:cs="宋体"/>
          <w:bCs/>
          <w:color w:val="auto"/>
          <w:sz w:val="24"/>
          <w:szCs w:val="24"/>
          <w:highlight w:val="none"/>
        </w:rPr>
        <w:t>有管辖权的人民法院提起诉讼方式解决争议。</w:t>
      </w:r>
    </w:p>
    <w:p w14:paraId="3EF6721D">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十四、合同生效及其他</w:t>
      </w:r>
    </w:p>
    <w:p w14:paraId="1F0522E5">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1、合同经双方法定代表人或授权委托代理人签字并加盖单位公章后生效。</w:t>
      </w:r>
    </w:p>
    <w:p w14:paraId="09835CA2">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2、本合同一式</w:t>
      </w:r>
      <w:r>
        <w:rPr>
          <w:rFonts w:hint="eastAsia" w:ascii="宋体" w:hAnsi="宋体" w:eastAsia="宋体" w:cs="宋体"/>
          <w:bCs/>
          <w:color w:val="auto"/>
          <w:sz w:val="24"/>
          <w:szCs w:val="24"/>
          <w:highlight w:val="none"/>
          <w:u w:val="single"/>
        </w:rPr>
        <w:t xml:space="preserve"> 伍 </w:t>
      </w:r>
      <w:r>
        <w:rPr>
          <w:rFonts w:hint="eastAsia" w:ascii="宋体" w:hAnsi="宋体" w:eastAsia="宋体" w:cs="宋体"/>
          <w:bCs/>
          <w:color w:val="auto"/>
          <w:sz w:val="24"/>
          <w:szCs w:val="24"/>
          <w:highlight w:val="none"/>
        </w:rPr>
        <w:t>份，自双方签章之日起起效。甲方</w:t>
      </w:r>
      <w:r>
        <w:rPr>
          <w:rFonts w:hint="eastAsia" w:ascii="宋体" w:hAnsi="宋体" w:eastAsia="宋体" w:cs="宋体"/>
          <w:bCs/>
          <w:color w:val="auto"/>
          <w:sz w:val="24"/>
          <w:szCs w:val="24"/>
          <w:highlight w:val="none"/>
          <w:u w:val="single"/>
        </w:rPr>
        <w:t xml:space="preserve"> 贰 </w:t>
      </w:r>
      <w:r>
        <w:rPr>
          <w:rFonts w:hint="eastAsia" w:ascii="宋体" w:hAnsi="宋体" w:eastAsia="宋体" w:cs="宋体"/>
          <w:bCs/>
          <w:color w:val="auto"/>
          <w:sz w:val="24"/>
          <w:szCs w:val="24"/>
          <w:highlight w:val="none"/>
        </w:rPr>
        <w:t>份，乙方</w:t>
      </w:r>
      <w:r>
        <w:rPr>
          <w:rFonts w:hint="eastAsia" w:ascii="宋体" w:hAnsi="宋体" w:eastAsia="宋体" w:cs="宋体"/>
          <w:bCs/>
          <w:color w:val="auto"/>
          <w:sz w:val="24"/>
          <w:szCs w:val="24"/>
          <w:highlight w:val="none"/>
          <w:u w:val="single"/>
        </w:rPr>
        <w:t xml:space="preserve"> 贰 </w:t>
      </w:r>
      <w:r>
        <w:rPr>
          <w:rFonts w:hint="eastAsia" w:ascii="宋体" w:hAnsi="宋体" w:eastAsia="宋体" w:cs="宋体"/>
          <w:bCs/>
          <w:color w:val="auto"/>
          <w:sz w:val="24"/>
          <w:szCs w:val="24"/>
          <w:highlight w:val="none"/>
        </w:rPr>
        <w:t>份，同级财政部门备案</w:t>
      </w:r>
      <w:r>
        <w:rPr>
          <w:rFonts w:hint="eastAsia" w:ascii="宋体" w:hAnsi="宋体" w:eastAsia="宋体" w:cs="宋体"/>
          <w:bCs/>
          <w:color w:val="auto"/>
          <w:sz w:val="24"/>
          <w:szCs w:val="24"/>
          <w:highlight w:val="none"/>
          <w:u w:val="single"/>
        </w:rPr>
        <w:t xml:space="preserve"> 壹 </w:t>
      </w:r>
      <w:r>
        <w:rPr>
          <w:rFonts w:hint="eastAsia" w:ascii="宋体" w:hAnsi="宋体" w:eastAsia="宋体" w:cs="宋体"/>
          <w:bCs/>
          <w:color w:val="auto"/>
          <w:sz w:val="24"/>
          <w:szCs w:val="24"/>
          <w:highlight w:val="none"/>
        </w:rPr>
        <w:t>份，具有同等法律效力。</w:t>
      </w:r>
    </w:p>
    <w:p w14:paraId="4F3ED531">
      <w:pPr>
        <w:keepLines w:val="0"/>
        <w:pageBreakBefore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十五、 附件</w:t>
      </w:r>
    </w:p>
    <w:p w14:paraId="4F803182">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1、招标文件</w:t>
      </w:r>
    </w:p>
    <w:p w14:paraId="546CE9DF">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2、修改澄清文件（若有）</w:t>
      </w:r>
    </w:p>
    <w:p w14:paraId="2A588E3F">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w:t>
      </w:r>
    </w:p>
    <w:p w14:paraId="464E25B8">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4、中标通知书</w:t>
      </w:r>
    </w:p>
    <w:p w14:paraId="13D85B31">
      <w:pPr>
        <w:pStyle w:val="3"/>
        <w:spacing w:line="360" w:lineRule="auto"/>
        <w:ind w:firstLine="480"/>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5、其他</w:t>
      </w:r>
    </w:p>
    <w:p w14:paraId="2167589E">
      <w:pPr>
        <w:pStyle w:val="3"/>
        <w:spacing w:line="360" w:lineRule="auto"/>
        <w:ind w:firstLine="480"/>
        <w:rPr>
          <w:rFonts w:hint="eastAsia" w:ascii="宋体" w:hAnsi="宋体" w:eastAsia="宋体" w:cs="宋体"/>
          <w:bCs/>
          <w:sz w:val="24"/>
          <w:highlight w:val="none"/>
          <w:lang w:val="en-US" w:eastAsia="zh-CN"/>
        </w:rPr>
      </w:pPr>
    </w:p>
    <w:p w14:paraId="209DB4BF">
      <w:pPr>
        <w:pStyle w:val="3"/>
        <w:spacing w:line="360" w:lineRule="auto"/>
        <w:ind w:left="0" w:leftChars="0" w:firstLine="0" w:firstLineChars="0"/>
        <w:rPr>
          <w:rFonts w:hint="eastAsia" w:ascii="宋体" w:hAnsi="宋体" w:eastAsia="宋体" w:cs="宋体"/>
          <w:bCs/>
          <w:sz w:val="24"/>
          <w:highlight w:val="none"/>
        </w:rPr>
      </w:pPr>
    </w:p>
    <w:p w14:paraId="5DF1BE1A">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甲方：   （盖章）   </w:t>
      </w:r>
      <w:r>
        <w:rPr>
          <w:rFonts w:hint="eastAsia" w:ascii="宋体" w:hAnsi="宋体" w:eastAsia="宋体" w:cs="宋体"/>
          <w:bCs/>
          <w:color w:val="auto"/>
          <w:sz w:val="24"/>
          <w:szCs w:val="24"/>
          <w:highlight w:val="none"/>
        </w:rPr>
        <w:tab/>
      </w:r>
      <w:r>
        <w:rPr>
          <w:rFonts w:hint="eastAsia" w:ascii="宋体" w:hAnsi="宋体" w:eastAsia="宋体" w:cs="宋体"/>
          <w:bCs/>
          <w:color w:val="auto"/>
          <w:sz w:val="24"/>
          <w:szCs w:val="24"/>
          <w:highlight w:val="none"/>
        </w:rPr>
        <w:tab/>
      </w:r>
      <w:r>
        <w:rPr>
          <w:rFonts w:hint="eastAsia" w:ascii="宋体" w:hAnsi="宋体" w:eastAsia="宋体" w:cs="宋体"/>
          <w:bCs/>
          <w:color w:val="auto"/>
          <w:sz w:val="24"/>
          <w:szCs w:val="24"/>
          <w:highlight w:val="none"/>
        </w:rPr>
        <w:tab/>
      </w:r>
      <w:r>
        <w:rPr>
          <w:rFonts w:hint="eastAsia" w:ascii="宋体" w:hAnsi="宋体" w:eastAsia="宋体" w:cs="宋体"/>
          <w:bCs/>
          <w:color w:val="auto"/>
          <w:sz w:val="24"/>
          <w:szCs w:val="24"/>
          <w:highlight w:val="none"/>
        </w:rPr>
        <w:t xml:space="preserve">        乙方：   （盖章）</w:t>
      </w:r>
    </w:p>
    <w:p w14:paraId="4742B479">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法定代表人（授权代表签字）：       法定代表人（授权代表签字）：</w:t>
      </w:r>
    </w:p>
    <w:p w14:paraId="1E45A61E">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    址：                         地    址：</w:t>
      </w:r>
    </w:p>
    <w:p w14:paraId="5CBBCA68">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开户银行：                         开户银行：</w:t>
      </w:r>
    </w:p>
    <w:p w14:paraId="6FCD98CF">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账号：                             账号：</w:t>
      </w:r>
    </w:p>
    <w:p w14:paraId="4105D682">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电    话：                         电    话：</w:t>
      </w:r>
    </w:p>
    <w:p w14:paraId="660E2A39">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传    真：                         传    真：</w:t>
      </w:r>
    </w:p>
    <w:p w14:paraId="5960F80A">
      <w:pPr>
        <w:pStyle w:val="3"/>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签约日期：   年   月   日 </w:t>
      </w:r>
      <w:r>
        <w:rPr>
          <w:rFonts w:hint="eastAsia" w:ascii="宋体" w:hAnsi="宋体" w:eastAsia="宋体" w:cs="宋体"/>
          <w:bCs/>
          <w:color w:val="auto"/>
          <w:sz w:val="24"/>
          <w:szCs w:val="24"/>
          <w:highlight w:val="none"/>
        </w:rPr>
        <w:tab/>
      </w:r>
      <w:r>
        <w:rPr>
          <w:rFonts w:hint="eastAsia" w:ascii="宋体" w:hAnsi="宋体" w:eastAsia="宋体" w:cs="宋体"/>
          <w:bCs/>
          <w:color w:val="auto"/>
          <w:sz w:val="24"/>
          <w:szCs w:val="24"/>
          <w:highlight w:val="none"/>
        </w:rPr>
        <w:tab/>
      </w:r>
      <w:r>
        <w:rPr>
          <w:rFonts w:hint="eastAsia" w:ascii="宋体" w:hAnsi="宋体" w:eastAsia="宋体" w:cs="宋体"/>
          <w:bCs/>
          <w:color w:val="auto"/>
          <w:sz w:val="24"/>
          <w:szCs w:val="24"/>
          <w:highlight w:val="none"/>
        </w:rPr>
        <w:tab/>
      </w:r>
      <w:r>
        <w:rPr>
          <w:rFonts w:hint="eastAsia" w:ascii="宋体" w:hAnsi="宋体" w:eastAsia="宋体" w:cs="宋体"/>
          <w:bCs/>
          <w:color w:val="auto"/>
          <w:sz w:val="24"/>
          <w:szCs w:val="24"/>
          <w:highlight w:val="none"/>
        </w:rPr>
        <w:t>签约日期：   年   月   日</w:t>
      </w:r>
    </w:p>
    <w:bookmarkEnd w:id="0"/>
    <w:p w14:paraId="3E594FB6">
      <w:pPr>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4"/>
          <w:highlight w:val="none"/>
        </w:rPr>
      </w:pPr>
    </w:p>
    <w:p w14:paraId="6611EBD5">
      <w:pPr>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4"/>
          <w:highlight w:val="none"/>
        </w:rPr>
      </w:pPr>
    </w:p>
    <w:p w14:paraId="48669003">
      <w:pPr>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（说明：合同主要条款仅列出重要条款，合同主要条款未尽事宜</w:t>
      </w:r>
      <w:r>
        <w:rPr>
          <w:rFonts w:hint="eastAsia" w:ascii="宋体" w:hAnsi="宋体" w:eastAsia="宋体" w:cs="宋体"/>
          <w:b/>
          <w:bCs/>
          <w:color w:val="auto"/>
          <w:sz w:val="24"/>
          <w:szCs w:val="24"/>
          <w:highlight w:val="none"/>
          <w:lang w:val="en-US" w:eastAsia="zh-CN"/>
        </w:rPr>
        <w:t>签约</w:t>
      </w:r>
      <w:r>
        <w:rPr>
          <w:rFonts w:hint="eastAsia" w:ascii="宋体" w:hAnsi="宋体" w:eastAsia="宋体" w:cs="宋体"/>
          <w:b/>
          <w:bCs/>
          <w:color w:val="auto"/>
          <w:sz w:val="24"/>
          <w:szCs w:val="24"/>
          <w:highlight w:val="none"/>
        </w:rPr>
        <w:t>后由甲乙双方商定订立</w:t>
      </w:r>
      <w:r>
        <w:rPr>
          <w:rFonts w:hint="eastAsia" w:ascii="宋体" w:hAnsi="宋体" w:eastAsia="宋体" w:cs="宋体"/>
          <w:b/>
          <w:bCs/>
          <w:color w:val="auto"/>
          <w:sz w:val="24"/>
          <w:szCs w:val="24"/>
          <w:highlight w:val="none"/>
          <w:lang w:val="en-US" w:eastAsia="zh-CN"/>
        </w:rPr>
        <w:t>补充协议</w:t>
      </w:r>
      <w:r>
        <w:rPr>
          <w:rFonts w:hint="eastAsia" w:ascii="宋体" w:hAnsi="宋体" w:eastAsia="宋体" w:cs="宋体"/>
          <w:b/>
          <w:bCs/>
          <w:color w:val="auto"/>
          <w:sz w:val="24"/>
          <w:szCs w:val="24"/>
          <w:highlight w:val="none"/>
        </w:rPr>
        <w:t>）</w:t>
      </w:r>
    </w:p>
    <w:p w14:paraId="68D2014D">
      <w:pPr>
        <w:rPr>
          <w:highlight w:val="none"/>
        </w:rPr>
      </w:pPr>
    </w:p>
    <w:p w14:paraId="41C817AA">
      <w:pPr>
        <w:rPr>
          <w:highlight w:val="none"/>
        </w:rPr>
      </w:pPr>
      <w:r>
        <w:rPr>
          <w:highlight w:val="none"/>
        </w:rPr>
        <w:br w:type="page"/>
      </w:r>
    </w:p>
    <w:p w14:paraId="0917CD14">
      <w:pPr>
        <w:adjustRightInd w:val="0"/>
        <w:snapToGrid w:val="0"/>
        <w:spacing w:line="56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附：</w:t>
      </w:r>
    </w:p>
    <w:p w14:paraId="490A6E3E">
      <w:pPr>
        <w:adjustRightInd w:val="0"/>
        <w:snapToGrid w:val="0"/>
        <w:spacing w:line="560" w:lineRule="exact"/>
        <w:jc w:val="center"/>
        <w:rPr>
          <w:rFonts w:hint="eastAsia" w:ascii="Times New Roman" w:hAnsi="Times New Roman" w:eastAsia="方正小标宋简体" w:cs="Times New Roman"/>
          <w:color w:val="auto"/>
          <w:sz w:val="44"/>
          <w:szCs w:val="44"/>
          <w:highlight w:val="none"/>
          <w:lang w:eastAsia="zh-CN"/>
        </w:rPr>
      </w:pPr>
      <w:r>
        <w:rPr>
          <w:rFonts w:hint="eastAsia" w:ascii="Times New Roman" w:hAnsi="Times New Roman" w:eastAsia="方正小标宋简体" w:cs="Times New Roman"/>
          <w:color w:val="auto"/>
          <w:sz w:val="44"/>
          <w:szCs w:val="44"/>
          <w:highlight w:val="none"/>
          <w:lang w:eastAsia="zh-CN"/>
        </w:rPr>
        <w:t>《</w:t>
      </w:r>
      <w:r>
        <w:rPr>
          <w:rFonts w:hint="eastAsia" w:ascii="Times New Roman" w:hAnsi="Times New Roman" w:eastAsia="方正小标宋简体" w:cs="Times New Roman"/>
          <w:color w:val="auto"/>
          <w:sz w:val="44"/>
          <w:szCs w:val="44"/>
          <w:highlight w:val="none"/>
        </w:rPr>
        <w:t>汉中市中心城区综合交通专项规划</w:t>
      </w:r>
      <w:r>
        <w:rPr>
          <w:rFonts w:hint="eastAsia" w:ascii="Times New Roman" w:hAnsi="Times New Roman" w:eastAsia="方正小标宋简体" w:cs="Times New Roman"/>
          <w:color w:val="auto"/>
          <w:sz w:val="44"/>
          <w:szCs w:val="44"/>
          <w:highlight w:val="none"/>
          <w:lang w:eastAsia="zh-CN"/>
        </w:rPr>
        <w:t>》</w:t>
      </w:r>
    </w:p>
    <w:p w14:paraId="70A8B354">
      <w:pPr>
        <w:adjustRightInd w:val="0"/>
        <w:snapToGrid w:val="0"/>
        <w:spacing w:line="560" w:lineRule="exact"/>
        <w:jc w:val="center"/>
        <w:rPr>
          <w:rFonts w:ascii="Times New Roman" w:hAnsi="Times New Roman" w:eastAsia="仿宋_GB2312" w:cs="Times New Roman"/>
          <w:color w:val="auto"/>
          <w:sz w:val="32"/>
          <w:szCs w:val="22"/>
          <w:highlight w:val="none"/>
        </w:rPr>
      </w:pPr>
      <w:r>
        <w:rPr>
          <w:rFonts w:hint="eastAsia" w:ascii="Times New Roman" w:hAnsi="Times New Roman" w:eastAsia="方正小标宋简体" w:cs="Times New Roman"/>
          <w:color w:val="auto"/>
          <w:sz w:val="44"/>
          <w:szCs w:val="44"/>
          <w:highlight w:val="none"/>
          <w:lang w:val="en-US" w:eastAsia="zh-CN"/>
        </w:rPr>
        <w:t>编制</w:t>
      </w:r>
      <w:r>
        <w:rPr>
          <w:rFonts w:ascii="Times New Roman" w:hAnsi="Times New Roman" w:eastAsia="方正小标宋简体" w:cs="Times New Roman"/>
          <w:color w:val="auto"/>
          <w:sz w:val="44"/>
          <w:szCs w:val="44"/>
          <w:highlight w:val="none"/>
        </w:rPr>
        <w:t>任务书</w:t>
      </w:r>
    </w:p>
    <w:p w14:paraId="71C7BADA">
      <w:pPr>
        <w:adjustRightInd w:val="0"/>
        <w:snapToGrid w:val="0"/>
        <w:spacing w:line="560" w:lineRule="exact"/>
        <w:rPr>
          <w:rFonts w:ascii="Times New Roman" w:hAnsi="Times New Roman" w:eastAsia="仿宋_GB2312" w:cs="Times New Roman"/>
          <w:color w:val="auto"/>
          <w:sz w:val="32"/>
          <w:szCs w:val="22"/>
          <w:highlight w:val="none"/>
        </w:rPr>
      </w:pPr>
    </w:p>
    <w:p w14:paraId="5CA6724F">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黑体" w:cs="Times New Roman"/>
          <w:color w:val="auto"/>
          <w:sz w:val="32"/>
          <w:szCs w:val="22"/>
          <w:highlight w:val="none"/>
        </w:rPr>
      </w:pPr>
      <w:r>
        <w:rPr>
          <w:rFonts w:ascii="Times New Roman" w:hAnsi="Times New Roman" w:eastAsia="黑体" w:cs="Times New Roman"/>
          <w:color w:val="auto"/>
          <w:sz w:val="32"/>
          <w:szCs w:val="22"/>
          <w:highlight w:val="none"/>
        </w:rPr>
        <w:t>一、规划背景</w:t>
      </w:r>
    </w:p>
    <w:p w14:paraId="4EAE7035">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hint="eastAsia" w:ascii="仿宋_GB2312" w:hAnsi="Times New Roman" w:eastAsia="仿宋_GB2312" w:cs="Times New Roman"/>
          <w:strike w:val="0"/>
          <w:dstrike w:val="0"/>
          <w:color w:val="auto"/>
          <w:sz w:val="32"/>
          <w:szCs w:val="32"/>
          <w:highlight w:val="none"/>
        </w:rPr>
      </w:pPr>
      <w:r>
        <w:rPr>
          <w:rFonts w:hint="eastAsia" w:ascii="仿宋_GB2312" w:hAnsi="Times New Roman" w:eastAsia="仿宋_GB2312" w:cs="Times New Roman"/>
          <w:strike w:val="0"/>
          <w:dstrike w:val="0"/>
          <w:color w:val="auto"/>
          <w:sz w:val="32"/>
          <w:szCs w:val="32"/>
          <w:highlight w:val="none"/>
          <w:lang w:val="en-US" w:eastAsia="zh-CN"/>
        </w:rPr>
        <w:t>为深入贯彻生态城市战略目标，落实国家、省级层面</w:t>
      </w:r>
      <w:r>
        <w:rPr>
          <w:rFonts w:hint="eastAsia" w:ascii="仿宋_GB2312" w:hAnsi="Times New Roman" w:eastAsia="仿宋_GB2312" w:cs="Times New Roman"/>
          <w:strike w:val="0"/>
          <w:dstrike w:val="0"/>
          <w:color w:val="auto"/>
          <w:sz w:val="32"/>
          <w:szCs w:val="32"/>
          <w:highlight w:val="none"/>
        </w:rPr>
        <w:t>关于城市综合交通体系建设</w:t>
      </w:r>
      <w:r>
        <w:rPr>
          <w:rFonts w:hint="eastAsia" w:ascii="仿宋_GB2312" w:hAnsi="Times New Roman" w:eastAsia="仿宋_GB2312" w:cs="Times New Roman"/>
          <w:strike w:val="0"/>
          <w:dstrike w:val="0"/>
          <w:color w:val="auto"/>
          <w:sz w:val="32"/>
          <w:szCs w:val="32"/>
          <w:highlight w:val="none"/>
          <w:lang w:val="en-US" w:eastAsia="zh-CN"/>
        </w:rPr>
        <w:t>的部署</w:t>
      </w:r>
      <w:r>
        <w:rPr>
          <w:rFonts w:hint="eastAsia" w:ascii="仿宋_GB2312" w:hAnsi="Times New Roman" w:eastAsia="仿宋_GB2312" w:cs="Times New Roman"/>
          <w:strike w:val="0"/>
          <w:dstrike w:val="0"/>
          <w:color w:val="auto"/>
          <w:sz w:val="32"/>
          <w:szCs w:val="32"/>
          <w:highlight w:val="none"/>
        </w:rPr>
        <w:t>要求，</w:t>
      </w:r>
      <w:r>
        <w:rPr>
          <w:rFonts w:hint="eastAsia" w:ascii="仿宋_GB2312" w:eastAsia="仿宋_GB2312" w:cs="Times New Roman"/>
          <w:strike w:val="0"/>
          <w:dstrike w:val="0"/>
          <w:color w:val="auto"/>
          <w:sz w:val="32"/>
          <w:szCs w:val="32"/>
          <w:highlight w:val="none"/>
          <w:lang w:val="en-US" w:eastAsia="zh-CN"/>
        </w:rPr>
        <w:t>传导</w:t>
      </w:r>
      <w:r>
        <w:rPr>
          <w:rFonts w:hint="eastAsia" w:ascii="仿宋_GB2312" w:hAnsi="仿宋" w:eastAsia="仿宋_GB2312" w:cs="仿宋"/>
          <w:color w:val="auto"/>
          <w:sz w:val="32"/>
          <w:szCs w:val="32"/>
          <w:highlight w:val="none"/>
        </w:rPr>
        <w:t>《汉中市国土空间总体规划（2021-2035年）》规划要求</w:t>
      </w:r>
      <w:r>
        <w:rPr>
          <w:rFonts w:hint="eastAsia" w:ascii="仿宋_GB2312" w:eastAsia="仿宋_GB2312" w:cs="Times New Roman"/>
          <w:strike w:val="0"/>
          <w:dstrike w:val="0"/>
          <w:color w:val="auto"/>
          <w:sz w:val="32"/>
          <w:szCs w:val="32"/>
          <w:highlight w:val="none"/>
          <w:lang w:val="en-US" w:eastAsia="zh-CN"/>
        </w:rPr>
        <w:t>，</w:t>
      </w:r>
      <w:r>
        <w:rPr>
          <w:rFonts w:hint="eastAsia" w:ascii="仿宋_GB2312" w:hAnsi="Times New Roman" w:eastAsia="仿宋_GB2312" w:cs="Times New Roman"/>
          <w:strike w:val="0"/>
          <w:dstrike w:val="0"/>
          <w:color w:val="auto"/>
          <w:sz w:val="32"/>
          <w:szCs w:val="32"/>
          <w:highlight w:val="none"/>
        </w:rPr>
        <w:t>系统谋划新时期汉中市</w:t>
      </w:r>
      <w:r>
        <w:rPr>
          <w:rFonts w:hint="eastAsia" w:ascii="仿宋_GB2312" w:hAnsi="Times New Roman" w:eastAsia="仿宋_GB2312" w:cs="Times New Roman"/>
          <w:strike w:val="0"/>
          <w:dstrike w:val="0"/>
          <w:color w:val="auto"/>
          <w:sz w:val="32"/>
          <w:szCs w:val="32"/>
          <w:highlight w:val="none"/>
          <w:lang w:val="en-US" w:eastAsia="zh-CN"/>
        </w:rPr>
        <w:t>中心城区</w:t>
      </w:r>
      <w:r>
        <w:rPr>
          <w:rFonts w:hint="eastAsia" w:ascii="仿宋_GB2312" w:hAnsi="Times New Roman" w:eastAsia="仿宋_GB2312" w:cs="Times New Roman"/>
          <w:strike w:val="0"/>
          <w:dstrike w:val="0"/>
          <w:color w:val="auto"/>
          <w:sz w:val="32"/>
          <w:szCs w:val="32"/>
          <w:highlight w:val="none"/>
        </w:rPr>
        <w:t>综合交通</w:t>
      </w:r>
      <w:r>
        <w:rPr>
          <w:rFonts w:hint="eastAsia" w:ascii="仿宋_GB2312" w:hAnsi="Times New Roman" w:eastAsia="仿宋_GB2312" w:cs="Times New Roman"/>
          <w:strike w:val="0"/>
          <w:dstrike w:val="0"/>
          <w:color w:val="auto"/>
          <w:sz w:val="32"/>
          <w:szCs w:val="32"/>
          <w:highlight w:val="none"/>
          <w:lang w:val="en-US" w:eastAsia="zh-CN"/>
        </w:rPr>
        <w:t>发展</w:t>
      </w:r>
      <w:r>
        <w:rPr>
          <w:rFonts w:hint="eastAsia" w:ascii="仿宋_GB2312" w:hAnsi="Times New Roman" w:eastAsia="仿宋_GB2312" w:cs="Times New Roman"/>
          <w:strike w:val="0"/>
          <w:dstrike w:val="0"/>
          <w:color w:val="auto"/>
          <w:sz w:val="32"/>
          <w:szCs w:val="32"/>
          <w:highlight w:val="none"/>
        </w:rPr>
        <w:t>，</w:t>
      </w:r>
      <w:r>
        <w:rPr>
          <w:rFonts w:hint="eastAsia" w:ascii="仿宋_GB2312" w:eastAsia="仿宋_GB2312" w:cs="Times New Roman"/>
          <w:strike w:val="0"/>
          <w:dstrike w:val="0"/>
          <w:color w:val="auto"/>
          <w:sz w:val="32"/>
          <w:szCs w:val="32"/>
          <w:highlight w:val="none"/>
          <w:lang w:val="en-US" w:eastAsia="zh-CN"/>
        </w:rPr>
        <w:t>特</w:t>
      </w:r>
      <w:r>
        <w:rPr>
          <w:rFonts w:hint="eastAsia" w:ascii="仿宋_GB2312" w:hAnsi="Times New Roman" w:eastAsia="仿宋_GB2312" w:cs="Times New Roman"/>
          <w:strike w:val="0"/>
          <w:dstrike w:val="0"/>
          <w:color w:val="auto"/>
          <w:sz w:val="32"/>
          <w:szCs w:val="32"/>
          <w:highlight w:val="none"/>
          <w:lang w:val="en-US" w:eastAsia="zh-CN"/>
        </w:rPr>
        <w:t>编制本</w:t>
      </w:r>
      <w:r>
        <w:rPr>
          <w:rFonts w:hint="eastAsia" w:ascii="仿宋_GB2312" w:hAnsi="Times New Roman" w:eastAsia="仿宋_GB2312" w:cs="Times New Roman"/>
          <w:strike w:val="0"/>
          <w:dstrike w:val="0"/>
          <w:color w:val="auto"/>
          <w:sz w:val="32"/>
          <w:szCs w:val="32"/>
          <w:highlight w:val="none"/>
        </w:rPr>
        <w:t>专项规划</w:t>
      </w:r>
      <w:r>
        <w:rPr>
          <w:rFonts w:hint="eastAsia" w:ascii="仿宋_GB2312" w:hAnsi="Times New Roman" w:eastAsia="仿宋_GB2312" w:cs="Times New Roman"/>
          <w:strike w:val="0"/>
          <w:dstrike w:val="0"/>
          <w:color w:val="auto"/>
          <w:sz w:val="32"/>
          <w:szCs w:val="32"/>
          <w:highlight w:val="none"/>
          <w:lang w:val="en-US" w:eastAsia="zh-CN"/>
        </w:rPr>
        <w:t>。通过开展综合</w:t>
      </w:r>
      <w:r>
        <w:rPr>
          <w:rFonts w:hint="eastAsia" w:ascii="仿宋_GB2312" w:hAnsi="Times New Roman" w:eastAsia="仿宋_GB2312" w:cs="Times New Roman"/>
          <w:strike w:val="0"/>
          <w:dstrike w:val="0"/>
          <w:color w:val="auto"/>
          <w:sz w:val="32"/>
          <w:szCs w:val="32"/>
          <w:highlight w:val="none"/>
        </w:rPr>
        <w:t>交通调查</w:t>
      </w:r>
      <w:r>
        <w:rPr>
          <w:rFonts w:hint="eastAsia" w:ascii="仿宋_GB2312" w:eastAsia="仿宋_GB2312" w:cs="Times New Roman"/>
          <w:strike w:val="0"/>
          <w:dstrike w:val="0"/>
          <w:color w:val="auto"/>
          <w:sz w:val="32"/>
          <w:szCs w:val="32"/>
          <w:highlight w:val="none"/>
          <w:lang w:eastAsia="zh-CN"/>
        </w:rPr>
        <w:t>、</w:t>
      </w:r>
      <w:r>
        <w:rPr>
          <w:rFonts w:hint="eastAsia" w:ascii="仿宋_GB2312" w:hAnsi="Times New Roman" w:eastAsia="仿宋_GB2312" w:cs="Times New Roman"/>
          <w:strike w:val="0"/>
          <w:dstrike w:val="0"/>
          <w:color w:val="auto"/>
          <w:sz w:val="32"/>
          <w:szCs w:val="32"/>
          <w:highlight w:val="none"/>
        </w:rPr>
        <w:t>交通需求分析，</w:t>
      </w:r>
      <w:r>
        <w:rPr>
          <w:rFonts w:hint="eastAsia" w:ascii="仿宋_GB2312" w:eastAsia="仿宋_GB2312" w:cs="Times New Roman"/>
          <w:strike w:val="0"/>
          <w:dstrike w:val="0"/>
          <w:color w:val="auto"/>
          <w:sz w:val="32"/>
          <w:szCs w:val="32"/>
          <w:highlight w:val="none"/>
          <w:lang w:val="en-US" w:eastAsia="zh-CN"/>
        </w:rPr>
        <w:t>科学</w:t>
      </w:r>
      <w:r>
        <w:rPr>
          <w:rFonts w:hint="eastAsia" w:ascii="仿宋_GB2312" w:hAnsi="Times New Roman" w:eastAsia="仿宋_GB2312" w:cs="Times New Roman"/>
          <w:strike w:val="0"/>
          <w:dstrike w:val="0"/>
          <w:color w:val="auto"/>
          <w:sz w:val="32"/>
          <w:szCs w:val="32"/>
          <w:highlight w:val="none"/>
        </w:rPr>
        <w:t>研判城市交通的发展趋势，合理制定综合交通体系规划方案</w:t>
      </w:r>
      <w:r>
        <w:rPr>
          <w:rFonts w:hint="eastAsia" w:ascii="仿宋_GB2312" w:hAnsi="Times New Roman" w:eastAsia="仿宋_GB2312" w:cs="Times New Roman"/>
          <w:strike w:val="0"/>
          <w:dstrike w:val="0"/>
          <w:color w:val="auto"/>
          <w:sz w:val="32"/>
          <w:szCs w:val="32"/>
          <w:highlight w:val="none"/>
          <w:lang w:eastAsia="zh-CN"/>
        </w:rPr>
        <w:t>，</w:t>
      </w:r>
      <w:r>
        <w:rPr>
          <w:rFonts w:hint="eastAsia" w:ascii="仿宋_GB2312" w:hAnsi="Times New Roman" w:eastAsia="仿宋_GB2312" w:cs="Times New Roman"/>
          <w:strike w:val="0"/>
          <w:dstrike w:val="0"/>
          <w:color w:val="auto"/>
          <w:sz w:val="32"/>
          <w:szCs w:val="32"/>
          <w:highlight w:val="none"/>
        </w:rPr>
        <w:t>为构建绿色、高效、</w:t>
      </w:r>
      <w:r>
        <w:rPr>
          <w:rFonts w:hint="eastAsia" w:ascii="仿宋_GB2312" w:hAnsi="Times New Roman" w:eastAsia="仿宋_GB2312" w:cs="Times New Roman"/>
          <w:strike w:val="0"/>
          <w:dstrike w:val="0"/>
          <w:color w:val="auto"/>
          <w:sz w:val="32"/>
          <w:szCs w:val="32"/>
          <w:highlight w:val="none"/>
          <w:lang w:val="en-US" w:eastAsia="zh-CN"/>
        </w:rPr>
        <w:t>便捷、可持续</w:t>
      </w:r>
      <w:r>
        <w:rPr>
          <w:rFonts w:hint="eastAsia" w:ascii="仿宋_GB2312" w:hAnsi="Times New Roman" w:eastAsia="仿宋_GB2312" w:cs="Times New Roman"/>
          <w:strike w:val="0"/>
          <w:dstrike w:val="0"/>
          <w:color w:val="auto"/>
          <w:sz w:val="32"/>
          <w:szCs w:val="32"/>
          <w:highlight w:val="none"/>
        </w:rPr>
        <w:t>的</w:t>
      </w:r>
      <w:r>
        <w:rPr>
          <w:rFonts w:hint="eastAsia" w:ascii="仿宋_GB2312" w:hAnsi="Times New Roman" w:eastAsia="仿宋_GB2312" w:cs="Times New Roman"/>
          <w:strike w:val="0"/>
          <w:dstrike w:val="0"/>
          <w:color w:val="auto"/>
          <w:sz w:val="32"/>
          <w:szCs w:val="32"/>
          <w:highlight w:val="none"/>
          <w:lang w:val="en-US" w:eastAsia="zh-CN"/>
        </w:rPr>
        <w:t>中心城区综合</w:t>
      </w:r>
      <w:r>
        <w:rPr>
          <w:rFonts w:hint="eastAsia" w:ascii="仿宋_GB2312" w:hAnsi="Times New Roman" w:eastAsia="仿宋_GB2312" w:cs="Times New Roman"/>
          <w:strike w:val="0"/>
          <w:dstrike w:val="0"/>
          <w:color w:val="auto"/>
          <w:sz w:val="32"/>
          <w:szCs w:val="32"/>
          <w:highlight w:val="none"/>
        </w:rPr>
        <w:t>交通体系提供科学指引和实施依据。</w:t>
      </w:r>
    </w:p>
    <w:p w14:paraId="5DED3C32">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黑体" w:cs="Times New Roman"/>
          <w:color w:val="auto"/>
          <w:sz w:val="32"/>
          <w:szCs w:val="22"/>
          <w:highlight w:val="none"/>
        </w:rPr>
      </w:pPr>
      <w:r>
        <w:rPr>
          <w:rFonts w:hint="eastAsia" w:eastAsia="黑体" w:cs="Times New Roman"/>
          <w:color w:val="auto"/>
          <w:sz w:val="32"/>
          <w:szCs w:val="22"/>
          <w:highlight w:val="none"/>
          <w:lang w:val="en-US" w:eastAsia="zh-CN"/>
        </w:rPr>
        <w:t>二</w:t>
      </w:r>
      <w:r>
        <w:rPr>
          <w:rFonts w:ascii="Times New Roman" w:hAnsi="Times New Roman" w:eastAsia="黑体" w:cs="Times New Roman"/>
          <w:color w:val="auto"/>
          <w:sz w:val="32"/>
          <w:szCs w:val="22"/>
          <w:highlight w:val="none"/>
        </w:rPr>
        <w:t>、规划范围</w:t>
      </w:r>
    </w:p>
    <w:p w14:paraId="1775271B">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仿宋_GB2312" w:hAnsi="Times New Roman" w:eastAsia="仿宋_GB2312" w:cs="Times New Roman"/>
          <w:color w:val="auto"/>
          <w:sz w:val="32"/>
          <w:szCs w:val="22"/>
          <w:highlight w:val="none"/>
        </w:rPr>
      </w:pPr>
      <w:r>
        <w:rPr>
          <w:rFonts w:hint="eastAsia" w:ascii="仿宋_GB2312" w:hAnsi="Times New Roman" w:eastAsia="仿宋_GB2312" w:cs="Times New Roman"/>
          <w:color w:val="auto"/>
          <w:sz w:val="32"/>
          <w:szCs w:val="22"/>
          <w:highlight w:val="none"/>
        </w:rPr>
        <w:t>规划范围：汉中市国土空间总体规划确定的中心城区，规划的城镇开发边界面积约161.42平方公里。</w:t>
      </w:r>
    </w:p>
    <w:p w14:paraId="03DDE6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color w:val="auto"/>
          <w:sz w:val="32"/>
          <w:szCs w:val="22"/>
          <w:highlight w:val="none"/>
        </w:rPr>
      </w:pPr>
      <w:r>
        <w:rPr>
          <w:rFonts w:hint="eastAsia" w:eastAsia="黑体" w:cs="Times New Roman"/>
          <w:color w:val="auto"/>
          <w:sz w:val="32"/>
          <w:szCs w:val="22"/>
          <w:highlight w:val="none"/>
          <w:lang w:val="en-US" w:eastAsia="zh-CN"/>
        </w:rPr>
        <w:t>三</w:t>
      </w:r>
      <w:r>
        <w:rPr>
          <w:rFonts w:ascii="Times New Roman" w:hAnsi="Times New Roman" w:eastAsia="黑体" w:cs="Times New Roman"/>
          <w:color w:val="auto"/>
          <w:sz w:val="32"/>
          <w:szCs w:val="22"/>
          <w:highlight w:val="none"/>
        </w:rPr>
        <w:t>、规划</w:t>
      </w:r>
      <w:r>
        <w:rPr>
          <w:rFonts w:hint="eastAsia" w:eastAsia="黑体" w:cs="Times New Roman"/>
          <w:color w:val="auto"/>
          <w:sz w:val="32"/>
          <w:szCs w:val="22"/>
          <w:highlight w:val="none"/>
          <w:lang w:val="en-US" w:eastAsia="zh-CN"/>
        </w:rPr>
        <w:t>主要</w:t>
      </w:r>
      <w:r>
        <w:rPr>
          <w:rFonts w:ascii="Times New Roman" w:hAnsi="Times New Roman" w:eastAsia="黑体" w:cs="Times New Roman"/>
          <w:color w:val="auto"/>
          <w:sz w:val="32"/>
          <w:szCs w:val="22"/>
          <w:highlight w:val="none"/>
        </w:rPr>
        <w:t>内容</w:t>
      </w:r>
    </w:p>
    <w:p w14:paraId="23533730">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规划必须</w:t>
      </w:r>
      <w:r>
        <w:rPr>
          <w:rFonts w:hint="eastAsia" w:ascii="仿宋_GB2312" w:hAnsi="Times New Roman" w:eastAsia="仿宋_GB2312" w:cs="Times New Roman"/>
          <w:color w:val="auto"/>
          <w:sz w:val="32"/>
          <w:szCs w:val="32"/>
          <w:highlight w:val="none"/>
        </w:rPr>
        <w:t>符合</w:t>
      </w:r>
      <w:r>
        <w:rPr>
          <w:rFonts w:hint="eastAsia" w:ascii="仿宋_GB2312" w:hAnsi="仿宋" w:eastAsia="仿宋_GB2312" w:cs="Times New Roman"/>
          <w:color w:val="auto"/>
          <w:sz w:val="32"/>
          <w:szCs w:val="32"/>
          <w:highlight w:val="none"/>
        </w:rPr>
        <w:t>现行国家、省、市有关</w:t>
      </w:r>
      <w:r>
        <w:rPr>
          <w:rFonts w:hint="eastAsia" w:ascii="仿宋_GB2312" w:hAnsi="仿宋" w:eastAsia="仿宋_GB2312" w:cs="Times New Roman"/>
          <w:color w:val="auto"/>
          <w:sz w:val="32"/>
          <w:szCs w:val="32"/>
          <w:highlight w:val="none"/>
          <w:lang w:val="en-US" w:eastAsia="zh-CN"/>
        </w:rPr>
        <w:t>中心城区</w:t>
      </w:r>
      <w:r>
        <w:rPr>
          <w:rFonts w:hint="eastAsia" w:ascii="仿宋_GB2312" w:hAnsi="仿宋" w:eastAsia="仿宋_GB2312" w:cs="仿宋"/>
          <w:color w:val="auto"/>
          <w:sz w:val="32"/>
          <w:szCs w:val="32"/>
          <w:highlight w:val="none"/>
          <w:lang w:eastAsia="zh-CN"/>
        </w:rPr>
        <w:t>综合交通规划</w:t>
      </w:r>
      <w:r>
        <w:rPr>
          <w:rFonts w:hint="eastAsia" w:ascii="仿宋_GB2312" w:hAnsi="仿宋" w:eastAsia="仿宋_GB2312" w:cs="仿宋"/>
          <w:color w:val="auto"/>
          <w:sz w:val="32"/>
          <w:szCs w:val="32"/>
          <w:highlight w:val="none"/>
          <w:lang w:val="en-US" w:eastAsia="zh-CN"/>
        </w:rPr>
        <w:t>的相关</w:t>
      </w:r>
      <w:r>
        <w:rPr>
          <w:rFonts w:hint="eastAsia" w:ascii="仿宋_GB2312" w:hAnsi="仿宋" w:eastAsia="仿宋_GB2312" w:cs="Times New Roman"/>
          <w:color w:val="auto"/>
          <w:sz w:val="32"/>
          <w:szCs w:val="32"/>
          <w:highlight w:val="none"/>
        </w:rPr>
        <w:t>规范和技术规定，</w:t>
      </w:r>
      <w:r>
        <w:rPr>
          <w:rFonts w:hint="eastAsia" w:ascii="仿宋_GB2312" w:hAnsi="Times New Roman" w:eastAsia="仿宋_GB2312" w:cs="Times New Roman"/>
          <w:color w:val="auto"/>
          <w:sz w:val="32"/>
          <w:szCs w:val="32"/>
          <w:highlight w:val="none"/>
        </w:rPr>
        <w:t>在</w:t>
      </w:r>
      <w:r>
        <w:rPr>
          <w:rFonts w:hint="eastAsia" w:ascii="仿宋_GB2312" w:hAnsi="Times New Roman" w:eastAsia="仿宋_GB2312" w:cs="Times New Roman"/>
          <w:color w:val="auto"/>
          <w:sz w:val="32"/>
          <w:szCs w:val="32"/>
          <w:highlight w:val="none"/>
          <w:lang w:val="en-US" w:eastAsia="zh-CN"/>
        </w:rPr>
        <w:t>综合</w:t>
      </w:r>
      <w:r>
        <w:rPr>
          <w:rFonts w:hint="eastAsia" w:ascii="仿宋_GB2312" w:hAnsi="Times New Roman" w:eastAsia="仿宋_GB2312" w:cs="Times New Roman"/>
          <w:color w:val="auto"/>
          <w:sz w:val="32"/>
          <w:szCs w:val="32"/>
          <w:highlight w:val="none"/>
        </w:rPr>
        <w:t>交通调查的基础上，分析城市交通需求，科学研判城市交通的发展趋势，合理制定城市综合交通体系规划方案</w:t>
      </w:r>
      <w:r>
        <w:rPr>
          <w:rFonts w:hint="eastAsia" w:ascii="仿宋_GB2312" w:hAnsi="Times New Roman" w:eastAsia="仿宋_GB2312" w:cs="Times New Roman"/>
          <w:color w:val="auto"/>
          <w:sz w:val="32"/>
          <w:szCs w:val="32"/>
          <w:highlight w:val="none"/>
          <w:lang w:eastAsia="zh-CN"/>
        </w:rPr>
        <w:t>。</w:t>
      </w:r>
    </w:p>
    <w:p w14:paraId="2A75FF1E">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 w:hAnsi="楷体" w:eastAsia="楷体" w:cs="仿宋"/>
          <w:color w:val="auto"/>
          <w:sz w:val="32"/>
          <w:szCs w:val="32"/>
          <w:highlight w:val="none"/>
        </w:rPr>
      </w:pPr>
      <w:r>
        <w:rPr>
          <w:rFonts w:hint="eastAsia" w:ascii="楷体" w:hAnsi="楷体" w:eastAsia="楷体" w:cs="仿宋"/>
          <w:color w:val="auto"/>
          <w:sz w:val="32"/>
          <w:szCs w:val="32"/>
          <w:highlight w:val="none"/>
        </w:rPr>
        <w:t>（一）交通调查与发展趋势分析</w:t>
      </w:r>
    </w:p>
    <w:p w14:paraId="5DB24DDE">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在现状交通调查分析的基础上，评估</w:t>
      </w:r>
      <w:r>
        <w:rPr>
          <w:rFonts w:hint="eastAsia" w:ascii="仿宋_GB2312" w:hAnsi="黑体" w:eastAsia="仿宋_GB2312" w:cs="仿宋"/>
          <w:color w:val="auto"/>
          <w:sz w:val="32"/>
          <w:szCs w:val="32"/>
          <w:highlight w:val="none"/>
          <w:lang w:val="en-US" w:eastAsia="zh-CN"/>
        </w:rPr>
        <w:t>中心城区</w:t>
      </w:r>
      <w:r>
        <w:rPr>
          <w:rFonts w:hint="eastAsia" w:ascii="仿宋_GB2312" w:hAnsi="黑体" w:eastAsia="仿宋_GB2312" w:cs="仿宋"/>
          <w:color w:val="auto"/>
          <w:sz w:val="32"/>
          <w:szCs w:val="32"/>
          <w:highlight w:val="none"/>
        </w:rPr>
        <w:t>交通现状，分析交通存在的问题，构建交通战略分析模型，综合分析</w:t>
      </w:r>
      <w:r>
        <w:rPr>
          <w:rFonts w:hint="eastAsia" w:ascii="仿宋_GB2312" w:hAnsi="黑体" w:eastAsia="仿宋_GB2312" w:cs="仿宋"/>
          <w:color w:val="auto"/>
          <w:sz w:val="32"/>
          <w:szCs w:val="32"/>
          <w:highlight w:val="none"/>
          <w:lang w:val="en-US" w:eastAsia="zh-CN"/>
        </w:rPr>
        <w:t>城市</w:t>
      </w:r>
      <w:r>
        <w:rPr>
          <w:rFonts w:hint="eastAsia" w:ascii="仿宋_GB2312" w:hAnsi="黑体" w:eastAsia="仿宋_GB2312" w:cs="仿宋"/>
          <w:color w:val="auto"/>
          <w:sz w:val="32"/>
          <w:szCs w:val="32"/>
          <w:highlight w:val="none"/>
        </w:rPr>
        <w:t>发展规划和空间发展形态，将交通系统与</w:t>
      </w:r>
      <w:r>
        <w:rPr>
          <w:rFonts w:hint="eastAsia" w:ascii="仿宋_GB2312" w:hAnsi="黑体" w:eastAsia="仿宋_GB2312" w:cs="仿宋"/>
          <w:color w:val="auto"/>
          <w:sz w:val="32"/>
          <w:szCs w:val="32"/>
          <w:highlight w:val="none"/>
          <w:lang w:val="en-US" w:eastAsia="zh-CN"/>
        </w:rPr>
        <w:t>城市</w:t>
      </w:r>
      <w:r>
        <w:rPr>
          <w:rFonts w:hint="eastAsia" w:ascii="仿宋_GB2312" w:hAnsi="黑体" w:eastAsia="仿宋_GB2312" w:cs="仿宋"/>
          <w:color w:val="auto"/>
          <w:sz w:val="32"/>
          <w:szCs w:val="32"/>
          <w:highlight w:val="none"/>
        </w:rPr>
        <w:t>发展进行综合考虑，形成城市与交通协调发展的城市发展模式，</w:t>
      </w:r>
      <w:bookmarkStart w:id="1" w:name="OLE_LINK4"/>
      <w:r>
        <w:rPr>
          <w:rFonts w:hint="eastAsia" w:ascii="仿宋_GB2312" w:hAnsi="黑体" w:eastAsia="仿宋_GB2312" w:cs="仿宋"/>
          <w:color w:val="auto"/>
          <w:sz w:val="32"/>
          <w:szCs w:val="32"/>
          <w:highlight w:val="none"/>
        </w:rPr>
        <w:t>评估综合交通系统布局对中心城区空间布局的支撑关系以及综合交通各组成部分的协调关系,提出优化应对措施</w:t>
      </w:r>
      <w:r>
        <w:rPr>
          <w:rFonts w:hint="eastAsia" w:ascii="仿宋_GB2312" w:hAnsi="黑体" w:eastAsia="仿宋_GB2312" w:cs="仿宋"/>
          <w:color w:val="auto"/>
          <w:sz w:val="32"/>
          <w:szCs w:val="32"/>
          <w:highlight w:val="none"/>
          <w:lang w:eastAsia="zh-CN"/>
        </w:rPr>
        <w:t>，</w:t>
      </w:r>
      <w:bookmarkEnd w:id="1"/>
      <w:r>
        <w:rPr>
          <w:rFonts w:hint="eastAsia" w:ascii="仿宋_GB2312" w:hAnsi="黑体" w:eastAsia="仿宋_GB2312" w:cs="仿宋"/>
          <w:color w:val="auto"/>
          <w:sz w:val="32"/>
          <w:szCs w:val="32"/>
          <w:highlight w:val="none"/>
        </w:rPr>
        <w:t>为制定合理的交通发展战略目标提供依据。</w:t>
      </w:r>
    </w:p>
    <w:p w14:paraId="6ACD3EBD">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（二）交通需求分析</w:t>
      </w:r>
    </w:p>
    <w:p w14:paraId="5652E32E">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依据汉中市社会经济发展目标、国土空间总体规划及相关发展规划，利用现状资料和调查数据，采用定性与定量相结合的手法，建立交通需求分析模型，分析交通发展趋势</w:t>
      </w:r>
      <w:r>
        <w:rPr>
          <w:rFonts w:hint="eastAsia" w:ascii="仿宋_GB2312" w:hAnsi="黑体" w:eastAsia="仿宋_GB2312" w:cs="仿宋"/>
          <w:color w:val="auto"/>
          <w:sz w:val="32"/>
          <w:szCs w:val="32"/>
          <w:highlight w:val="none"/>
          <w:lang w:val="en-US" w:eastAsia="zh-CN"/>
        </w:rPr>
        <w:t>及客货运输</w:t>
      </w:r>
      <w:r>
        <w:rPr>
          <w:rFonts w:hint="eastAsia" w:ascii="仿宋_GB2312" w:hAnsi="黑体" w:eastAsia="仿宋_GB2312" w:cs="仿宋"/>
          <w:color w:val="auto"/>
          <w:sz w:val="32"/>
          <w:szCs w:val="32"/>
          <w:highlight w:val="none"/>
        </w:rPr>
        <w:t>需求，判别城市交通出行及分布特征。</w:t>
      </w:r>
    </w:p>
    <w:p w14:paraId="7BF83760">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 w:hAnsi="楷体" w:eastAsia="楷体" w:cs="仿宋"/>
          <w:color w:val="auto"/>
          <w:sz w:val="32"/>
          <w:szCs w:val="32"/>
          <w:highlight w:val="none"/>
        </w:rPr>
      </w:pPr>
      <w:r>
        <w:rPr>
          <w:rFonts w:hint="eastAsia" w:ascii="楷体_GB2312" w:hAnsi="楷体" w:eastAsia="楷体_GB2312" w:cs="仿宋"/>
          <w:color w:val="auto"/>
          <w:sz w:val="32"/>
          <w:szCs w:val="32"/>
          <w:highlight w:val="none"/>
        </w:rPr>
        <w:t>（三）综合交通发展战略研究</w:t>
      </w:r>
    </w:p>
    <w:p w14:paraId="0D9F8167">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针对综合交通系统存在的主要问题及未来的发展趋势，结合汉中市社会经济和城市发展战略等，提出综合交通体系总体发展目标</w:t>
      </w:r>
      <w:r>
        <w:rPr>
          <w:rFonts w:hint="eastAsia" w:ascii="仿宋_GB2312" w:hAnsi="黑体" w:eastAsia="仿宋_GB2312" w:cs="仿宋"/>
          <w:color w:val="auto"/>
          <w:sz w:val="32"/>
          <w:szCs w:val="32"/>
          <w:highlight w:val="none"/>
          <w:lang w:val="en-US" w:eastAsia="zh-CN"/>
        </w:rPr>
        <w:t>与规划指标</w:t>
      </w:r>
      <w:r>
        <w:rPr>
          <w:rFonts w:hint="eastAsia" w:ascii="仿宋_GB2312" w:hAnsi="黑体" w:eastAsia="仿宋_GB2312" w:cs="仿宋"/>
          <w:color w:val="auto"/>
          <w:sz w:val="32"/>
          <w:szCs w:val="32"/>
          <w:highlight w:val="none"/>
        </w:rPr>
        <w:t>，通过对城市发展目标、宏观交通政策、交通设施建设、交通系统运行和管理等多方面在战略层面的分析和整合，</w:t>
      </w:r>
      <w:r>
        <w:rPr>
          <w:rFonts w:hint="eastAsia" w:ascii="仿宋_GB2312" w:hAnsi="黑体" w:eastAsia="仿宋_GB2312" w:cs="仿宋"/>
          <w:color w:val="auto"/>
          <w:sz w:val="32"/>
          <w:szCs w:val="32"/>
          <w:highlight w:val="none"/>
          <w:lang w:val="en-US" w:eastAsia="zh-CN"/>
        </w:rPr>
        <w:t>结合中心城区功能布局和详细规划单元，制定差异化交通发展策略。</w:t>
      </w:r>
    </w:p>
    <w:p w14:paraId="23D75A2D">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 w:hAnsi="楷体" w:eastAsia="楷体" w:cs="仿宋"/>
          <w:color w:val="auto"/>
          <w:sz w:val="32"/>
          <w:szCs w:val="32"/>
          <w:highlight w:val="none"/>
        </w:rPr>
      </w:pPr>
      <w:r>
        <w:rPr>
          <w:rFonts w:hint="eastAsia" w:ascii="楷体_GB2312" w:hAnsi="楷体" w:eastAsia="楷体_GB2312" w:cs="仿宋"/>
          <w:color w:val="auto"/>
          <w:sz w:val="32"/>
          <w:szCs w:val="32"/>
          <w:highlight w:val="none"/>
        </w:rPr>
        <w:t>（四）综合交通体系组织</w:t>
      </w:r>
    </w:p>
    <w:p w14:paraId="2123CC73">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根据综合交通体系总体发展目标和交通资源配置策略，统筹综合交通体系功能组织，</w:t>
      </w:r>
      <w:r>
        <w:rPr>
          <w:rFonts w:hint="eastAsia" w:ascii="仿宋_GB2312" w:hAnsi="黑体" w:eastAsia="仿宋_GB2312" w:cs="仿宋"/>
          <w:color w:val="auto"/>
          <w:sz w:val="32"/>
          <w:szCs w:val="32"/>
          <w:highlight w:val="none"/>
          <w:lang w:val="en-US" w:eastAsia="zh-CN"/>
        </w:rPr>
        <w:t>提出中心城区道路、公交、步行和非机动车、停车、智慧交通、低空交通等设施系统布局要求以及与市县域综合交通体系的衔接要求。</w:t>
      </w:r>
      <w:r>
        <w:rPr>
          <w:rFonts w:hint="eastAsia" w:ascii="仿宋_GB2312" w:hAnsi="黑体" w:eastAsia="仿宋_GB2312" w:cs="仿宋"/>
          <w:color w:val="auto"/>
          <w:sz w:val="32"/>
          <w:szCs w:val="32"/>
          <w:highlight w:val="none"/>
        </w:rPr>
        <w:t>研究对外交通系统构成、客货运交通分布、公共交通系统构成和功能等级、城市道路干路网组成和功能等级、步行及自行车交通组织模式、城市停车设施的供给策略和总体布局原则、交通信息化建设</w:t>
      </w:r>
      <w:r>
        <w:rPr>
          <w:rFonts w:hint="eastAsia" w:ascii="仿宋_GB2312" w:hAnsi="黑体" w:eastAsia="仿宋_GB2312" w:cs="仿宋"/>
          <w:color w:val="auto"/>
          <w:sz w:val="32"/>
          <w:szCs w:val="32"/>
          <w:highlight w:val="none"/>
          <w:lang w:val="en-US" w:eastAsia="zh-CN"/>
        </w:rPr>
        <w:t>与</w:t>
      </w:r>
      <w:r>
        <w:rPr>
          <w:rFonts w:hint="eastAsia" w:ascii="仿宋_GB2312" w:hAnsi="黑体" w:eastAsia="仿宋_GB2312" w:cs="仿宋"/>
          <w:color w:val="auto"/>
          <w:sz w:val="32"/>
          <w:szCs w:val="32"/>
          <w:highlight w:val="none"/>
        </w:rPr>
        <w:t>交通管理的基本策略等内容，明确综合交通各子系统功能定位与规划布局原则及要求。</w:t>
      </w:r>
    </w:p>
    <w:p w14:paraId="5091837A">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 w:hAnsi="楷体" w:eastAsia="楷体" w:cs="仿宋"/>
          <w:b/>
          <w:color w:val="auto"/>
          <w:sz w:val="32"/>
          <w:szCs w:val="32"/>
          <w:highlight w:val="none"/>
        </w:rPr>
      </w:pPr>
      <w:r>
        <w:rPr>
          <w:rFonts w:hint="eastAsia" w:ascii="楷体_GB2312" w:hAnsi="楷体" w:eastAsia="楷体_GB2312" w:cs="仿宋"/>
          <w:color w:val="auto"/>
          <w:sz w:val="32"/>
          <w:szCs w:val="32"/>
          <w:highlight w:val="none"/>
        </w:rPr>
        <w:t>（五）对外交通系统规划</w:t>
      </w:r>
    </w:p>
    <w:p w14:paraId="4144F146">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在城市交通发展战略指导下，进一步结合区域交通设施专项规划和土地利用布局，研究中心城区对外交通系统网络和区域交通场站设施的布局，主要内容包括：公路、铁路和航空的规划布局、功能定位、设施等级规模、集疏运通道、快速交通集散系统等。</w:t>
      </w:r>
    </w:p>
    <w:p w14:paraId="216023A1">
      <w:pPr>
        <w:keepNext w:val="0"/>
        <w:keepLines w:val="0"/>
        <w:pageBreakBefore w:val="0"/>
        <w:widowControl w:val="0"/>
        <w:kinsoku/>
        <w:wordWrap/>
        <w:overflowPunct/>
        <w:topLinePunct w:val="0"/>
        <w:autoSpaceDE/>
        <w:autoSpaceDN/>
        <w:bidi w:val="0"/>
        <w:adjustRightInd w:val="0"/>
        <w:snapToGrid w:val="0"/>
        <w:spacing w:line="560" w:lineRule="exact"/>
        <w:ind w:left="643"/>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（六）道路系统规划</w:t>
      </w:r>
    </w:p>
    <w:p w14:paraId="12BB0639">
      <w:pPr>
        <w:keepNext w:val="0"/>
        <w:keepLines w:val="0"/>
        <w:pageBreakBefore w:val="0"/>
        <w:widowControl w:val="0"/>
        <w:kinsoku/>
        <w:wordWrap/>
        <w:overflowPunct/>
        <w:topLinePunct w:val="0"/>
        <w:autoSpaceDE/>
        <w:autoSpaceDN/>
        <w:bidi w:val="0"/>
        <w:adjustRightInd w:val="0"/>
        <w:snapToGrid w:val="0"/>
        <w:spacing w:line="560" w:lineRule="exact"/>
        <w:ind w:firstLine="562"/>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22"/>
          <w:highlight w:val="none"/>
        </w:rPr>
        <w:t>在现状道路系统分析的基础上，结合城市交通发展趋势，对既有规划道路系统方案进行分析和评价，提出城市道路网络规划目标、策略，合理规划城市道路功能、等级和布局，并进一步提出道路交通组织规划和道路交通设施规划。主要内容包括：既有规划路网评价、道路网规划原则及目标、道路网络规划布局、各级道路红线宽度指标和典型道路断面形式、道路交通组织规划、道路交通设施规划和规划路网评价。</w:t>
      </w:r>
    </w:p>
    <w:p w14:paraId="28FC09A1">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 w:hAnsi="楷体" w:eastAsia="楷体" w:cs="仿宋"/>
          <w:b/>
          <w:color w:val="auto"/>
          <w:sz w:val="32"/>
          <w:szCs w:val="32"/>
          <w:highlight w:val="none"/>
        </w:rPr>
      </w:pPr>
      <w:r>
        <w:rPr>
          <w:rFonts w:hint="eastAsia" w:ascii="楷体_GB2312" w:hAnsi="楷体" w:eastAsia="楷体_GB2312" w:cs="仿宋"/>
          <w:color w:val="auto"/>
          <w:sz w:val="32"/>
          <w:szCs w:val="32"/>
          <w:highlight w:val="none"/>
        </w:rPr>
        <w:t>（七）公共交通系统规划</w:t>
      </w:r>
    </w:p>
    <w:p w14:paraId="6C8966C9">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在城市公共交通系统现状分析的基础上，结合城市交通发展趋势，提出</w:t>
      </w:r>
      <w:r>
        <w:rPr>
          <w:rFonts w:hint="eastAsia" w:ascii="仿宋_GB2312" w:hAnsi="黑体" w:eastAsia="仿宋_GB2312" w:cs="仿宋"/>
          <w:color w:val="auto"/>
          <w:sz w:val="32"/>
          <w:szCs w:val="32"/>
          <w:highlight w:val="none"/>
          <w:lang w:val="en-US" w:eastAsia="zh-CN"/>
        </w:rPr>
        <w:t>中心城区</w:t>
      </w:r>
      <w:r>
        <w:rPr>
          <w:rFonts w:hint="eastAsia" w:ascii="仿宋_GB2312" w:hAnsi="黑体" w:eastAsia="仿宋_GB2312" w:cs="仿宋"/>
          <w:color w:val="auto"/>
          <w:sz w:val="32"/>
          <w:szCs w:val="32"/>
          <w:highlight w:val="none"/>
        </w:rPr>
        <w:t>公共交通发展策略和目标，确定公共交通系统构成与功能定位；在交通需求分析的基础上，通过公共交通走廊识别，确定各层次公共交通设施网络布局模式。主要内容包括：公共交通发展目标和策略、公共交通系统构架与功能定位、公共交通走廊规划、公共交通场站设施布局规划、港湾式公交站点的设置原则及规划建议等。</w:t>
      </w:r>
    </w:p>
    <w:p w14:paraId="69C258EF">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w:t>
      </w:r>
      <w:r>
        <w:rPr>
          <w:rFonts w:hint="eastAsia" w:ascii="楷体_GB2312" w:hAnsi="楷体" w:eastAsia="楷体_GB2312" w:cs="仿宋"/>
          <w:color w:val="auto"/>
          <w:sz w:val="32"/>
          <w:szCs w:val="32"/>
          <w:highlight w:val="none"/>
          <w:lang w:val="en-US" w:eastAsia="zh-CN"/>
        </w:rPr>
        <w:t>八</w:t>
      </w:r>
      <w:r>
        <w:rPr>
          <w:rFonts w:hint="eastAsia" w:ascii="楷体_GB2312" w:hAnsi="楷体" w:eastAsia="楷体_GB2312" w:cs="仿宋"/>
          <w:color w:val="auto"/>
          <w:sz w:val="32"/>
          <w:szCs w:val="32"/>
          <w:highlight w:val="none"/>
        </w:rPr>
        <w:t>）慢行交通系统规划</w:t>
      </w:r>
    </w:p>
    <w:p w14:paraId="61540960">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在城市综合交通发展战略指导下，研究提出慢行交通发展策略，合理规划步行与非机动车网络布局，结合城市道路系统规划和城市更新行动的实施，提出慢行交通系统设施规划标准和主要节点的慢行设施规划建议。</w:t>
      </w:r>
    </w:p>
    <w:p w14:paraId="78F35D5B">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w:t>
      </w:r>
      <w:r>
        <w:rPr>
          <w:rFonts w:hint="eastAsia" w:ascii="楷体_GB2312" w:hAnsi="楷体" w:eastAsia="楷体_GB2312" w:cs="仿宋"/>
          <w:color w:val="auto"/>
          <w:sz w:val="32"/>
          <w:szCs w:val="32"/>
          <w:highlight w:val="none"/>
          <w:lang w:val="en-US" w:eastAsia="zh-CN"/>
        </w:rPr>
        <w:t>九</w:t>
      </w:r>
      <w:r>
        <w:rPr>
          <w:rFonts w:hint="eastAsia" w:ascii="楷体_GB2312" w:hAnsi="楷体" w:eastAsia="楷体_GB2312" w:cs="仿宋"/>
          <w:color w:val="auto"/>
          <w:sz w:val="32"/>
          <w:szCs w:val="32"/>
          <w:highlight w:val="none"/>
        </w:rPr>
        <w:t>）客运交通枢纽规划</w:t>
      </w:r>
    </w:p>
    <w:p w14:paraId="226BF2AF">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在城市客运交通现状分析的基础上，统筹考虑各系统规划内容，论证客运交通走廊，确定大运量公共客运系统的组成和总体布局，提出城市客运交通枢纽等级和功能层次划分，确定客运交通枢纽布局规划方案，并提出客运交通枢纽用地控制建议。主要内容包括：客运交通枢纽功能层次划分、客运交通枢纽布局等。</w:t>
      </w:r>
    </w:p>
    <w:p w14:paraId="2A8BB92C">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（十）货运交通系统规划</w:t>
      </w:r>
    </w:p>
    <w:p w14:paraId="7CF5CE00">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在城市货运交通现状分析的基础上，结合汉中市货运及物流发展趋势和货运交通需求分析，合理规划货运交通系统，论证货运交通走廊，确定城市货运通道、货运枢纽和场站的规划布局等内容，确定</w:t>
      </w:r>
      <w:r>
        <w:rPr>
          <w:rFonts w:hint="eastAsia" w:ascii="仿宋_GB2312" w:hAnsi="黑体" w:eastAsia="仿宋_GB2312" w:cs="仿宋"/>
          <w:color w:val="auto"/>
          <w:sz w:val="32"/>
          <w:szCs w:val="32"/>
          <w:highlight w:val="none"/>
          <w:lang w:val="en-US" w:eastAsia="zh-CN"/>
        </w:rPr>
        <w:t>中心城区</w:t>
      </w:r>
      <w:r>
        <w:rPr>
          <w:rFonts w:hint="eastAsia" w:ascii="仿宋_GB2312" w:hAnsi="黑体" w:eastAsia="仿宋_GB2312" w:cs="仿宋"/>
          <w:color w:val="auto"/>
          <w:sz w:val="32"/>
          <w:szCs w:val="32"/>
          <w:highlight w:val="none"/>
        </w:rPr>
        <w:t>货运道路网络和管理对策</w:t>
      </w:r>
    </w:p>
    <w:p w14:paraId="0E6D943D">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（十</w:t>
      </w:r>
      <w:r>
        <w:rPr>
          <w:rFonts w:hint="eastAsia" w:ascii="楷体_GB2312" w:hAnsi="楷体" w:eastAsia="楷体_GB2312" w:cs="仿宋"/>
          <w:color w:val="auto"/>
          <w:sz w:val="32"/>
          <w:szCs w:val="32"/>
          <w:highlight w:val="none"/>
          <w:lang w:val="en-US" w:eastAsia="zh-CN"/>
        </w:rPr>
        <w:t>一</w:t>
      </w:r>
      <w:r>
        <w:rPr>
          <w:rFonts w:hint="eastAsia" w:ascii="楷体_GB2312" w:hAnsi="楷体" w:eastAsia="楷体_GB2312" w:cs="仿宋"/>
          <w:color w:val="auto"/>
          <w:sz w:val="32"/>
          <w:szCs w:val="32"/>
          <w:highlight w:val="none"/>
        </w:rPr>
        <w:t>）交通信息化与智能交通发展规划</w:t>
      </w:r>
    </w:p>
    <w:p w14:paraId="344BDDFB">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 w:hAnsi="楷体" w:eastAsia="楷体" w:cs="仿宋"/>
          <w:b/>
          <w:color w:val="auto"/>
          <w:sz w:val="32"/>
          <w:szCs w:val="32"/>
          <w:highlight w:val="none"/>
        </w:rPr>
      </w:pPr>
      <w:r>
        <w:rPr>
          <w:rFonts w:hint="eastAsia" w:ascii="仿宋_GB2312" w:hAnsi="黑体" w:eastAsia="仿宋_GB2312" w:cs="仿宋"/>
          <w:color w:val="auto"/>
          <w:sz w:val="32"/>
          <w:szCs w:val="32"/>
          <w:highlight w:val="none"/>
        </w:rPr>
        <w:t>在</w:t>
      </w:r>
      <w:r>
        <w:rPr>
          <w:rFonts w:hint="eastAsia" w:ascii="仿宋_GB2312" w:hAnsi="黑体" w:eastAsia="仿宋_GB2312" w:cs="仿宋"/>
          <w:color w:val="auto"/>
          <w:sz w:val="32"/>
          <w:szCs w:val="32"/>
          <w:highlight w:val="none"/>
          <w:lang w:val="en-US" w:eastAsia="zh-CN"/>
        </w:rPr>
        <w:t>城市</w:t>
      </w:r>
      <w:r>
        <w:rPr>
          <w:rFonts w:hint="eastAsia" w:ascii="仿宋_GB2312" w:hAnsi="黑体" w:eastAsia="仿宋_GB2312" w:cs="仿宋"/>
          <w:color w:val="auto"/>
          <w:sz w:val="32"/>
          <w:szCs w:val="32"/>
          <w:highlight w:val="none"/>
        </w:rPr>
        <w:t>交通信息化建设和智能交通发展现状分析的基础上，合理制定交通信息化和智能交通系统的发展模式、系统框架、发展策略和基础设施规划和建设方案，提出交通信息共享机制和共享信息类别。</w:t>
      </w:r>
    </w:p>
    <w:p w14:paraId="26BB4DA4">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（十</w:t>
      </w:r>
      <w:r>
        <w:rPr>
          <w:rFonts w:hint="eastAsia" w:ascii="楷体_GB2312" w:hAnsi="楷体" w:eastAsia="楷体_GB2312" w:cs="仿宋"/>
          <w:color w:val="auto"/>
          <w:sz w:val="32"/>
          <w:szCs w:val="32"/>
          <w:highlight w:val="none"/>
          <w:lang w:val="en-US" w:eastAsia="zh-CN"/>
        </w:rPr>
        <w:t>二</w:t>
      </w:r>
      <w:r>
        <w:rPr>
          <w:rFonts w:hint="eastAsia" w:ascii="楷体_GB2312" w:hAnsi="楷体" w:eastAsia="楷体_GB2312" w:cs="仿宋"/>
          <w:color w:val="auto"/>
          <w:sz w:val="32"/>
          <w:szCs w:val="32"/>
          <w:highlight w:val="none"/>
        </w:rPr>
        <w:t>）交通近期建设规划</w:t>
      </w:r>
    </w:p>
    <w:p w14:paraId="4786DD1C">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明确中心城区交通重点项目清单和近期建设要求，提出近期交通发展政策与措施、近期城市交通系统规划方案，确定近期建设的交通项目和建设时序</w:t>
      </w:r>
      <w:r>
        <w:rPr>
          <w:rFonts w:hint="eastAsia" w:ascii="仿宋_GB2312" w:hAnsi="黑体" w:eastAsia="仿宋_GB2312" w:cs="仿宋"/>
          <w:color w:val="auto"/>
          <w:sz w:val="32"/>
          <w:szCs w:val="32"/>
          <w:highlight w:val="none"/>
          <w:lang w:eastAsia="zh-CN"/>
        </w:rPr>
        <w:t>，</w:t>
      </w:r>
      <w:r>
        <w:rPr>
          <w:rFonts w:hint="eastAsia" w:ascii="仿宋_GB2312" w:hAnsi="黑体" w:eastAsia="仿宋_GB2312" w:cs="仿宋"/>
          <w:color w:val="auto"/>
          <w:sz w:val="32"/>
          <w:szCs w:val="32"/>
          <w:highlight w:val="none"/>
        </w:rPr>
        <w:t>提出节约集约用地要求和空间管控引导措施。</w:t>
      </w:r>
    </w:p>
    <w:p w14:paraId="19CA97A6">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（十</w:t>
      </w:r>
      <w:r>
        <w:rPr>
          <w:rFonts w:hint="eastAsia" w:ascii="楷体_GB2312" w:hAnsi="楷体" w:eastAsia="楷体_GB2312" w:cs="仿宋"/>
          <w:color w:val="auto"/>
          <w:sz w:val="32"/>
          <w:szCs w:val="32"/>
          <w:highlight w:val="none"/>
          <w:lang w:val="en-US" w:eastAsia="zh-CN"/>
        </w:rPr>
        <w:t>三</w:t>
      </w:r>
      <w:r>
        <w:rPr>
          <w:rFonts w:hint="eastAsia" w:ascii="楷体_GB2312" w:hAnsi="楷体" w:eastAsia="楷体_GB2312" w:cs="仿宋"/>
          <w:color w:val="auto"/>
          <w:sz w:val="32"/>
          <w:szCs w:val="32"/>
          <w:highlight w:val="none"/>
        </w:rPr>
        <w:t>）规划实施保障措施</w:t>
      </w:r>
    </w:p>
    <w:p w14:paraId="11309EAA">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在城市交通发展政策的指导下，结合汉中市社会经济发展以及城市发展的需要，从多方面提出综合交通规划实施的保障措施和相关建议。</w:t>
      </w:r>
    </w:p>
    <w:p w14:paraId="39F20605">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lang w:val="en-US" w:eastAsia="zh-CN"/>
        </w:rPr>
      </w:pPr>
      <w:bookmarkStart w:id="2" w:name="OLE_LINK3"/>
      <w:r>
        <w:rPr>
          <w:rFonts w:hint="eastAsia" w:ascii="楷体_GB2312" w:hAnsi="楷体" w:eastAsia="楷体_GB2312" w:cs="仿宋"/>
          <w:color w:val="auto"/>
          <w:sz w:val="32"/>
          <w:szCs w:val="32"/>
          <w:highlight w:val="none"/>
        </w:rPr>
        <w:t>（十</w:t>
      </w:r>
      <w:r>
        <w:rPr>
          <w:rFonts w:hint="eastAsia" w:ascii="楷体_GB2312" w:hAnsi="楷体" w:eastAsia="楷体_GB2312" w:cs="仿宋"/>
          <w:color w:val="auto"/>
          <w:sz w:val="32"/>
          <w:szCs w:val="32"/>
          <w:highlight w:val="none"/>
          <w:lang w:val="en-US" w:eastAsia="zh-CN"/>
        </w:rPr>
        <w:t>四</w:t>
      </w:r>
      <w:r>
        <w:rPr>
          <w:rFonts w:hint="eastAsia" w:ascii="楷体_GB2312" w:hAnsi="楷体" w:eastAsia="楷体_GB2312" w:cs="仿宋"/>
          <w:color w:val="auto"/>
          <w:sz w:val="32"/>
          <w:szCs w:val="32"/>
          <w:highlight w:val="none"/>
        </w:rPr>
        <w:t>）</w:t>
      </w:r>
      <w:r>
        <w:rPr>
          <w:rFonts w:hint="eastAsia" w:ascii="楷体_GB2312" w:hAnsi="楷体" w:eastAsia="楷体_GB2312" w:cs="仿宋"/>
          <w:color w:val="auto"/>
          <w:sz w:val="32"/>
          <w:szCs w:val="32"/>
          <w:highlight w:val="none"/>
          <w:lang w:val="en-US" w:eastAsia="zh-CN"/>
        </w:rPr>
        <w:t>环境影响评价篇章</w:t>
      </w:r>
    </w:p>
    <w:p w14:paraId="209DBAEA">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仿宋_GB2312" w:hAnsi="黑体" w:eastAsia="仿宋_GB2312" w:cs="仿宋"/>
          <w:color w:val="auto"/>
          <w:sz w:val="32"/>
          <w:szCs w:val="32"/>
          <w:highlight w:val="none"/>
          <w:lang w:val="en-US" w:eastAsia="zh-CN"/>
        </w:rPr>
      </w:pPr>
      <w:r>
        <w:rPr>
          <w:rFonts w:hint="default" w:ascii="仿宋_GB2312" w:hAnsi="黑体" w:eastAsia="仿宋_GB2312" w:cs="仿宋"/>
          <w:color w:val="auto"/>
          <w:sz w:val="32"/>
          <w:szCs w:val="32"/>
          <w:highlight w:val="none"/>
          <w:lang w:val="en-US" w:eastAsia="zh-CN"/>
        </w:rPr>
        <w:t>提出规划实施的环境污染控制目标以及对生态环境、声环境、空气环境和水环境等保护措施。</w:t>
      </w:r>
    </w:p>
    <w:p w14:paraId="7E94C8BE">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（十</w:t>
      </w:r>
      <w:r>
        <w:rPr>
          <w:rFonts w:hint="eastAsia" w:ascii="楷体_GB2312" w:hAnsi="楷体" w:eastAsia="楷体_GB2312" w:cs="仿宋"/>
          <w:color w:val="auto"/>
          <w:sz w:val="32"/>
          <w:szCs w:val="32"/>
          <w:highlight w:val="none"/>
          <w:lang w:val="en-US" w:eastAsia="zh-CN"/>
        </w:rPr>
        <w:t>五</w:t>
      </w:r>
      <w:r>
        <w:rPr>
          <w:rFonts w:hint="eastAsia" w:ascii="楷体_GB2312" w:hAnsi="楷体" w:eastAsia="楷体_GB2312" w:cs="仿宋"/>
          <w:color w:val="auto"/>
          <w:sz w:val="32"/>
          <w:szCs w:val="32"/>
          <w:highlight w:val="none"/>
        </w:rPr>
        <w:t>）专题</w:t>
      </w:r>
      <w:r>
        <w:rPr>
          <w:rFonts w:ascii="楷体_GB2312" w:hAnsi="楷体" w:eastAsia="楷体_GB2312" w:cs="仿宋"/>
          <w:color w:val="auto"/>
          <w:sz w:val="32"/>
          <w:szCs w:val="32"/>
          <w:highlight w:val="none"/>
        </w:rPr>
        <w:t>1</w:t>
      </w:r>
      <w:r>
        <w:rPr>
          <w:rFonts w:hint="eastAsia" w:ascii="楷体_GB2312" w:hAnsi="楷体" w:eastAsia="楷体_GB2312" w:cs="仿宋"/>
          <w:color w:val="auto"/>
          <w:sz w:val="32"/>
          <w:szCs w:val="32"/>
          <w:highlight w:val="none"/>
        </w:rPr>
        <w:t>：</w:t>
      </w:r>
      <w:r>
        <w:rPr>
          <w:rFonts w:hint="eastAsia" w:ascii="楷体_GB2312" w:hAnsi="楷体" w:eastAsia="楷体_GB2312" w:cs="仿宋"/>
          <w:color w:val="auto"/>
          <w:sz w:val="32"/>
          <w:szCs w:val="32"/>
          <w:highlight w:val="none"/>
          <w:lang w:val="en-US" w:eastAsia="zh-CN"/>
        </w:rPr>
        <w:t>中心城区</w:t>
      </w:r>
      <w:r>
        <w:rPr>
          <w:rFonts w:hint="eastAsia" w:ascii="楷体_GB2312" w:hAnsi="楷体" w:eastAsia="楷体_GB2312" w:cs="仿宋"/>
          <w:color w:val="auto"/>
          <w:sz w:val="32"/>
          <w:szCs w:val="32"/>
          <w:highlight w:val="none"/>
        </w:rPr>
        <w:t>综合交通</w:t>
      </w:r>
      <w:r>
        <w:rPr>
          <w:rFonts w:hint="eastAsia" w:ascii="楷体_GB2312" w:hAnsi="楷体" w:eastAsia="楷体_GB2312" w:cs="仿宋"/>
          <w:color w:val="auto"/>
          <w:sz w:val="32"/>
          <w:szCs w:val="32"/>
          <w:highlight w:val="none"/>
          <w:lang w:val="en-US" w:eastAsia="zh-CN"/>
        </w:rPr>
        <w:t>规划</w:t>
      </w:r>
      <w:r>
        <w:rPr>
          <w:rFonts w:hint="eastAsia" w:ascii="楷体_GB2312" w:hAnsi="楷体" w:eastAsia="楷体_GB2312" w:cs="仿宋"/>
          <w:color w:val="auto"/>
          <w:sz w:val="32"/>
          <w:szCs w:val="32"/>
          <w:highlight w:val="none"/>
        </w:rPr>
        <w:t>调查</w:t>
      </w:r>
      <w:r>
        <w:rPr>
          <w:rFonts w:hint="eastAsia" w:ascii="楷体_GB2312" w:hAnsi="楷体" w:eastAsia="楷体_GB2312" w:cs="仿宋"/>
          <w:color w:val="auto"/>
          <w:sz w:val="32"/>
          <w:szCs w:val="32"/>
          <w:highlight w:val="none"/>
          <w:lang w:val="en-US" w:eastAsia="zh-CN"/>
        </w:rPr>
        <w:t>与需求预测</w:t>
      </w:r>
      <w:r>
        <w:rPr>
          <w:rFonts w:hint="eastAsia" w:ascii="楷体_GB2312" w:hAnsi="楷体" w:eastAsia="楷体_GB2312" w:cs="仿宋"/>
          <w:color w:val="auto"/>
          <w:sz w:val="32"/>
          <w:szCs w:val="32"/>
          <w:highlight w:val="none"/>
        </w:rPr>
        <w:t>报告</w:t>
      </w:r>
    </w:p>
    <w:bookmarkEnd w:id="2"/>
    <w:p w14:paraId="7AE90F3C">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color w:val="auto"/>
          <w:sz w:val="32"/>
          <w:szCs w:val="32"/>
          <w:highlight w:val="none"/>
        </w:rPr>
        <w:t>开展交通需求、设施、运行、管理等相关调查，全面掌握汉中市现状城市概况、经济与产业、空间结构与土地利用、交通需求特征、交通供给及交通运行等基本情况，分析交通存在的关键问题及其症结，评价城市交通与经济、资源、环境、城市建设的协调关系，形成综合交通</w:t>
      </w:r>
      <w:r>
        <w:rPr>
          <w:rFonts w:hint="eastAsia" w:ascii="仿宋_GB2312" w:hAnsi="黑体" w:eastAsia="仿宋_GB2312" w:cs="仿宋"/>
          <w:color w:val="auto"/>
          <w:sz w:val="32"/>
          <w:szCs w:val="32"/>
          <w:highlight w:val="none"/>
          <w:lang w:val="en-US" w:eastAsia="zh-CN"/>
        </w:rPr>
        <w:t>规划</w:t>
      </w:r>
      <w:r>
        <w:rPr>
          <w:rFonts w:hint="eastAsia" w:ascii="仿宋_GB2312" w:hAnsi="黑体" w:eastAsia="仿宋_GB2312" w:cs="仿宋"/>
          <w:color w:val="auto"/>
          <w:sz w:val="32"/>
          <w:szCs w:val="32"/>
          <w:highlight w:val="none"/>
        </w:rPr>
        <w:t>调查</w:t>
      </w:r>
      <w:r>
        <w:rPr>
          <w:rFonts w:hint="eastAsia" w:ascii="仿宋_GB2312" w:hAnsi="黑体" w:eastAsia="仿宋_GB2312" w:cs="仿宋"/>
          <w:color w:val="auto"/>
          <w:sz w:val="32"/>
          <w:szCs w:val="32"/>
          <w:highlight w:val="none"/>
          <w:lang w:val="en-US" w:eastAsia="zh-CN"/>
        </w:rPr>
        <w:t>与需求预测</w:t>
      </w:r>
      <w:r>
        <w:rPr>
          <w:rFonts w:hint="eastAsia" w:ascii="仿宋_GB2312" w:hAnsi="黑体" w:eastAsia="仿宋_GB2312" w:cs="仿宋"/>
          <w:color w:val="auto"/>
          <w:sz w:val="32"/>
          <w:szCs w:val="32"/>
          <w:highlight w:val="none"/>
        </w:rPr>
        <w:t>报告。</w:t>
      </w:r>
    </w:p>
    <w:p w14:paraId="672A0A3A">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（十</w:t>
      </w:r>
      <w:r>
        <w:rPr>
          <w:rFonts w:hint="eastAsia" w:ascii="楷体_GB2312" w:hAnsi="楷体" w:eastAsia="楷体_GB2312" w:cs="仿宋"/>
          <w:color w:val="auto"/>
          <w:sz w:val="32"/>
          <w:szCs w:val="32"/>
          <w:highlight w:val="none"/>
          <w:lang w:val="en-US" w:eastAsia="zh-CN"/>
        </w:rPr>
        <w:t>六</w:t>
      </w:r>
      <w:r>
        <w:rPr>
          <w:rFonts w:hint="eastAsia" w:ascii="楷体_GB2312" w:hAnsi="楷体" w:eastAsia="楷体_GB2312" w:cs="仿宋"/>
          <w:color w:val="auto"/>
          <w:sz w:val="32"/>
          <w:szCs w:val="32"/>
          <w:highlight w:val="none"/>
        </w:rPr>
        <w:t>）专题</w:t>
      </w:r>
      <w:r>
        <w:rPr>
          <w:rFonts w:hint="eastAsia" w:ascii="楷体_GB2312" w:hAnsi="楷体" w:eastAsia="楷体_GB2312" w:cs="仿宋"/>
          <w:color w:val="auto"/>
          <w:sz w:val="32"/>
          <w:szCs w:val="32"/>
          <w:highlight w:val="none"/>
          <w:lang w:val="en-US" w:eastAsia="zh-CN"/>
        </w:rPr>
        <w:t>2</w:t>
      </w:r>
      <w:r>
        <w:rPr>
          <w:rFonts w:hint="eastAsia" w:ascii="楷体_GB2312" w:hAnsi="楷体" w:eastAsia="楷体_GB2312" w:cs="仿宋"/>
          <w:color w:val="auto"/>
          <w:sz w:val="32"/>
          <w:szCs w:val="32"/>
          <w:highlight w:val="none"/>
        </w:rPr>
        <w:t>：</w:t>
      </w:r>
      <w:r>
        <w:rPr>
          <w:rFonts w:hint="eastAsia" w:ascii="楷体_GB2312" w:hAnsi="楷体" w:eastAsia="楷体_GB2312" w:cs="仿宋"/>
          <w:color w:val="auto"/>
          <w:sz w:val="32"/>
          <w:szCs w:val="32"/>
          <w:highlight w:val="none"/>
          <w:lang w:val="en-US" w:eastAsia="zh-CN"/>
        </w:rPr>
        <w:t>中心城区</w:t>
      </w:r>
      <w:r>
        <w:rPr>
          <w:rFonts w:hint="eastAsia" w:ascii="楷体_GB2312" w:hAnsi="楷体" w:eastAsia="楷体_GB2312" w:cs="仿宋"/>
          <w:color w:val="auto"/>
          <w:sz w:val="32"/>
          <w:szCs w:val="32"/>
          <w:highlight w:val="none"/>
        </w:rPr>
        <w:t>交通重点区域研究</w:t>
      </w:r>
    </w:p>
    <w:p w14:paraId="2C9A5A07">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结合规划编制，进一步针对</w:t>
      </w:r>
      <w:r>
        <w:rPr>
          <w:rFonts w:hint="eastAsia" w:ascii="仿宋_GB2312" w:hAnsi="仿宋_GB2312" w:eastAsia="仿宋_GB2312" w:cs="仿宋_GB2312"/>
          <w:color w:val="auto"/>
          <w:sz w:val="32"/>
          <w:szCs w:val="32"/>
          <w:highlight w:val="none"/>
          <w:lang w:val="en-US" w:eastAsia="zh-CN"/>
        </w:rPr>
        <w:t>中心城区</w:t>
      </w:r>
      <w:r>
        <w:rPr>
          <w:rFonts w:hint="eastAsia" w:ascii="仿宋_GB2312" w:hAnsi="仿宋_GB2312" w:eastAsia="仿宋_GB2312" w:cs="仿宋_GB2312"/>
          <w:color w:val="auto"/>
          <w:sz w:val="32"/>
          <w:szCs w:val="32"/>
          <w:highlight w:val="none"/>
        </w:rPr>
        <w:t>区域交通发展的热点问题，如老城区道路畅通工程、桥北广场改造及交通组织、跨江交通等重点区域与重点问题进行专题研究。</w:t>
      </w:r>
    </w:p>
    <w:p w14:paraId="14F4FDFE">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（十</w:t>
      </w:r>
      <w:r>
        <w:rPr>
          <w:rFonts w:hint="eastAsia" w:ascii="楷体_GB2312" w:hAnsi="楷体" w:eastAsia="楷体_GB2312" w:cs="仿宋"/>
          <w:color w:val="auto"/>
          <w:sz w:val="32"/>
          <w:szCs w:val="32"/>
          <w:highlight w:val="none"/>
          <w:lang w:val="en-US" w:eastAsia="zh-CN"/>
        </w:rPr>
        <w:t>七</w:t>
      </w:r>
      <w:r>
        <w:rPr>
          <w:rFonts w:hint="eastAsia" w:ascii="楷体_GB2312" w:hAnsi="楷体" w:eastAsia="楷体_GB2312" w:cs="仿宋"/>
          <w:color w:val="auto"/>
          <w:sz w:val="32"/>
          <w:szCs w:val="32"/>
          <w:highlight w:val="none"/>
        </w:rPr>
        <w:t>）专题</w:t>
      </w:r>
      <w:r>
        <w:rPr>
          <w:rFonts w:hint="eastAsia" w:ascii="楷体_GB2312" w:hAnsi="楷体" w:eastAsia="楷体_GB2312" w:cs="仿宋"/>
          <w:color w:val="auto"/>
          <w:sz w:val="32"/>
          <w:szCs w:val="32"/>
          <w:highlight w:val="none"/>
          <w:lang w:val="en-US" w:eastAsia="zh-CN"/>
        </w:rPr>
        <w:t>3</w:t>
      </w:r>
      <w:r>
        <w:rPr>
          <w:rFonts w:hint="eastAsia" w:ascii="楷体_GB2312" w:hAnsi="楷体" w:eastAsia="楷体_GB2312" w:cs="仿宋"/>
          <w:color w:val="auto"/>
          <w:sz w:val="32"/>
          <w:szCs w:val="32"/>
          <w:highlight w:val="none"/>
        </w:rPr>
        <w:t>：</w:t>
      </w:r>
      <w:r>
        <w:rPr>
          <w:rFonts w:hint="eastAsia" w:ascii="楷体_GB2312" w:hAnsi="楷体" w:eastAsia="楷体_GB2312" w:cs="仿宋"/>
          <w:color w:val="auto"/>
          <w:sz w:val="32"/>
          <w:szCs w:val="32"/>
          <w:highlight w:val="none"/>
          <w:lang w:val="en-US" w:eastAsia="zh-CN"/>
        </w:rPr>
        <w:t>中心城区公共停车场</w:t>
      </w:r>
      <w:r>
        <w:rPr>
          <w:rFonts w:hint="eastAsia" w:ascii="楷体_GB2312" w:hAnsi="楷体" w:eastAsia="楷体_GB2312" w:cs="仿宋"/>
          <w:color w:val="auto"/>
          <w:sz w:val="32"/>
          <w:szCs w:val="32"/>
          <w:highlight w:val="none"/>
        </w:rPr>
        <w:t>研究</w:t>
      </w:r>
    </w:p>
    <w:p w14:paraId="0CD88C09">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Times New Roman" w:eastAsia="仿宋_GB2312" w:cs="仿宋"/>
          <w:color w:val="auto"/>
          <w:sz w:val="32"/>
          <w:szCs w:val="32"/>
          <w:highlight w:val="none"/>
        </w:rPr>
      </w:pPr>
      <w:r>
        <w:rPr>
          <w:rFonts w:hint="eastAsia" w:ascii="仿宋_GB2312" w:hAnsi="黑体" w:eastAsia="仿宋_GB2312" w:cs="仿宋"/>
          <w:color w:val="auto"/>
          <w:sz w:val="32"/>
          <w:szCs w:val="32"/>
          <w:highlight w:val="none"/>
        </w:rPr>
        <w:t>结合社会经济发展和机动化趋势，分析预测停车需求，制定分区停车政策，确定公共停车设施规划布局，提出停车管理和政策保障建议。主要内容包括：停车需求分析、路外公共停车设施布局规划、公共停车场建设与管理措施建议等。</w:t>
      </w:r>
    </w:p>
    <w:p w14:paraId="741CBBFD">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Times New Roman" w:hAnsi="Times New Roman" w:eastAsia="仿宋_GB2312" w:cs="Times New Roman"/>
          <w:color w:val="auto"/>
          <w:sz w:val="32"/>
          <w:szCs w:val="22"/>
          <w:highlight w:val="none"/>
        </w:rPr>
      </w:pPr>
      <w:r>
        <w:rPr>
          <w:rFonts w:hint="eastAsia" w:eastAsia="黑体" w:cs="Times New Roman"/>
          <w:color w:val="auto"/>
          <w:sz w:val="32"/>
          <w:szCs w:val="22"/>
          <w:highlight w:val="none"/>
          <w:lang w:val="en-US" w:eastAsia="zh-CN"/>
        </w:rPr>
        <w:t>四</w:t>
      </w:r>
      <w:r>
        <w:rPr>
          <w:rFonts w:ascii="Times New Roman" w:hAnsi="Times New Roman" w:eastAsia="黑体" w:cs="Times New Roman"/>
          <w:color w:val="auto"/>
          <w:sz w:val="32"/>
          <w:szCs w:val="22"/>
          <w:highlight w:val="none"/>
        </w:rPr>
        <w:t>、规划编制要求</w:t>
      </w:r>
    </w:p>
    <w:p w14:paraId="166D4946">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_GB2312" w:hAnsi="楷体" w:eastAsia="楷体_GB2312" w:cs="仿宋"/>
          <w:color w:val="auto"/>
          <w:sz w:val="32"/>
          <w:szCs w:val="32"/>
          <w:highlight w:val="none"/>
        </w:rPr>
      </w:pPr>
      <w:r>
        <w:rPr>
          <w:rFonts w:hint="eastAsia" w:ascii="楷体_GB2312" w:hAnsi="楷体" w:eastAsia="楷体_GB2312" w:cs="仿宋"/>
          <w:color w:val="auto"/>
          <w:sz w:val="32"/>
          <w:szCs w:val="32"/>
          <w:highlight w:val="none"/>
        </w:rPr>
        <w:t>（一）总体要求</w:t>
      </w:r>
    </w:p>
    <w:p w14:paraId="4D48C2F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黑体" w:eastAsia="仿宋_GB2312" w:cs="仿宋"/>
          <w:color w:val="auto"/>
          <w:sz w:val="32"/>
          <w:szCs w:val="32"/>
          <w:highlight w:val="none"/>
        </w:rPr>
      </w:pPr>
      <w:r>
        <w:rPr>
          <w:rFonts w:hint="eastAsia" w:ascii="仿宋_GB2312" w:hAnsi="仿宋" w:eastAsia="仿宋_GB2312" w:cs="仿宋"/>
          <w:color w:val="auto"/>
          <w:sz w:val="32"/>
          <w:szCs w:val="32"/>
          <w:highlight w:val="none"/>
        </w:rPr>
        <w:t>规划编制要符合《汉中市国土空间总体规划（2021-2035年）》等上位规划要求，规划内容和深</w:t>
      </w:r>
      <w:r>
        <w:rPr>
          <w:rFonts w:hint="eastAsia" w:ascii="仿宋_GB2312" w:hAnsi="Times New Roman" w:eastAsia="仿宋_GB2312" w:cs="Times New Roman"/>
          <w:color w:val="auto"/>
          <w:sz w:val="32"/>
          <w:szCs w:val="32"/>
          <w:highlight w:val="none"/>
        </w:rPr>
        <w:t>度要符合</w:t>
      </w:r>
      <w:bookmarkStart w:id="3" w:name="OLE_LINK2"/>
      <w:r>
        <w:rPr>
          <w:rFonts w:hint="eastAsia" w:ascii="仿宋_GB2312" w:hAnsi="Times New Roman" w:eastAsia="仿宋_GB2312" w:cs="Times New Roman"/>
          <w:color w:val="auto"/>
          <w:sz w:val="32"/>
          <w:szCs w:val="32"/>
          <w:highlight w:val="none"/>
          <w:lang w:eastAsia="zh-CN"/>
        </w:rPr>
        <w:t>《</w:t>
      </w:r>
      <w:r>
        <w:rPr>
          <w:rFonts w:hint="eastAsia" w:ascii="仿宋_GB2312" w:hAnsi="仿宋" w:eastAsia="仿宋_GB2312" w:cs="仿宋"/>
          <w:color w:val="auto"/>
          <w:sz w:val="32"/>
          <w:szCs w:val="32"/>
          <w:highlight w:val="none"/>
          <w:lang w:eastAsia="zh-CN"/>
        </w:rPr>
        <w:t>国土空间综合交通规划编制指南(征求意见稿)》</w:t>
      </w:r>
      <w:bookmarkEnd w:id="3"/>
      <w:r>
        <w:rPr>
          <w:rFonts w:hint="eastAsia" w:ascii="仿宋_GB2312" w:hAnsi="Times New Roman" w:eastAsia="仿宋_GB2312" w:cs="Times New Roman"/>
          <w:color w:val="auto"/>
          <w:sz w:val="32"/>
          <w:szCs w:val="32"/>
          <w:highlight w:val="none"/>
        </w:rPr>
        <w:t>《城市综合交通体系规划编制办法》《城市综合交通体系规划交通调查导则》《城市综合交通体系规划编制导则》《城市综合交通体系规划标准》等国家标准和相关规定要求</w:t>
      </w:r>
      <w:r>
        <w:rPr>
          <w:rFonts w:hint="eastAsia" w:ascii="仿宋_GB2312" w:hAnsi="Times New Roman" w:eastAsia="仿宋_GB2312" w:cs="Times New Roman"/>
          <w:color w:val="auto"/>
          <w:sz w:val="32"/>
          <w:szCs w:val="32"/>
          <w:highlight w:val="none"/>
          <w:lang w:eastAsia="zh-CN"/>
        </w:rPr>
        <w:t>，</w:t>
      </w:r>
      <w:r>
        <w:rPr>
          <w:rFonts w:hint="eastAsia" w:ascii="仿宋_GB2312" w:hAnsi="仿宋" w:eastAsia="仿宋_GB2312" w:cs="仿宋"/>
          <w:color w:val="auto"/>
          <w:sz w:val="32"/>
          <w:szCs w:val="32"/>
          <w:highlight w:val="none"/>
          <w:lang w:val="en-US" w:eastAsia="zh-CN"/>
        </w:rPr>
        <w:t>规划成果要</w:t>
      </w:r>
      <w:r>
        <w:rPr>
          <w:rFonts w:hint="eastAsia" w:ascii="仿宋_GB2312" w:hAnsi="仿宋" w:eastAsia="仿宋_GB2312" w:cs="仿宋"/>
          <w:color w:val="auto"/>
          <w:sz w:val="32"/>
          <w:szCs w:val="32"/>
          <w:highlight w:val="none"/>
        </w:rPr>
        <w:t>纳入国土空间规划“一张图”实施监督系统管理和国土空间规划实施监测网络(CSPON)统一管理</w:t>
      </w:r>
      <w:r>
        <w:rPr>
          <w:rFonts w:hint="eastAsia" w:ascii="仿宋_GB2312" w:hAnsi="Times New Roman"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rPr>
        <w:t>同时，</w:t>
      </w:r>
      <w:r>
        <w:rPr>
          <w:rFonts w:hint="eastAsia" w:ascii="仿宋_GB2312" w:hAnsi="黑体" w:eastAsia="仿宋_GB2312" w:cs="仿宋"/>
          <w:color w:val="auto"/>
          <w:sz w:val="32"/>
          <w:szCs w:val="32"/>
          <w:highlight w:val="none"/>
        </w:rPr>
        <w:t>与汉中市“十五五”综合交通运输发展规划做好衔接。</w:t>
      </w:r>
    </w:p>
    <w:p w14:paraId="341D862A">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Times New Roman" w:eastAsia="楷体_GB2312" w:cs="Times New Roman"/>
          <w:color w:val="auto"/>
          <w:sz w:val="32"/>
          <w:szCs w:val="22"/>
          <w:highlight w:val="none"/>
          <w:lang w:val="en-US" w:eastAsia="zh-CN"/>
        </w:rPr>
      </w:pPr>
      <w:r>
        <w:rPr>
          <w:rFonts w:ascii="楷体_GB2312" w:hAnsi="楷体" w:eastAsia="楷体_GB2312" w:cs="仿宋"/>
          <w:color w:val="auto"/>
          <w:sz w:val="32"/>
          <w:szCs w:val="32"/>
          <w:highlight w:val="none"/>
        </w:rPr>
        <w:t>（二）成果</w:t>
      </w:r>
      <w:r>
        <w:rPr>
          <w:rFonts w:hint="eastAsia" w:ascii="楷体_GB2312" w:hAnsi="楷体" w:eastAsia="楷体_GB2312" w:cs="仿宋"/>
          <w:color w:val="auto"/>
          <w:sz w:val="32"/>
          <w:szCs w:val="32"/>
          <w:highlight w:val="none"/>
          <w:lang w:val="en-US" w:eastAsia="zh-CN"/>
        </w:rPr>
        <w:t>要求</w:t>
      </w:r>
    </w:p>
    <w:p w14:paraId="2B6AADE5">
      <w:pPr>
        <w:keepNext w:val="0"/>
        <w:keepLines w:val="0"/>
        <w:pageBreakBefore w:val="0"/>
        <w:widowControl w:val="0"/>
        <w:kinsoku/>
        <w:wordWrap/>
        <w:overflowPunct/>
        <w:topLinePunct w:val="0"/>
        <w:autoSpaceDE/>
        <w:autoSpaceDN/>
        <w:bidi w:val="0"/>
        <w:adjustRightInd w:val="0"/>
        <w:snapToGrid w:val="0"/>
        <w:spacing w:line="560" w:lineRule="exact"/>
        <w:ind w:firstLine="643"/>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1.规划文本</w:t>
      </w:r>
    </w:p>
    <w:p w14:paraId="576EC29A">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规划文本</w:t>
      </w:r>
      <w:r>
        <w:rPr>
          <w:rFonts w:hint="eastAsia" w:ascii="宋体" w:hAnsi="宋体" w:eastAsia="仿宋_GB2312" w:cs="宋体"/>
          <w:b w:val="0"/>
          <w:bCs/>
          <w:color w:val="auto"/>
          <w:sz w:val="32"/>
          <w:szCs w:val="21"/>
          <w:highlight w:val="none"/>
        </w:rPr>
        <w:t>应涵盖上述规划重点内容，以条文方式表述规划结论，内容明确简练，具有指导性和可操作性。</w:t>
      </w:r>
    </w:p>
    <w:p w14:paraId="0854F2C3">
      <w:pPr>
        <w:keepNext w:val="0"/>
        <w:keepLines w:val="0"/>
        <w:pageBreakBefore w:val="0"/>
        <w:widowControl w:val="0"/>
        <w:kinsoku/>
        <w:wordWrap/>
        <w:overflowPunct/>
        <w:topLinePunct w:val="0"/>
        <w:autoSpaceDE/>
        <w:autoSpaceDN/>
        <w:bidi w:val="0"/>
        <w:adjustRightInd w:val="0"/>
        <w:snapToGrid w:val="0"/>
        <w:spacing w:line="560" w:lineRule="exact"/>
        <w:ind w:firstLine="643"/>
        <w:textAlignment w:val="auto"/>
        <w:rPr>
          <w:rFonts w:hint="eastAsia" w:ascii="仿宋_GB2312" w:hAnsi="黑体" w:eastAsia="仿宋_GB2312" w:cs="仿宋"/>
          <w:b w:val="0"/>
          <w:bCs/>
          <w:color w:val="auto"/>
          <w:sz w:val="32"/>
          <w:szCs w:val="32"/>
          <w:highlight w:val="none"/>
        </w:rPr>
      </w:pPr>
      <w:r>
        <w:rPr>
          <w:rFonts w:ascii="仿宋_GB2312" w:hAnsi="黑体" w:eastAsia="仿宋_GB2312" w:cs="仿宋"/>
          <w:b w:val="0"/>
          <w:bCs/>
          <w:color w:val="auto"/>
          <w:sz w:val="32"/>
          <w:szCs w:val="32"/>
          <w:highlight w:val="none"/>
        </w:rPr>
        <w:t>2</w:t>
      </w:r>
      <w:r>
        <w:rPr>
          <w:rFonts w:hint="eastAsia" w:ascii="仿宋_GB2312" w:hAnsi="黑体" w:eastAsia="仿宋_GB2312" w:cs="仿宋"/>
          <w:b w:val="0"/>
          <w:bCs/>
          <w:color w:val="auto"/>
          <w:sz w:val="32"/>
          <w:szCs w:val="32"/>
          <w:highlight w:val="none"/>
        </w:rPr>
        <w:t>.规划说明书</w:t>
      </w:r>
    </w:p>
    <w:p w14:paraId="2817FEF8">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宋体" w:hAnsi="宋体" w:eastAsia="仿宋_GB2312" w:cs="宋体"/>
          <w:b w:val="0"/>
          <w:bCs/>
          <w:color w:val="auto"/>
          <w:sz w:val="32"/>
          <w:szCs w:val="21"/>
          <w:highlight w:val="none"/>
        </w:rPr>
      </w:pPr>
      <w:r>
        <w:rPr>
          <w:rFonts w:hint="eastAsia" w:ascii="宋体" w:hAnsi="宋体" w:eastAsia="仿宋_GB2312" w:cs="宋体"/>
          <w:b w:val="0"/>
          <w:bCs/>
          <w:color w:val="auto"/>
          <w:sz w:val="32"/>
          <w:szCs w:val="21"/>
          <w:highlight w:val="none"/>
        </w:rPr>
        <w:t>规划说明书应当与规划文本的条文相对应，并对规划文本条文做出详细论述。规划说明书附录包括：</w:t>
      </w:r>
    </w:p>
    <w:p w14:paraId="432D2AD8">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宋体" w:hAnsi="宋体" w:eastAsia="仿宋_GB2312" w:cs="宋体"/>
          <w:b w:val="0"/>
          <w:bCs/>
          <w:color w:val="auto"/>
          <w:sz w:val="32"/>
          <w:szCs w:val="21"/>
          <w:highlight w:val="none"/>
        </w:rPr>
      </w:pPr>
      <w:r>
        <w:rPr>
          <w:rFonts w:hint="eastAsia" w:ascii="宋体" w:hAnsi="宋体" w:eastAsia="仿宋_GB2312" w:cs="宋体"/>
          <w:b w:val="0"/>
          <w:bCs/>
          <w:color w:val="auto"/>
          <w:sz w:val="32"/>
          <w:szCs w:val="21"/>
          <w:highlight w:val="none"/>
        </w:rPr>
        <w:t>①基础资料汇编；②全套交通调查原始电子数据、中间处理成果、最终处理成果及基于全套数据建立的交通数据库和模型；③汉中城市交通近期实施方案。</w:t>
      </w:r>
    </w:p>
    <w:p w14:paraId="09F8EE2A">
      <w:pPr>
        <w:keepNext w:val="0"/>
        <w:keepLines w:val="0"/>
        <w:pageBreakBefore w:val="0"/>
        <w:widowControl w:val="0"/>
        <w:kinsoku/>
        <w:wordWrap/>
        <w:overflowPunct/>
        <w:topLinePunct w:val="0"/>
        <w:autoSpaceDE/>
        <w:autoSpaceDN/>
        <w:bidi w:val="0"/>
        <w:adjustRightInd w:val="0"/>
        <w:snapToGrid w:val="0"/>
        <w:spacing w:line="560" w:lineRule="exact"/>
        <w:ind w:firstLine="643"/>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3.规划图纸</w:t>
      </w:r>
    </w:p>
    <w:p w14:paraId="4C4EA85C">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规划图纸所表达的内容应当清晰、准确，与规划文本内容相符。现状图、规划图和分析图应当分别表示，图例应当一致。包括但不限于：</w:t>
      </w:r>
    </w:p>
    <w:p w14:paraId="3361F1DF">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①区位分析图；②对外交通现状图；③城市交通现状图；④对外交通规划图；⑤交通站场规划图；⑥道路系统规划图；⑦慢行系统规划图；⑧主要道路断面规划图；⑨重要交通节点规划设计；⑩公共交通系统规划图；</w:t>
      </w:r>
      <w:r>
        <w:rPr>
          <w:rFonts w:ascii="Cambria Math" w:hAnsi="Cambria Math" w:eastAsia="仿宋_GB2312" w:cs="Cambria Math"/>
          <w:b w:val="0"/>
          <w:bCs/>
          <w:color w:val="auto"/>
          <w:sz w:val="24"/>
          <w:szCs w:val="24"/>
          <w:highlight w:val="none"/>
        </w:rPr>
        <w:t>⑪</w:t>
      </w:r>
      <w:r>
        <w:rPr>
          <w:rFonts w:hint="eastAsia" w:ascii="仿宋_GB2312" w:hAnsi="黑体" w:eastAsia="仿宋_GB2312" w:cs="仿宋"/>
          <w:b w:val="0"/>
          <w:bCs/>
          <w:color w:val="auto"/>
          <w:sz w:val="32"/>
          <w:szCs w:val="32"/>
          <w:highlight w:val="none"/>
        </w:rPr>
        <w:t>停车系统布局规划图；</w:t>
      </w:r>
      <w:r>
        <w:rPr>
          <w:rFonts w:ascii="Cambria Math" w:hAnsi="Cambria Math" w:eastAsia="仿宋_GB2312" w:cs="Cambria Math"/>
          <w:b w:val="0"/>
          <w:bCs/>
          <w:color w:val="auto"/>
          <w:sz w:val="24"/>
          <w:szCs w:val="24"/>
          <w:highlight w:val="none"/>
          <w:shd w:val="clear" w:color="auto" w:fill="FFFFFF"/>
        </w:rPr>
        <w:t>⑫</w:t>
      </w:r>
      <w:r>
        <w:rPr>
          <w:rFonts w:hint="eastAsia" w:ascii="仿宋_GB2312" w:hAnsi="黑体" w:eastAsia="仿宋_GB2312" w:cs="仿宋"/>
          <w:b w:val="0"/>
          <w:bCs/>
          <w:color w:val="auto"/>
          <w:sz w:val="32"/>
          <w:szCs w:val="32"/>
          <w:highlight w:val="none"/>
        </w:rPr>
        <w:t>综合交通近期建设规划图（包括新建道路、改造道路、公交站场、停车设施等）。</w:t>
      </w:r>
    </w:p>
    <w:p w14:paraId="09E995AF">
      <w:pPr>
        <w:keepNext w:val="0"/>
        <w:keepLines w:val="0"/>
        <w:pageBreakBefore w:val="0"/>
        <w:widowControl w:val="0"/>
        <w:kinsoku/>
        <w:wordWrap/>
        <w:overflowPunct/>
        <w:topLinePunct w:val="0"/>
        <w:autoSpaceDE/>
        <w:autoSpaceDN/>
        <w:bidi w:val="0"/>
        <w:adjustRightInd w:val="0"/>
        <w:snapToGrid w:val="0"/>
        <w:spacing w:line="560" w:lineRule="exact"/>
        <w:ind w:firstLine="643"/>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4.专题研究报告</w:t>
      </w:r>
    </w:p>
    <w:p w14:paraId="7C01D916">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专题研究报告是规划成果的重要组成部分，是针对关键问题进行深化或补充研究，也是规划审批的要件之一。主要包括：</w:t>
      </w:r>
    </w:p>
    <w:p w14:paraId="7567EC9B">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①城市综合交通调查报告；②城市交通重点区域研究；③中心城区公共停车场研究。</w:t>
      </w:r>
    </w:p>
    <w:p w14:paraId="181F1C44">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eastAsia" w:ascii="仿宋_GB2312" w:hAnsi="黑体" w:eastAsia="仿宋_GB2312" w:cs="仿宋"/>
          <w:b w:val="0"/>
          <w:bCs/>
          <w:color w:val="auto"/>
          <w:sz w:val="32"/>
          <w:szCs w:val="32"/>
          <w:highlight w:val="none"/>
        </w:rPr>
      </w:pPr>
      <w:bookmarkStart w:id="4" w:name="OLE_LINK6"/>
      <w:r>
        <w:rPr>
          <w:rFonts w:hint="eastAsia" w:ascii="仿宋_GB2312" w:hAnsi="黑体" w:eastAsia="仿宋_GB2312" w:cs="仿宋"/>
          <w:b w:val="0"/>
          <w:bCs/>
          <w:color w:val="auto"/>
          <w:sz w:val="32"/>
          <w:szCs w:val="32"/>
          <w:highlight w:val="none"/>
        </w:rPr>
        <w:t>5.规划数据库建设</w:t>
      </w:r>
    </w:p>
    <w:p w14:paraId="475308BD">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default" w:ascii="仿宋_GB2312" w:hAnsi="仿宋" w:eastAsia="仿宋_GB2312" w:cs="Times New Roman"/>
          <w:b w:val="0"/>
          <w:bCs/>
          <w:color w:val="auto"/>
          <w:sz w:val="32"/>
          <w:szCs w:val="32"/>
          <w:highlight w:val="none"/>
          <w:lang w:val="en-US" w:eastAsia="zh-CN"/>
        </w:rPr>
      </w:pPr>
      <w:r>
        <w:rPr>
          <w:rFonts w:hint="eastAsia" w:ascii="仿宋_GB2312" w:hAnsi="黑体" w:eastAsia="仿宋_GB2312" w:cs="仿宋"/>
          <w:b w:val="0"/>
          <w:bCs/>
          <w:color w:val="auto"/>
          <w:sz w:val="32"/>
          <w:szCs w:val="32"/>
          <w:highlight w:val="none"/>
          <w:lang w:val="en-US" w:eastAsia="zh-CN"/>
        </w:rPr>
        <w:t>依据</w:t>
      </w:r>
      <w:r>
        <w:rPr>
          <w:rFonts w:hint="eastAsia" w:ascii="仿宋_GB2312" w:hAnsi="仿宋" w:eastAsia="仿宋_GB2312" w:cs="Times New Roman"/>
          <w:b w:val="0"/>
          <w:bCs/>
          <w:color w:val="auto"/>
          <w:sz w:val="32"/>
          <w:szCs w:val="32"/>
          <w:highlight w:val="none"/>
        </w:rPr>
        <w:t>现状底数梳理</w:t>
      </w:r>
      <w:r>
        <w:rPr>
          <w:rFonts w:hint="eastAsia" w:ascii="仿宋_GB2312" w:hAnsi="黑体" w:eastAsia="仿宋_GB2312" w:cs="仿宋"/>
          <w:b w:val="0"/>
          <w:bCs/>
          <w:color w:val="auto"/>
          <w:sz w:val="32"/>
          <w:szCs w:val="32"/>
          <w:highlight w:val="none"/>
        </w:rPr>
        <w:t>以及中心城区综合交通专项规划编制成果形成数据库，</w:t>
      </w:r>
      <w:r>
        <w:rPr>
          <w:rFonts w:hint="eastAsia" w:ascii="仿宋_GB2312" w:hAnsi="仿宋" w:eastAsia="仿宋_GB2312" w:cs="Times New Roman"/>
          <w:b w:val="0"/>
          <w:bCs/>
          <w:color w:val="auto"/>
          <w:sz w:val="32"/>
          <w:szCs w:val="32"/>
          <w:highlight w:val="none"/>
        </w:rPr>
        <w:t>数据库应能在汉中市国土空间规划“一张图”实施监督信息系统</w:t>
      </w:r>
      <w:r>
        <w:rPr>
          <w:rFonts w:hint="eastAsia" w:ascii="仿宋_GB2312" w:hAnsi="仿宋" w:eastAsia="仿宋_GB2312" w:cs="仿宋"/>
          <w:b w:val="0"/>
          <w:bCs/>
          <w:color w:val="auto"/>
          <w:sz w:val="32"/>
          <w:szCs w:val="32"/>
          <w:highlight w:val="none"/>
        </w:rPr>
        <w:t>和国土空间规划实施监测网络(CSPON)</w:t>
      </w:r>
      <w:r>
        <w:rPr>
          <w:rFonts w:hint="eastAsia" w:ascii="仿宋_GB2312" w:hAnsi="仿宋" w:eastAsia="仿宋_GB2312" w:cs="Times New Roman"/>
          <w:b w:val="0"/>
          <w:bCs/>
          <w:color w:val="auto"/>
          <w:sz w:val="32"/>
          <w:szCs w:val="32"/>
          <w:highlight w:val="none"/>
        </w:rPr>
        <w:t>上搭载应用。</w:t>
      </w:r>
    </w:p>
    <w:bookmarkEnd w:id="4"/>
    <w:p w14:paraId="00E44C2E">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6.效果展示</w:t>
      </w:r>
    </w:p>
    <w:p w14:paraId="762C5D93">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eastAsia" w:ascii="仿宋_GB2312" w:hAnsi="黑体" w:eastAsia="仿宋_GB2312" w:cs="仿宋"/>
          <w:b w:val="0"/>
          <w:bCs/>
          <w:color w:val="auto"/>
          <w:sz w:val="32"/>
          <w:szCs w:val="32"/>
          <w:highlight w:val="none"/>
        </w:rPr>
      </w:pPr>
      <w:r>
        <w:rPr>
          <w:rFonts w:hint="eastAsia" w:ascii="仿宋_GB2312" w:hAnsi="黑体" w:eastAsia="仿宋_GB2312" w:cs="仿宋"/>
          <w:b w:val="0"/>
          <w:bCs/>
          <w:color w:val="auto"/>
          <w:sz w:val="32"/>
          <w:szCs w:val="32"/>
          <w:highlight w:val="none"/>
        </w:rPr>
        <w:t>通过动画、效果图等表达方式生动形象地展示规划方案。</w:t>
      </w:r>
    </w:p>
    <w:p w14:paraId="2BB9975A">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黑体" w:eastAsia="仿宋_GB2312" w:cs="仿宋"/>
          <w:b w:val="0"/>
          <w:bCs/>
          <w:color w:val="auto"/>
          <w:sz w:val="32"/>
          <w:szCs w:val="32"/>
          <w:highlight w:val="none"/>
          <w:lang w:val="en-US" w:eastAsia="zh-CN"/>
        </w:rPr>
      </w:pPr>
      <w:r>
        <w:rPr>
          <w:rFonts w:hint="eastAsia" w:ascii="仿宋_GB2312" w:hAnsi="黑体" w:eastAsia="仿宋_GB2312" w:cs="仿宋"/>
          <w:b w:val="0"/>
          <w:bCs/>
          <w:color w:val="auto"/>
          <w:sz w:val="32"/>
          <w:szCs w:val="32"/>
          <w:highlight w:val="none"/>
          <w:lang w:val="en-US" w:eastAsia="zh-CN"/>
        </w:rPr>
        <w:t>7.成果形式</w:t>
      </w:r>
    </w:p>
    <w:p w14:paraId="1F24955E">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黑体" w:eastAsia="仿宋_GB2312" w:cs="仿宋"/>
          <w:color w:val="auto"/>
          <w:sz w:val="32"/>
          <w:szCs w:val="32"/>
          <w:highlight w:val="none"/>
        </w:rPr>
      </w:pPr>
      <w:r>
        <w:rPr>
          <w:rFonts w:hint="eastAsia" w:ascii="仿宋_GB2312" w:hAnsi="黑体" w:eastAsia="仿宋_GB2312" w:cs="仿宋"/>
          <w:b w:val="0"/>
          <w:bCs/>
          <w:color w:val="auto"/>
          <w:sz w:val="32"/>
          <w:szCs w:val="32"/>
          <w:highlight w:val="none"/>
        </w:rPr>
        <w:t>上述最终成果的电子文件1套（文字为doc格式，</w:t>
      </w:r>
      <w:r>
        <w:rPr>
          <w:rFonts w:hint="eastAsia" w:ascii="仿宋_GB2312" w:hAnsi="黑体" w:eastAsia="仿宋_GB2312" w:cs="仿宋"/>
          <w:b w:val="0"/>
          <w:bCs/>
          <w:color w:val="auto"/>
          <w:sz w:val="32"/>
          <w:szCs w:val="32"/>
          <w:highlight w:val="none"/>
          <w:lang w:eastAsia="zh-CN"/>
        </w:rPr>
        <w:t>图纸为dwg、GIS、jpg格式</w:t>
      </w:r>
      <w:r>
        <w:rPr>
          <w:rFonts w:hint="eastAsia" w:ascii="仿宋_GB2312" w:hAnsi="黑体" w:eastAsia="仿宋_GB2312" w:cs="仿宋"/>
          <w:b w:val="0"/>
          <w:bCs/>
          <w:color w:val="auto"/>
          <w:sz w:val="32"/>
          <w:szCs w:val="32"/>
          <w:highlight w:val="none"/>
        </w:rPr>
        <w:t>，数据库为mdb、gdb格式，效果图为jpg格式，供汇报展示用演示文件为ppt格式）。成果纸质版各10套，不含中间成果及评</w:t>
      </w:r>
      <w:r>
        <w:rPr>
          <w:rFonts w:hint="eastAsia" w:ascii="仿宋_GB2312" w:hAnsi="黑体" w:eastAsia="仿宋_GB2312" w:cs="仿宋"/>
          <w:color w:val="auto"/>
          <w:sz w:val="32"/>
          <w:szCs w:val="32"/>
          <w:highlight w:val="none"/>
        </w:rPr>
        <w:t>审材料。</w:t>
      </w:r>
    </w:p>
    <w:p w14:paraId="7FB8186D">
      <w:pPr>
        <w:keepNext w:val="0"/>
        <w:keepLines w:val="0"/>
        <w:pageBreakBefore w:val="0"/>
        <w:widowControl w:val="0"/>
        <w:kinsoku/>
        <w:wordWrap/>
        <w:overflowPunct/>
        <w:topLinePunct w:val="0"/>
        <w:autoSpaceDE/>
        <w:autoSpaceDN/>
        <w:bidi w:val="0"/>
        <w:snapToGrid/>
        <w:spacing w:beforeLines="0" w:afterLines="0" w:line="580" w:lineRule="exact"/>
        <w:ind w:firstLine="640" w:firstLineChars="200"/>
        <w:textAlignment w:val="auto"/>
        <w:rPr>
          <w:rFonts w:hint="default" w:ascii="黑体" w:hAnsi="黑体" w:eastAsia="黑体" w:cs="黑体"/>
          <w:color w:val="auto"/>
          <w:sz w:val="32"/>
          <w:szCs w:val="32"/>
          <w:highlight w:val="none"/>
          <w:lang w:val="en-US" w:eastAsia="zh-CN"/>
        </w:rPr>
      </w:pPr>
      <w:r>
        <w:rPr>
          <w:rFonts w:hint="eastAsia" w:eastAsia="黑体" w:cs="Times New Roman"/>
          <w:color w:val="auto"/>
          <w:sz w:val="32"/>
          <w:szCs w:val="32"/>
          <w:highlight w:val="none"/>
          <w:lang w:val="en-US" w:eastAsia="zh-CN"/>
        </w:rPr>
        <w:t>五</w:t>
      </w:r>
      <w:r>
        <w:rPr>
          <w:rFonts w:hint="eastAsia" w:ascii="黑体" w:hAnsi="黑体" w:eastAsia="黑体" w:cs="黑体"/>
          <w:color w:val="auto"/>
          <w:sz w:val="32"/>
          <w:szCs w:val="32"/>
          <w:highlight w:val="none"/>
          <w:lang w:val="en-US" w:eastAsia="zh-CN"/>
        </w:rPr>
        <w:t>、其他要求</w:t>
      </w:r>
    </w:p>
    <w:p w14:paraId="3225072F">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仿宋_GB2312"/>
          <w:color w:val="auto"/>
          <w:kern w:val="0"/>
          <w:sz w:val="32"/>
          <w:szCs w:val="32"/>
          <w:highlight w:val="none"/>
          <w:lang w:val="en-US" w:eastAsia="zh-CN" w:bidi="ar"/>
        </w:rPr>
      </w:pPr>
      <w:r>
        <w:rPr>
          <w:rFonts w:hint="eastAsia" w:ascii="仿宋_GB2312" w:hAnsi="仿宋_GB2312" w:eastAsia="仿宋_GB2312" w:cs="仿宋_GB2312"/>
          <w:b w:val="0"/>
          <w:bCs w:val="0"/>
          <w:color w:val="auto"/>
          <w:sz w:val="32"/>
          <w:szCs w:val="32"/>
          <w:highlight w:val="none"/>
          <w:vertAlign w:val="baseline"/>
          <w:lang w:val="en-US" w:eastAsia="zh-CN"/>
        </w:rPr>
        <w:t>按照合同约定期限，参与中心城区综合交通相关的规划建设，并出具书面指导意见</w:t>
      </w:r>
      <w:r>
        <w:rPr>
          <w:rFonts w:hint="eastAsia" w:ascii="仿宋_GB2312" w:hAnsi="宋体" w:eastAsia="仿宋_GB2312" w:cs="仿宋_GB2312"/>
          <w:color w:val="auto"/>
          <w:kern w:val="0"/>
          <w:sz w:val="32"/>
          <w:szCs w:val="32"/>
          <w:highlight w:val="none"/>
          <w:lang w:val="en-US" w:eastAsia="zh-CN" w:bidi="ar"/>
        </w:rPr>
        <w:t>。</w:t>
      </w:r>
    </w:p>
    <w:p w14:paraId="5CCD73E2">
      <w:pPr>
        <w:keepNext w:val="0"/>
        <w:keepLines w:val="0"/>
        <w:pageBreakBefore w:val="0"/>
        <w:widowControl w:val="0"/>
        <w:numPr>
          <w:ilvl w:val="0"/>
          <w:numId w:val="0"/>
        </w:numPr>
        <w:kinsoku/>
        <w:wordWrap/>
        <w:overflowPunct/>
        <w:topLinePunct w:val="0"/>
        <w:autoSpaceDE/>
        <w:autoSpaceDN/>
        <w:bidi w:val="0"/>
        <w:spacing w:beforeLines="0" w:afterLines="0" w:line="580" w:lineRule="exact"/>
        <w:ind w:firstLine="640" w:firstLineChars="200"/>
        <w:textAlignment w:val="auto"/>
        <w:rPr>
          <w:rFonts w:hint="eastAsia" w:ascii="仿宋_GB2312" w:hAnsi="宋体" w:eastAsia="仿宋_GB2312" w:cs="仿宋_GB2312"/>
          <w:color w:val="auto"/>
          <w:kern w:val="0"/>
          <w:sz w:val="32"/>
          <w:szCs w:val="32"/>
          <w:highlight w:val="none"/>
          <w:lang w:bidi="ar"/>
        </w:rPr>
      </w:pPr>
      <w:r>
        <w:rPr>
          <w:rFonts w:hint="eastAsia" w:eastAsia="黑体" w:cs="Times New Roman"/>
          <w:color w:val="auto"/>
          <w:sz w:val="32"/>
          <w:szCs w:val="32"/>
          <w:highlight w:val="none"/>
          <w:lang w:val="en-US" w:eastAsia="zh-CN"/>
        </w:rPr>
        <w:t>六</w:t>
      </w:r>
      <w:r>
        <w:rPr>
          <w:rFonts w:hint="eastAsia" w:ascii="Times New Roman" w:hAnsi="Times New Roman" w:eastAsia="黑体" w:cs="Times New Roman"/>
          <w:color w:val="auto"/>
          <w:sz w:val="32"/>
          <w:szCs w:val="32"/>
          <w:highlight w:val="none"/>
        </w:rPr>
        <w:t>、成果验收</w:t>
      </w:r>
    </w:p>
    <w:p w14:paraId="379CFFE1">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仿宋_GB2312"/>
          <w:color w:val="auto"/>
          <w:kern w:val="0"/>
          <w:sz w:val="32"/>
          <w:szCs w:val="32"/>
          <w:highlight w:val="none"/>
          <w:lang w:val="en-US" w:eastAsia="zh-CN" w:bidi="ar"/>
        </w:rPr>
      </w:pPr>
      <w:r>
        <w:rPr>
          <w:rFonts w:hint="eastAsia" w:ascii="仿宋_GB2312" w:hAnsi="Times New Roman" w:eastAsia="仿宋_GB2312" w:cs="Times New Roman"/>
          <w:color w:val="auto"/>
          <w:sz w:val="32"/>
          <w:szCs w:val="32"/>
          <w:highlight w:val="none"/>
        </w:rPr>
        <w:t>经汉中市国土空间规划委员会审议通过后一个月内，设计方根据各阶段研究审议提出的修改、补充、完善意见，全面修改，达到纸质及电子文档最终成果提交要求，经市自然资源局</w:t>
      </w:r>
      <w:r>
        <w:rPr>
          <w:rFonts w:hint="eastAsia" w:ascii="仿宋_GB2312" w:hAnsi="Times New Roman" w:eastAsia="仿宋_GB2312" w:cs="Times New Roman"/>
          <w:color w:val="auto"/>
          <w:sz w:val="32"/>
          <w:szCs w:val="32"/>
          <w:highlight w:val="none"/>
          <w:lang w:val="en-US" w:eastAsia="zh-CN"/>
        </w:rPr>
        <w:t>及相关行业主管部门</w:t>
      </w:r>
      <w:r>
        <w:rPr>
          <w:rFonts w:hint="eastAsia" w:ascii="仿宋_GB2312" w:hAnsi="Times New Roman" w:eastAsia="仿宋_GB2312" w:cs="Times New Roman"/>
          <w:color w:val="auto"/>
          <w:sz w:val="32"/>
          <w:szCs w:val="32"/>
          <w:highlight w:val="none"/>
        </w:rPr>
        <w:t>复核无误，出具书面成果接收清单后，方可视为正式通过验收。</w:t>
      </w:r>
    </w:p>
    <w:p w14:paraId="13584FB7">
      <w:pPr>
        <w:rPr>
          <w:rFonts w:hint="eastAsia" w:eastAsiaTheme="minorEastAsia"/>
          <w:highlight w:val="none"/>
          <w:lang w:val="en-US" w:eastAsia="zh-CN"/>
        </w:rPr>
      </w:pPr>
    </w:p>
    <w:sectPr>
      <w:footerReference r:id="rId4" w:type="default"/>
      <w:pgSz w:w="11906" w:h="16838"/>
      <w:pgMar w:top="1440" w:right="1463" w:bottom="1440" w:left="1463"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Segoe UI Emoji">
    <w:panose1 w:val="020B0502040204020203"/>
    <w:charset w:val="00"/>
    <w:family w:val="auto"/>
    <w:pitch w:val="default"/>
    <w:sig w:usb0="00000001" w:usb1="02000000" w:usb2="08000000" w:usb3="00000000" w:csb0="00000001"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DA0AE">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3926D5">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53926D5">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1C81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E5743F">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4E5743F">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E10E0"/>
    <w:rsid w:val="01F210F7"/>
    <w:rsid w:val="052F77AE"/>
    <w:rsid w:val="05680ABC"/>
    <w:rsid w:val="066A0178"/>
    <w:rsid w:val="07DE59A8"/>
    <w:rsid w:val="09082248"/>
    <w:rsid w:val="09DA7345"/>
    <w:rsid w:val="0E8C4475"/>
    <w:rsid w:val="140B236A"/>
    <w:rsid w:val="159E329B"/>
    <w:rsid w:val="15FE0691"/>
    <w:rsid w:val="166A5177"/>
    <w:rsid w:val="1CBA6C0D"/>
    <w:rsid w:val="1F571CA2"/>
    <w:rsid w:val="1F793A4D"/>
    <w:rsid w:val="1FBE07C2"/>
    <w:rsid w:val="20135C1B"/>
    <w:rsid w:val="220F4878"/>
    <w:rsid w:val="23D700A4"/>
    <w:rsid w:val="251D5F19"/>
    <w:rsid w:val="278A18D2"/>
    <w:rsid w:val="2BD26FCC"/>
    <w:rsid w:val="2C1C5070"/>
    <w:rsid w:val="2E165C6D"/>
    <w:rsid w:val="32FF51B7"/>
    <w:rsid w:val="33353887"/>
    <w:rsid w:val="33B25124"/>
    <w:rsid w:val="38907FDE"/>
    <w:rsid w:val="3C0B4937"/>
    <w:rsid w:val="3D6F4FCA"/>
    <w:rsid w:val="4013542C"/>
    <w:rsid w:val="40E66A89"/>
    <w:rsid w:val="42383AB5"/>
    <w:rsid w:val="48031777"/>
    <w:rsid w:val="4C1D359E"/>
    <w:rsid w:val="4FB4066C"/>
    <w:rsid w:val="50214599"/>
    <w:rsid w:val="50C26A53"/>
    <w:rsid w:val="536507A4"/>
    <w:rsid w:val="53817B45"/>
    <w:rsid w:val="55032DA2"/>
    <w:rsid w:val="575710D7"/>
    <w:rsid w:val="580513AC"/>
    <w:rsid w:val="58AC2BA6"/>
    <w:rsid w:val="5A3E3CD2"/>
    <w:rsid w:val="5C3D7FCA"/>
    <w:rsid w:val="5CBE10E0"/>
    <w:rsid w:val="5D995CB5"/>
    <w:rsid w:val="5F2416E8"/>
    <w:rsid w:val="60C1782B"/>
    <w:rsid w:val="63554566"/>
    <w:rsid w:val="63BA1CA3"/>
    <w:rsid w:val="65011E9F"/>
    <w:rsid w:val="67A12526"/>
    <w:rsid w:val="67D70575"/>
    <w:rsid w:val="682201C7"/>
    <w:rsid w:val="6C4E78AC"/>
    <w:rsid w:val="6D013069"/>
    <w:rsid w:val="6D071FFB"/>
    <w:rsid w:val="6FC64095"/>
    <w:rsid w:val="6FFF6450"/>
    <w:rsid w:val="744E0B07"/>
    <w:rsid w:val="75AF622D"/>
    <w:rsid w:val="7603740A"/>
    <w:rsid w:val="7651643A"/>
    <w:rsid w:val="783201C2"/>
    <w:rsid w:val="78D16DE1"/>
    <w:rsid w:val="79DC2DBB"/>
    <w:rsid w:val="7FF54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outlineLvl w:val="0"/>
    </w:pPr>
    <w:rPr>
      <w:rFonts w:ascii="仿宋_GB2312" w:hAnsi="宋体" w:eastAsia="仿宋_GB2312"/>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szCs w:val="24"/>
    </w:rPr>
  </w:style>
  <w:style w:type="paragraph" w:styleId="4">
    <w:name w:val="annotation text"/>
    <w:basedOn w:val="1"/>
    <w:qFormat/>
    <w:uiPriority w:val="0"/>
    <w:pPr>
      <w:jc w:val="left"/>
    </w:pPr>
  </w:style>
  <w:style w:type="paragraph" w:styleId="5">
    <w:name w:val="Body Text"/>
    <w:basedOn w:val="1"/>
    <w:next w:val="1"/>
    <w:qFormat/>
    <w:uiPriority w:val="0"/>
    <w:pPr>
      <w:spacing w:after="120"/>
    </w:pPr>
    <w:rPr>
      <w:rFonts w:ascii="Times New Roman" w:hAnsi="Times New Roman" w:eastAsia="宋体" w:cs="Times New Roman"/>
      <w:sz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7708</Words>
  <Characters>7824</Characters>
  <Lines>0</Lines>
  <Paragraphs>0</Paragraphs>
  <TotalTime>0</TotalTime>
  <ScaleCrop>false</ScaleCrop>
  <LinksUpToDate>false</LinksUpToDate>
  <CharactersWithSpaces>8211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2025-11-07T00:49:00Z</dcterms:created>
  <dc:creator>一烨舟</dc:creator>
  <cp:lastModifiedBy>快乐猫</cp:lastModifiedBy>
  <cp:lastPrinted>2026-02-06T00:13:00Z</cp:lastPrinted>
  <dcterms:modified xsi:type="dcterms:W3CDTF">2026-02-28T08:40:37Z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2264A5F6D98A4872997B0C314649200E_13</vt:lpwstr>
  </property>
  <property fmtid="{D5CDD505-2E9C-101B-9397-08002B2CF9AE}" pid="4" name="KSOTemplateDocerSaveRecord">
    <vt:lpwstr>eyJoZGlkIjoiMTU3MTMyN2NjYzYyMzY3MzJlZWVhMWRkMWU1NDI4NmIiLCJ1c2VySWQiOiIyNTQ4OTM3MDkifQ==</vt:lpwstr>
  </property>
</Properties>
</file>