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版本号：SCZD2026-ZB-0171-00120260408002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磁场刺激仪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SCZD2026-ZB-0171-001</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磁场刺激仪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SCZD2026-ZB-0171-001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磁场刺激仪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本项目采购磁场刺激仪1台。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 5、投标产品属于医疗器械管理范围的须提供医疗器械注册证。 6、提供盖章的《汉中市政府采购供应商资格承诺函》。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梁静怡、雷鹏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银行账号：102860079364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代理服务费收费标准：参照国家计委关于印发《招标代理服务收费管理暂行办法》的通知（计价格〔2002〕1980号）规定标准下浮20%收取，不足5000元按5000元收取。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符合国家、行业现行的设计、安全、质量等相关标准规范要求，与采购文件、投标（响应）文件和承诺相一致。</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本项目采购磁场刺激仪1台。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磁场刺激仪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标的名称：磁场刺激仪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技术指标</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主机：单主机双通道，支持独立双人治疗，配备≥</w:t>
            </w:r>
            <w:r>
              <w:rPr>
                <w:rFonts w:ascii="仿宋_GB2312" w:hAnsi="仿宋_GB2312" w:cs="仿宋_GB2312" w:eastAsia="仿宋_GB2312"/>
                <w:sz w:val="21"/>
              </w:rPr>
              <w:t>6</w:t>
            </w:r>
            <w:r>
              <w:rPr>
                <w:rFonts w:ascii="仿宋_GB2312" w:hAnsi="仿宋_GB2312" w:cs="仿宋_GB2312" w:eastAsia="仿宋_GB2312"/>
                <w:sz w:val="21"/>
              </w:rPr>
              <w:t>个线圈</w:t>
            </w:r>
            <w:r>
              <w:rPr>
                <w:rFonts w:ascii="仿宋_GB2312" w:hAnsi="仿宋_GB2312" w:cs="仿宋_GB2312" w:eastAsia="仿宋_GB2312"/>
                <w:sz w:val="21"/>
              </w:rPr>
              <w:t>(</w:t>
            </w:r>
            <w:r>
              <w:rPr>
                <w:rFonts w:ascii="仿宋_GB2312" w:hAnsi="仿宋_GB2312" w:cs="仿宋_GB2312" w:eastAsia="仿宋_GB2312"/>
                <w:sz w:val="21"/>
              </w:rPr>
              <w:t>至少包括圆形线圈、</w:t>
            </w:r>
            <w:r>
              <w:rPr>
                <w:rFonts w:ascii="仿宋_GB2312" w:hAnsi="仿宋_GB2312" w:cs="仿宋_GB2312" w:eastAsia="仿宋_GB2312"/>
                <w:sz w:val="21"/>
              </w:rPr>
              <w:t>8</w:t>
            </w:r>
            <w:r>
              <w:rPr>
                <w:rFonts w:ascii="仿宋_GB2312" w:hAnsi="仿宋_GB2312" w:cs="仿宋_GB2312" w:eastAsia="仿宋_GB2312"/>
                <w:sz w:val="21"/>
              </w:rPr>
              <w:t>字形线圈、双锥形线圈、蝶形线圈、外周线圈、咽部线圈等</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冷却系统：液态循环冷却系统，冷却液无渗漏、无挥发现象。</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操作系统：</w:t>
            </w:r>
            <w:r>
              <w:rPr>
                <w:rFonts w:ascii="仿宋_GB2312" w:hAnsi="仿宋_GB2312" w:cs="仿宋_GB2312" w:eastAsia="仿宋_GB2312"/>
                <w:sz w:val="21"/>
              </w:rPr>
              <w:t xml:space="preserve"> </w:t>
            </w:r>
            <w:r>
              <w:rPr>
                <w:rFonts w:ascii="仿宋_GB2312" w:hAnsi="仿宋_GB2312" w:cs="仿宋_GB2312" w:eastAsia="仿宋_GB2312"/>
                <w:sz w:val="21"/>
              </w:rPr>
              <w:t>一体机或笔记本电脑搭载软件系统。能够兼容科研软件。</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刺激线圈最大磁感应强度：≥</w:t>
            </w:r>
            <w:r>
              <w:rPr>
                <w:rFonts w:ascii="仿宋_GB2312" w:hAnsi="仿宋_GB2312" w:cs="仿宋_GB2312" w:eastAsia="仿宋_GB2312"/>
                <w:sz w:val="21"/>
              </w:rPr>
              <w:t>1.0</w:t>
            </w:r>
            <w:r>
              <w:rPr>
                <w:rFonts w:ascii="仿宋_GB2312" w:hAnsi="仿宋_GB2312" w:cs="仿宋_GB2312" w:eastAsia="仿宋_GB2312"/>
                <w:sz w:val="21"/>
              </w:rPr>
              <w:t>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磁感应强度稳定输出允差：≤±</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输出脉冲宽度：</w:t>
            </w:r>
            <w:r>
              <w:rPr>
                <w:rFonts w:ascii="仿宋_GB2312" w:hAnsi="仿宋_GB2312" w:cs="仿宋_GB2312" w:eastAsia="仿宋_GB2312"/>
                <w:sz w:val="21"/>
              </w:rPr>
              <w:t>320</w:t>
            </w:r>
            <w:r>
              <w:rPr>
                <w:rFonts w:ascii="仿宋_GB2312" w:hAnsi="仿宋_GB2312" w:cs="仿宋_GB2312" w:eastAsia="仿宋_GB2312"/>
                <w:sz w:val="21"/>
              </w:rPr>
              <w:t>μ</w:t>
            </w:r>
            <w:r>
              <w:rPr>
                <w:rFonts w:ascii="仿宋_GB2312" w:hAnsi="仿宋_GB2312" w:cs="仿宋_GB2312" w:eastAsia="仿宋_GB2312"/>
                <w:sz w:val="21"/>
              </w:rPr>
              <w:t>s—340</w:t>
            </w:r>
            <w:r>
              <w:rPr>
                <w:rFonts w:ascii="仿宋_GB2312" w:hAnsi="仿宋_GB2312" w:cs="仿宋_GB2312" w:eastAsia="仿宋_GB2312"/>
                <w:sz w:val="21"/>
              </w:rPr>
              <w:t>μ</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μ</w:t>
            </w:r>
            <w:r>
              <w:rPr>
                <w:rFonts w:ascii="仿宋_GB2312" w:hAnsi="仿宋_GB2312" w:cs="仿宋_GB2312" w:eastAsia="仿宋_GB2312"/>
                <w:sz w:val="21"/>
              </w:rPr>
              <w:t>s</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输出脉冲频率：</w:t>
            </w:r>
            <w:r>
              <w:rPr>
                <w:rFonts w:ascii="仿宋_GB2312" w:hAnsi="仿宋_GB2312" w:cs="仿宋_GB2312" w:eastAsia="仿宋_GB2312"/>
                <w:sz w:val="21"/>
              </w:rPr>
              <w:t>0~100</w:t>
            </w:r>
            <w:r>
              <w:rPr>
                <w:rFonts w:ascii="仿宋_GB2312" w:hAnsi="仿宋_GB2312" w:cs="仿宋_GB2312" w:eastAsia="仿宋_GB2312"/>
                <w:sz w:val="21"/>
              </w:rPr>
              <w:t>Hz</w:t>
            </w:r>
            <w:r>
              <w:rPr>
                <w:rFonts w:ascii="仿宋_GB2312" w:hAnsi="仿宋_GB2312" w:cs="仿宋_GB2312" w:eastAsia="仿宋_GB2312"/>
                <w:sz w:val="21"/>
              </w:rPr>
              <w:t xml:space="preserve"> </w:t>
            </w:r>
            <w:r>
              <w:rPr>
                <w:rFonts w:ascii="仿宋_GB2312" w:hAnsi="仿宋_GB2312" w:cs="仿宋_GB2312" w:eastAsia="仿宋_GB2312"/>
                <w:sz w:val="21"/>
              </w:rPr>
              <w:t>连续可调，可满足爆发式脉冲式刺激的应用。</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脉冲频率允差值：≤±</w:t>
            </w:r>
            <w:r>
              <w:rPr>
                <w:rFonts w:ascii="仿宋_GB2312" w:hAnsi="仿宋_GB2312" w:cs="仿宋_GB2312" w:eastAsia="仿宋_GB2312"/>
                <w:sz w:val="21"/>
              </w:rPr>
              <w:t>2%(</w:t>
            </w:r>
            <w:r>
              <w:rPr>
                <w:rFonts w:ascii="仿宋_GB2312" w:hAnsi="仿宋_GB2312" w:cs="仿宋_GB2312" w:eastAsia="仿宋_GB2312"/>
                <w:sz w:val="21"/>
              </w:rPr>
              <w:t>提供证明材料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电介质强度：高压储能电容</w:t>
            </w:r>
          </w:p>
          <w:p>
            <w:pPr>
              <w:pStyle w:val="null3"/>
              <w:jc w:val="both"/>
            </w:pPr>
            <w:r>
              <w:rPr>
                <w:rFonts w:ascii="仿宋_GB2312" w:hAnsi="仿宋_GB2312" w:cs="仿宋_GB2312" w:eastAsia="仿宋_GB2312"/>
                <w:sz w:val="21"/>
              </w:rPr>
              <w:t>1.10</w:t>
            </w:r>
            <w:r>
              <w:rPr>
                <w:rFonts w:ascii="仿宋_GB2312" w:hAnsi="仿宋_GB2312" w:cs="仿宋_GB2312" w:eastAsia="仿宋_GB2312"/>
                <w:sz w:val="21"/>
              </w:rPr>
              <w:t>配备精准定位装置帮助快速定位。</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安全预警：</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当冷却系统发生故障时，有提示或停止磁场输出。</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在设备工作中，具有手动停止磁场输出的功能。</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可记录电容放电次数，当电容放电次数达到上限时具有提示功能。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软件功能：</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可建立和储存患者的一般信息。</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可实现互联网功能，病人档案管理。可根据病人姓名查找相关储存资料调出回放。可统计每个患者的治疗记录，可以将记录保存，并支持数据导出。</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实时线圈温度显示。</w:t>
            </w:r>
          </w:p>
          <w:p>
            <w:pPr>
              <w:pStyle w:val="null3"/>
              <w:jc w:val="both"/>
            </w:pPr>
            <w:r>
              <w:rPr>
                <w:rFonts w:ascii="仿宋_GB2312" w:hAnsi="仿宋_GB2312" w:cs="仿宋_GB2312" w:eastAsia="仿宋_GB2312"/>
                <w:sz w:val="21"/>
              </w:rPr>
              <w:t>3.4.</w:t>
            </w:r>
            <w:r>
              <w:rPr>
                <w:rFonts w:ascii="仿宋_GB2312" w:hAnsi="仿宋_GB2312" w:cs="仿宋_GB2312" w:eastAsia="仿宋_GB2312"/>
                <w:sz w:val="21"/>
              </w:rPr>
              <w:t>具备双人独立处方治疗功能，可独立调节每位患者的相关方案；可自定义治疗方案。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检测模式：</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具备运动诱发电位模块及多种检测功能</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具有运动阈值与治疗方案自动记忆功能，可对保存文档中波形与数据进行回放。</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具备自动计算神经传导时间功能。</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刺激模式</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具有单脉冲、重复脉冲、复合刺激</w:t>
            </w:r>
            <w:r>
              <w:rPr>
                <w:rFonts w:ascii="仿宋_GB2312" w:hAnsi="仿宋_GB2312" w:cs="仿宋_GB2312" w:eastAsia="仿宋_GB2312"/>
                <w:sz w:val="21"/>
              </w:rPr>
              <w:t xml:space="preserve"> </w:t>
            </w:r>
            <w:r>
              <w:rPr>
                <w:rFonts w:ascii="仿宋_GB2312" w:hAnsi="仿宋_GB2312" w:cs="仿宋_GB2312" w:eastAsia="仿宋_GB2312"/>
                <w:sz w:val="21"/>
              </w:rPr>
              <w:t>、成对脉冲输出等多种刺激模式。</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具有支持双人同时治疗功能。</w:t>
            </w:r>
          </w:p>
          <w:p>
            <w:pPr>
              <w:pStyle w:val="null3"/>
              <w:jc w:val="both"/>
            </w:pPr>
            <w:r>
              <w:rPr>
                <w:rFonts w:ascii="仿宋_GB2312" w:hAnsi="仿宋_GB2312" w:cs="仿宋_GB2312" w:eastAsia="仿宋_GB2312"/>
                <w:sz w:val="21"/>
              </w:rPr>
              <w:t>5.3.</w:t>
            </w:r>
            <w:r>
              <w:rPr>
                <w:rFonts w:ascii="仿宋_GB2312" w:hAnsi="仿宋_GB2312" w:cs="仿宋_GB2312" w:eastAsia="仿宋_GB2312"/>
                <w:sz w:val="21"/>
              </w:rPr>
              <w:t>支持双线圈成对刺激。</w:t>
            </w:r>
          </w:p>
          <w:p>
            <w:pPr>
              <w:pStyle w:val="null3"/>
              <w:jc w:val="both"/>
            </w:pPr>
            <w:r>
              <w:rPr>
                <w:rFonts w:ascii="仿宋_GB2312" w:hAnsi="仿宋_GB2312" w:cs="仿宋_GB2312" w:eastAsia="仿宋_GB2312"/>
                <w:sz w:val="21"/>
              </w:rPr>
              <w:t>5.4.</w:t>
            </w:r>
            <w:r>
              <w:rPr>
                <w:rFonts w:ascii="仿宋_GB2312" w:hAnsi="仿宋_GB2312" w:cs="仿宋_GB2312" w:eastAsia="仿宋_GB2312"/>
                <w:sz w:val="21"/>
              </w:rPr>
              <w:t>能显示阈值强度、以百分比表示相对输出强度，显示刺激序列、刺激时间、</w:t>
            </w:r>
            <w:r>
              <w:rPr>
                <w:rFonts w:ascii="仿宋_GB2312" w:hAnsi="仿宋_GB2312" w:cs="仿宋_GB2312" w:eastAsia="仿宋_GB2312"/>
                <w:sz w:val="21"/>
              </w:rPr>
              <w:t xml:space="preserve"> </w:t>
            </w:r>
            <w:r>
              <w:rPr>
                <w:rFonts w:ascii="仿宋_GB2312" w:hAnsi="仿宋_GB2312" w:cs="仿宋_GB2312" w:eastAsia="仿宋_GB2312"/>
                <w:sz w:val="21"/>
              </w:rPr>
              <w:t>刺激数量。</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可与电刺激、近红外、导航等设备兼容。</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设备最低使用期限</w:t>
            </w:r>
            <w:r>
              <w:rPr>
                <w:rFonts w:ascii="仿宋_GB2312" w:hAnsi="仿宋_GB2312" w:cs="仿宋_GB2312" w:eastAsia="仿宋_GB2312"/>
                <w:sz w:val="21"/>
              </w:rPr>
              <w:t>10</w:t>
            </w:r>
            <w:r>
              <w:rPr>
                <w:rFonts w:ascii="仿宋_GB2312" w:hAnsi="仿宋_GB2312" w:cs="仿宋_GB2312" w:eastAsia="仿宋_GB2312"/>
                <w:sz w:val="21"/>
              </w:rPr>
              <w:t>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全部安装、调试完成，初步验收合格交付使用后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验收满一年支付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交付使用后整机质保6年，支持长期软件升级保证及提供持续的技术支持，出现故障后技术人员应在8小时内响应，维修期间提供替代设备保证医疗活动正常进行。2.提供医护人员操作培训并取得相应证书，符合《陕西省医疗服务项目》收费标准，能保证日常工作的正常开展。</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投标函 6.汉中市政府采购供应商资格承诺函.docx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6.汉中市政府采购供应商资格承诺函.docx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 5、投标产品属于医疗器械管理范围的须提供医疗器械注册证。 6、提供盖章的《汉中市政府采购供应商资格承诺函》。</w:t>
            </w:r>
          </w:p>
        </w:tc>
        <w:tc>
          <w:tcPr>
            <w:tcW w:type="dxa" w:w="1661"/>
          </w:tcPr>
          <w:p>
            <w:pPr>
              <w:pStyle w:val="null3"/>
            </w:pPr>
            <w:r>
              <w:rPr>
                <w:rFonts w:ascii="仿宋_GB2312" w:hAnsi="仿宋_GB2312" w:cs="仿宋_GB2312" w:eastAsia="仿宋_GB2312"/>
              </w:rPr>
              <w:t>6.汉中市政府采购供应商资格承诺函.docx 7.特定资格证明文件.docx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10.投标分项报价表.docx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10.投标分项报价表.docx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保函格式.docx 11.投标保证金支付凭证或保函.docx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投标内容满足招标文件中商务要求和技术实质性要求、不存在漏项或数量与要求不符</w:t>
            </w:r>
          </w:p>
        </w:tc>
        <w:tc>
          <w:tcPr>
            <w:tcW w:type="dxa" w:w="1661"/>
          </w:tcPr>
          <w:p>
            <w:pPr>
              <w:pStyle w:val="null3"/>
            </w:pPr>
            <w:r>
              <w:rPr>
                <w:rFonts w:ascii="仿宋_GB2312" w:hAnsi="仿宋_GB2312" w:cs="仿宋_GB2312" w:eastAsia="仿宋_GB2312"/>
              </w:rPr>
              <w:t>12.商务条款偏离表.docx 15.投标方案或技术方案.docx 13.技术偏离表.docx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15.投标方案或技术方案.docx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15.投标方案或技术方案.docx 6.汉中市政府采购供应商资格承诺函.docx 13.技术偏离表.docx 7.特定资格证明文件.docx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1、所投产品属于节能产品得1分； 评审依据：所投产品具有国家确定的认证机构出具的、处于有效期之内的节能产品认证证书（提供证书扫描件）。 2、所投产品属于环境标志产品得1分；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10.投标分项报价表.docx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投标产品的技术指标评审：完全响应得33分。一般技术指标参数 一项不满足扣1.5分，扣完为止。 评审依据：按照技术参数要求提供相 应的证明文件（包括不限于检测报告、技术白皮书、厂家产品说明等 ），在技术偏离表“说明”栏中标明 证明材料的页码；无技术材料支持 视为负偏离。</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13.技术偏离表.docx</w:t>
            </w:r>
          </w:p>
          <w:p>
            <w:pPr>
              <w:pStyle w:val="null3"/>
            </w:pPr>
            <w:r>
              <w:rPr>
                <w:rFonts w:ascii="仿宋_GB2312" w:hAnsi="仿宋_GB2312" w:cs="仿宋_GB2312" w:eastAsia="仿宋_GB2312"/>
              </w:rPr>
              <w:t>14.技术证明材料.docx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①所投设备技术先进、可靠性强、成熟度高，满足用户需求，得5分； ②所投设备技术成熟、性能稳定 ，基本满足用户需求，得3分；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13.技术偏离表.docx</w:t>
            </w:r>
          </w:p>
          <w:p>
            <w:pPr>
              <w:pStyle w:val="null3"/>
            </w:pPr>
            <w:r>
              <w:rPr>
                <w:rFonts w:ascii="仿宋_GB2312" w:hAnsi="仿宋_GB2312" w:cs="仿宋_GB2312" w:eastAsia="仿宋_GB2312"/>
              </w:rPr>
              <w:t>14.技术证明材料.docx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供货方案内容完整、措施明确，完全贴合本项目需求，包含但不限于详细供货清单、供货周期、运输方式等，且全部内容细化到位得 3分； 供货方案仅包含供货清单、供货周期、运输方式等基础内容，无详细措施得2分； 供货方案仅提供简单框架，明确供货周期及大致供货清单，无具体运输、包装、验收措施；内容空洞，可实施性较差得1分； 未提供不得分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安装调试方案含前期准备、详细安装调试流程、安全保障措施、验收及整改流程；提供专业安装调试团队，适配现场需求得 3分； 安装调试方案仅提供大致流程，无详细步骤、技术标准及安全措施；前期准备、团队配置缺失，可基本完成安装调试，得2分； 安装调试方案仅提供简单框架，明确大致时间及人员，无具体流程，得1分；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内容完整、可实施、细化到位，且有针对性（如组建专属技术支持团队，建立技术难题分级解决机制等）得 3分； 内容完整、可实施，未建立技术难题解决机制，仅能处理基础咨询，得2分； 方案基本完整，仅书面承诺提供技术支持，无具体团队配置、响应时限，仅能解答简单操作疑问，得1分；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内容完整、可实施、有针对性（如验收方案验收依据明确，有量化验收清单，分阶段验收流程清晰、节点明确，有完整验收资料要求等）得 3分； 内容完整、可实施，仅明确验收标准及大致流程，无详细清单、节点及分工；整改措施简略，得2分； 方案基本完整，仅提供简单框架，明确大致验收内容及时间，无具体标准、流程，得1分；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内容完整、可实施、且有针对性（如包含服务范围及质保期达标，回访频次、考核细节完善）得 3分； 内容完整、可实施、措施基本具体，细节不完善，得 2分； 方案基本完整，无具体范围、保障措施，得1分；未提供不得分。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培训方案内容完整、可实施、且有针对性（明确分类培训对象，培训内容贴合需求），得 3分； 培训方案内容完整、可实施，含培训对象、内容、方式等核心内容，仅课时量化、方案细节不完善；得2分； 培训方案基本完整，无具体对象、方式及考核措施，得1分；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内容完整、可实施、且有针对性（明确故障分类及量化响应时限，处置流程清晰，有应急替代方案及量化补偿标准）得 3分；故障处理及补救措施内容完整、可实施，含响应时限、处置流程、补救措施等核心内容，措施基本具体，故障分类不清晰，无量化补偿方案。得2分；故障处理及补救措施仅明确大致响应时限及流程，无故障分类、应急方案及补偿方案，仅能处理一般故障。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内容完整、可实施、且有针对性（提供详细备品配件清单，按供应范围、储备数量、供货时限细节完善）得 3分；内容完整、可实施，备品配件服务承诺含供应范围、储备数量、供货时限等核心内容，措施基本具体得2分；方案基本完整，仅承诺提供备品配件，无具体范围、储备及时限得1分；未提供不得分。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提供2023年1月1日至投标截止时间（以合同签订时间为准）所投产 品品牌同类产品业绩，每提供一个 业绩得1.5分，满分6分。 评审依据 ：以加盖公章的业绩合同复印件为 准，合同至少需包含合同首页、产 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①支持本国产品。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供应商对其提供的产品出具《关于符合本国产品标准的声明函》（格式详见投标文件格式）或财政部会同有关部门规定的有关证明文件，《声明函》或有关证明文件符合要求的，该产品视为本国产品。②异常低价审查 。一、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10.投标分项报价表.docx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10.投标分项报价表.docx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详见附件：6.汉中市政府采购供应商资格承诺函.docx</w:t>
      </w:r>
    </w:p>
    <w:p>
      <w:pPr>
        <w:pStyle w:val="null3"/>
        <w:ind w:firstLine="960"/>
      </w:pPr>
      <w:r>
        <w:rPr>
          <w:rFonts w:ascii="仿宋_GB2312" w:hAnsi="仿宋_GB2312" w:cs="仿宋_GB2312" w:eastAsia="仿宋_GB2312"/>
        </w:rPr>
        <w:t>详见附件：7.特定资格证明文件.docx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详见附件：10.投标分项报价表.docx</w:t>
      </w:r>
    </w:p>
    <w:p>
      <w:pPr>
        <w:pStyle w:val="null3"/>
        <w:ind w:firstLine="960"/>
      </w:pPr>
      <w:r>
        <w:rPr>
          <w:rFonts w:ascii="仿宋_GB2312" w:hAnsi="仿宋_GB2312" w:cs="仿宋_GB2312" w:eastAsia="仿宋_GB2312"/>
        </w:rPr>
        <w:t>详见附件：11.投标保证金支付凭证或保函.docx</w:t>
      </w:r>
    </w:p>
    <w:p>
      <w:pPr>
        <w:pStyle w:val="null3"/>
        <w:ind w:firstLine="960"/>
      </w:pPr>
      <w:r>
        <w:rPr>
          <w:rFonts w:ascii="仿宋_GB2312" w:hAnsi="仿宋_GB2312" w:cs="仿宋_GB2312" w:eastAsia="仿宋_GB2312"/>
        </w:rPr>
        <w:t>详见附件：12.商务条款偏离表.docx</w:t>
      </w:r>
    </w:p>
    <w:p>
      <w:pPr>
        <w:pStyle w:val="null3"/>
        <w:ind w:firstLine="960"/>
      </w:pPr>
      <w:r>
        <w:rPr>
          <w:rFonts w:ascii="仿宋_GB2312" w:hAnsi="仿宋_GB2312" w:cs="仿宋_GB2312" w:eastAsia="仿宋_GB2312"/>
        </w:rPr>
        <w:t>详见附件：13.技术偏离表.docx</w:t>
      </w:r>
    </w:p>
    <w:p>
      <w:pPr>
        <w:pStyle w:val="null3"/>
        <w:ind w:firstLine="960"/>
      </w:pPr>
      <w:r>
        <w:rPr>
          <w:rFonts w:ascii="仿宋_GB2312" w:hAnsi="仿宋_GB2312" w:cs="仿宋_GB2312" w:eastAsia="仿宋_GB2312"/>
        </w:rPr>
        <w:t>详见附件：14.技术证明材料.docx</w:t>
      </w:r>
    </w:p>
    <w:p>
      <w:pPr>
        <w:pStyle w:val="null3"/>
        <w:ind w:firstLine="960"/>
      </w:pPr>
      <w:r>
        <w:rPr>
          <w:rFonts w:ascii="仿宋_GB2312" w:hAnsi="仿宋_GB2312" w:cs="仿宋_GB2312" w:eastAsia="仿宋_GB2312"/>
        </w:rPr>
        <w:t>详见附件：15.投标方案或技术方案.docx</w:t>
      </w:r>
    </w:p>
    <w:p>
      <w:pPr>
        <w:pStyle w:val="null3"/>
        <w:ind w:firstLine="960"/>
      </w:pPr>
      <w:r>
        <w:rPr>
          <w:rFonts w:ascii="仿宋_GB2312" w:hAnsi="仿宋_GB2312" w:cs="仿宋_GB2312" w:eastAsia="仿宋_GB2312"/>
        </w:rPr>
        <w:t>详见附件：16.业绩一览表.docx</w:t>
      </w:r>
    </w:p>
    <w:p>
      <w:pPr>
        <w:pStyle w:val="null3"/>
        <w:ind w:firstLine="960"/>
      </w:pPr>
      <w:r>
        <w:rPr>
          <w:rFonts w:ascii="仿宋_GB2312" w:hAnsi="仿宋_GB2312" w:cs="仿宋_GB2312" w:eastAsia="仿宋_GB2312"/>
        </w:rPr>
        <w:t>详见附件：保函格式.docx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