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版本号：FZBD-ZC-2026-00220260211001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汉中市DIP支付方式改革第三方服务采购项目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FZBD-ZC-2026-002</w:t>
      </w:r>
      <w:r>
        <w:br/>
      </w:r>
      <w:r>
        <w:br/>
      </w:r>
      <w:r>
        <w:br/>
      </w:r>
    </w:p>
    <w:p>
      <w:pPr>
        <w:pStyle w:val="null3"/>
        <w:jc w:val="center"/>
        <w:outlineLvl w:val="2"/>
      </w:pPr>
      <w:r>
        <w:rPr>
          <w:rFonts w:ascii="仿宋_GB2312" w:hAnsi="仿宋_GB2312" w:cs="仿宋_GB2312" w:eastAsia="仿宋_GB2312"/>
          <w:sz w:val="28"/>
          <w:b/>
        </w:rPr>
        <w:t>汉中市医疗保险业务经办中心</w:t>
      </w:r>
    </w:p>
    <w:p>
      <w:pPr>
        <w:pStyle w:val="null3"/>
        <w:jc w:val="center"/>
        <w:outlineLvl w:val="2"/>
      </w:pPr>
      <w:r>
        <w:rPr>
          <w:rFonts w:ascii="仿宋_GB2312" w:hAnsi="仿宋_GB2312" w:cs="仿宋_GB2312" w:eastAsia="仿宋_GB2312"/>
          <w:sz w:val="28"/>
          <w:b/>
        </w:rPr>
        <w:t>陕西方舟博德项目管理有限公司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陕西方舟博德项目管理有限公司</w:t>
      </w:r>
      <w:r>
        <w:rPr>
          <w:rFonts w:ascii="仿宋_GB2312" w:hAnsi="仿宋_GB2312" w:cs="仿宋_GB2312" w:eastAsia="仿宋_GB2312"/>
        </w:rPr>
        <w:t>（以下简称“代理机构”）受</w:t>
      </w:r>
      <w:r>
        <w:rPr>
          <w:rFonts w:ascii="仿宋_GB2312" w:hAnsi="仿宋_GB2312" w:cs="仿宋_GB2312" w:eastAsia="仿宋_GB2312"/>
        </w:rPr>
        <w:t>汉中市医疗保险业务经办中心</w:t>
      </w:r>
      <w:r>
        <w:rPr>
          <w:rFonts w:ascii="仿宋_GB2312" w:hAnsi="仿宋_GB2312" w:cs="仿宋_GB2312" w:eastAsia="仿宋_GB2312"/>
        </w:rPr>
        <w:t>委托，拟对</w:t>
      </w:r>
      <w:r>
        <w:rPr>
          <w:rFonts w:ascii="仿宋_GB2312" w:hAnsi="仿宋_GB2312" w:cs="仿宋_GB2312" w:eastAsia="仿宋_GB2312"/>
        </w:rPr>
        <w:t>汉中市DIP支付方式改革第三方服务采购项目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FZBD-ZC-2026-002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汉中市DIP支付方式改革第三方服务采购项目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 xml:space="preserve"> 积极响应国家医疗保障局《关于印发按病组和病种分值付费2.0版分组方案并深入推进相关工作的通知》文件指示要求，通过引入专业化的第三方技术服务，建立符合基本医疗保险基金现状及未来管理需要的整体化、专业化、智能化和精细化的基金支付管理服务体系，将医保基金区域总额预算与点数法相结合，全面实行住院以DIP2.0版分组方案为主的多元复合支付方式，建立起现代化的数据治理机制，形成数据采集、存储、使用的规范和标准，以病种为基本单元，以结果为导向的医疗服务付费体系，完善医保与医疗机构的沟通谈判机制。 通过采购第三方技术服务，实现服务期内医疗费用增长率低于全国同期平均水平，城镇职工、城乡居民住院医保基金支出同比上年度增长率不超过5%，医院住院次均费用、住院平均床日费、入出院诊断符合率等指标同比降低，分解住院、推诿病人、住院费用向门诊转移等违规行为有所遏制，基层首诊、双向转诊、急慢分治、上下联动的分级诊疗格局初步形成。实现医疗服务可量化，医疗行为可考核，费用增长可控制，患者负担可减轻，基金运行可持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采购包1（汉中市DIP支付方式改革第三方服务采购项目）：属于专门面向中小企业采购。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2、法定代表人证明书及授权书：法定代表人证明书及授权书法定代表人（负责人）委托授权书 法定代表人（负责人）委托代理人参加征集活动时，应提供法定代表人（负责人）委托授权书；法定代表人（负责人）亲自参加征集活动时，应提供法定代表人（负责人）身份证复印件。 如法人的分支机构参与征集活动的，除提供《法定代表人授权委托书》外，还须同时提供法人给分支机构出具的授权书，并加盖公章。法人只能授权一家分支机构参与征集活动，且不能与分支机构同时参与征集活动。</w:t>
      </w:r>
    </w:p>
    <w:p>
      <w:pPr>
        <w:pStyle w:val="null3"/>
      </w:pPr>
      <w:r>
        <w:rPr>
          <w:rFonts w:ascii="仿宋_GB2312" w:hAnsi="仿宋_GB2312" w:cs="仿宋_GB2312" w:eastAsia="仿宋_GB2312"/>
        </w:rPr>
        <w:t>3、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是否面向中、小企业：本项目为专门面向中小企业项目，响应人应为中型、小型、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5、其他要求：本项目不接受联合体投标，供应商需提供非联合体书面声明。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汉中市医疗保险业务经办中心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陕西省汉中市汉台区民主街建设巷口</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18191621091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陕西方舟博德项目管理有限公司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汉中市汉台区南团结街原二化厂（有间茶舍）院内二楼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15129581875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开户名称：陕西方舟博德项目管理有限公司</w:t>
            </w:r>
          </w:p>
          <w:p>
            <w:pPr>
              <w:pStyle w:val="null3"/>
            </w:pPr>
            <w:r>
              <w:rPr>
                <w:rFonts w:ascii="仿宋_GB2312" w:hAnsi="仿宋_GB2312" w:cs="仿宋_GB2312" w:eastAsia="仿宋_GB2312"/>
              </w:rPr>
              <w:t>开户银行：中国银行汉中莲湖路支行</w:t>
            </w:r>
          </w:p>
          <w:p>
            <w:pPr>
              <w:pStyle w:val="null3"/>
            </w:pPr>
            <w:r>
              <w:rPr>
                <w:rFonts w:ascii="仿宋_GB2312" w:hAnsi="仿宋_GB2312" w:cs="仿宋_GB2312" w:eastAsia="仿宋_GB2312"/>
              </w:rPr>
              <w:t>银行账号：102102346543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中标服务费，交费金额参照国家计委颁布的《招标代理服务收费管理暂行办法》（计价格[2002]1980号）及发改办价格[2003]857号文件的规定标准收取。 2、本项目代理服务费按服务计取。3.补充：采用银行转账递交投标保证金时，须通过投标人开户银行基本户转入指定账户，投标保证金转账凭证需扫描至响应文件中，请供应商备注清楚汉中市DIP支付方式改革第三方服务采购项目或FZBD-ZC-2026-002投标保证金；采用银行保函形式提交投标保证金的，需将银行保函扫描件附投标文件内，原件开标现场查验，其中所需费用投标人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汉中市医疗保险业务经办中心</w:t>
      </w:r>
      <w:r>
        <w:rPr>
          <w:rFonts w:ascii="仿宋_GB2312" w:hAnsi="仿宋_GB2312" w:cs="仿宋_GB2312" w:eastAsia="仿宋_GB2312"/>
        </w:rPr>
        <w:t>和</w:t>
      </w:r>
      <w:r>
        <w:rPr>
          <w:rFonts w:ascii="仿宋_GB2312" w:hAnsi="仿宋_GB2312" w:cs="仿宋_GB2312" w:eastAsia="仿宋_GB2312"/>
        </w:rPr>
        <w:t>陕西方舟博德项目管理有限公司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汉中市医疗保险业务经办中心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陕西方舟博德项目管理有限公司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汉中市医疗保险业务经办中心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陕西方舟博德项目管理有限公司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遵照国家有关规定和最终合同约定执行。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陕西方舟博德项目管理有限公司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陕西方舟博德项目管理有限公司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陕西方舟博德项目管理有限公司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联系人：张女士</w:t>
      </w:r>
    </w:p>
    <w:p>
      <w:pPr>
        <w:pStyle w:val="null3"/>
      </w:pPr>
      <w:r>
        <w:rPr>
          <w:rFonts w:ascii="仿宋_GB2312" w:hAnsi="仿宋_GB2312" w:cs="仿宋_GB2312" w:eastAsia="仿宋_GB2312"/>
        </w:rPr>
        <w:t>联系电话：15129581875</w:t>
      </w:r>
    </w:p>
    <w:p>
      <w:pPr>
        <w:pStyle w:val="null3"/>
      </w:pPr>
      <w:r>
        <w:rPr>
          <w:rFonts w:ascii="仿宋_GB2312" w:hAnsi="仿宋_GB2312" w:cs="仿宋_GB2312" w:eastAsia="仿宋_GB2312"/>
        </w:rPr>
        <w:t>地址：汉中市汉台区南团结街原二化厂（有间茶舍）院内二楼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积极响应国家医疗保障局《关于印发按病组和病种分值付费2.0版分组方案并深入推进相关工作的通知》文件指示要求，通过引入专业化的第三方技术服务，建立符合基本医疗保险基金现状及未来管理需要的整体化、专业化、智能化和精细化的基金支付管理服务体系，将医保基金区域总额预算与点数法相结合，全面实行住院以DIP2.0版分组方案为主的多元复合支付方式，建立起现代化的数据治理机制，形成数据采集、存储、使用的规范和标准，以病种为基本单元，以结果为导向的医疗服务付费体系，完善医保与医疗机构的沟通谈判机制。 通过采购第三方技术服务，实现服务期内医疗费用增长率低于全国同期平均水平，城镇职工、城乡居民住院医保基金支出同比上年度增长率不超过5%，医院住院次均费用、住院平均床日费、入出院诊断符合率等指标同比降低，分解住院、推诿病人、住院费用向门诊转移等违规行为有所遏制，基层首诊、双向转诊、急慢分治、上下联动的分级诊疗格局初步形成。实现医疗服务可量化，医疗行为可考核，费用增长可控制，患者负担可减轻，基金运行可持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汉中市DIP支付方式改革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标的名称：汉中市DIP支付方式改革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40" w:after="60"/>
              <w:jc w:val="center"/>
            </w:pPr>
            <w:r>
              <w:rPr>
                <w:rFonts w:ascii="仿宋_GB2312" w:hAnsi="仿宋_GB2312" w:cs="仿宋_GB2312" w:eastAsia="仿宋_GB2312"/>
                <w:sz w:val="36"/>
                <w:b/>
              </w:rPr>
              <w:t>汉中市</w:t>
            </w:r>
            <w:r>
              <w:rPr>
                <w:rFonts w:ascii="仿宋_GB2312" w:hAnsi="仿宋_GB2312" w:cs="仿宋_GB2312" w:eastAsia="仿宋_GB2312"/>
                <w:sz w:val="36"/>
                <w:b/>
              </w:rPr>
              <w:t>DIP</w:t>
            </w:r>
            <w:r>
              <w:rPr>
                <w:rFonts w:ascii="仿宋_GB2312" w:hAnsi="仿宋_GB2312" w:cs="仿宋_GB2312" w:eastAsia="仿宋_GB2312"/>
                <w:sz w:val="36"/>
                <w:b/>
              </w:rPr>
              <w:t>支付</w:t>
            </w:r>
            <w:r>
              <w:rPr>
                <w:rFonts w:ascii="仿宋_GB2312" w:hAnsi="仿宋_GB2312" w:cs="仿宋_GB2312" w:eastAsia="仿宋_GB2312"/>
                <w:sz w:val="36"/>
                <w:b/>
              </w:rPr>
              <w:t>方式改革</w:t>
            </w:r>
            <w:r>
              <w:rPr>
                <w:rFonts w:ascii="仿宋_GB2312" w:hAnsi="仿宋_GB2312" w:cs="仿宋_GB2312" w:eastAsia="仿宋_GB2312"/>
                <w:sz w:val="36"/>
                <w:b/>
              </w:rPr>
              <w:t>第</w:t>
            </w:r>
            <w:r>
              <w:rPr>
                <w:rFonts w:ascii="仿宋_GB2312" w:hAnsi="仿宋_GB2312" w:cs="仿宋_GB2312" w:eastAsia="仿宋_GB2312"/>
                <w:sz w:val="36"/>
                <w:b/>
              </w:rPr>
              <w:t>三方</w:t>
            </w:r>
            <w:r>
              <w:rPr>
                <w:rFonts w:ascii="仿宋_GB2312" w:hAnsi="仿宋_GB2312" w:cs="仿宋_GB2312" w:eastAsia="仿宋_GB2312"/>
                <w:sz w:val="36"/>
                <w:b/>
              </w:rPr>
              <w:t>服务采购项目</w:t>
            </w:r>
          </w:p>
          <w:p>
            <w:pPr>
              <w:pStyle w:val="null3"/>
              <w:spacing w:before="240" w:after="60"/>
              <w:jc w:val="center"/>
            </w:pPr>
            <w:r>
              <w:rPr>
                <w:rFonts w:ascii="仿宋_GB2312" w:hAnsi="仿宋_GB2312" w:cs="仿宋_GB2312" w:eastAsia="仿宋_GB2312"/>
                <w:sz w:val="36"/>
                <w:b/>
              </w:rPr>
              <w:t>服务内容及具体要求</w:t>
            </w:r>
          </w:p>
          <w:p>
            <w:pPr>
              <w:pStyle w:val="null3"/>
              <w:ind w:left="435"/>
              <w:outlineLvl w:val="0"/>
            </w:pPr>
            <w:r>
              <w:rPr>
                <w:rFonts w:ascii="仿宋_GB2312" w:hAnsi="仿宋_GB2312" w:cs="仿宋_GB2312" w:eastAsia="仿宋_GB2312"/>
                <w:sz w:val="28"/>
                <w:b/>
              </w:rPr>
              <w:t>1.</w:t>
            </w:r>
            <w:r>
              <w:rPr>
                <w:rFonts w:ascii="仿宋_GB2312" w:hAnsi="仿宋_GB2312" w:cs="仿宋_GB2312" w:eastAsia="仿宋_GB2312"/>
                <w:sz w:val="28"/>
                <w:b/>
              </w:rPr>
              <w:t>项目背景</w:t>
            </w:r>
          </w:p>
          <w:p>
            <w:pPr>
              <w:pStyle w:val="null3"/>
              <w:ind w:firstLine="480"/>
              <w:jc w:val="both"/>
            </w:pPr>
            <w:r>
              <w:rPr>
                <w:rFonts w:ascii="仿宋_GB2312" w:hAnsi="仿宋_GB2312" w:cs="仿宋_GB2312" w:eastAsia="仿宋_GB2312"/>
                <w:sz w:val="24"/>
              </w:rPr>
              <w:t>为落实《中共中央国务院关于深化医疗保障制度改革的意见》，持续推进医保支付方式改革，国家医保局印发了《国家医疗保障局办公室关于印发区域点数法总额预算和按病种分值付费试点工作方案的通知》医保办发〔</w:t>
            </w:r>
            <w:r>
              <w:rPr>
                <w:rFonts w:ascii="仿宋_GB2312" w:hAnsi="仿宋_GB2312" w:cs="仿宋_GB2312" w:eastAsia="仿宋_GB2312"/>
                <w:sz w:val="24"/>
              </w:rPr>
              <w:t>2020〕45号，在省医保局统一指导下，汉中市按照“以收定支、收支平衡、略有结余”的原则，按照国家医保局按病种分值付费各类技术标准要求，推行按病种分值付费。</w:t>
            </w:r>
          </w:p>
          <w:p>
            <w:pPr>
              <w:pStyle w:val="null3"/>
              <w:ind w:firstLine="480"/>
              <w:jc w:val="both"/>
            </w:pPr>
            <w:r>
              <w:rPr>
                <w:rFonts w:ascii="仿宋_GB2312" w:hAnsi="仿宋_GB2312" w:cs="仿宋_GB2312" w:eastAsia="仿宋_GB2312"/>
                <w:sz w:val="24"/>
              </w:rPr>
              <w:t>作为</w:t>
            </w:r>
            <w:r>
              <w:rPr>
                <w:rFonts w:ascii="仿宋_GB2312" w:hAnsi="仿宋_GB2312" w:cs="仿宋_GB2312" w:eastAsia="仿宋_GB2312"/>
                <w:sz w:val="24"/>
              </w:rPr>
              <w:t>DIP支付</w:t>
            </w:r>
            <w:r>
              <w:rPr>
                <w:rFonts w:ascii="仿宋_GB2312" w:hAnsi="仿宋_GB2312" w:cs="仿宋_GB2312" w:eastAsia="仿宋_GB2312"/>
                <w:sz w:val="24"/>
              </w:rPr>
              <w:t>方式改革</w:t>
            </w:r>
            <w:r>
              <w:rPr>
                <w:rFonts w:ascii="仿宋_GB2312" w:hAnsi="仿宋_GB2312" w:cs="仿宋_GB2312" w:eastAsia="仿宋_GB2312"/>
                <w:sz w:val="24"/>
              </w:rPr>
              <w:t>试点</w:t>
            </w:r>
            <w:r>
              <w:rPr>
                <w:rFonts w:ascii="仿宋_GB2312" w:hAnsi="仿宋_GB2312" w:cs="仿宋_GB2312" w:eastAsia="仿宋_GB2312"/>
                <w:sz w:val="24"/>
              </w:rPr>
              <w:t>城市，</w:t>
            </w:r>
            <w:r>
              <w:rPr>
                <w:rFonts w:ascii="仿宋_GB2312" w:hAnsi="仿宋_GB2312" w:cs="仿宋_GB2312" w:eastAsia="仿宋_GB2312"/>
                <w:sz w:val="24"/>
              </w:rPr>
              <w:t>汉中市医保局按照国家</w:t>
            </w:r>
            <w:r>
              <w:rPr>
                <w:rFonts w:ascii="仿宋_GB2312" w:hAnsi="仿宋_GB2312" w:cs="仿宋_GB2312" w:eastAsia="仿宋_GB2312"/>
                <w:sz w:val="24"/>
              </w:rPr>
              <w:t>DIP按病种分值付费改革的总结要求，建立了保证质量、控制成本、规范诊疗、提高医务人员积极性为核心的DIP付费管理体系，积极规划并实施了按病种分值付费平台及服务的建设，</w:t>
            </w:r>
            <w:r>
              <w:rPr>
                <w:rFonts w:ascii="仿宋_GB2312" w:hAnsi="仿宋_GB2312" w:cs="仿宋_GB2312" w:eastAsia="仿宋_GB2312"/>
                <w:sz w:val="24"/>
              </w:rPr>
              <w:t>充分</w:t>
            </w:r>
            <w:r>
              <w:rPr>
                <w:rFonts w:ascii="仿宋_GB2312" w:hAnsi="仿宋_GB2312" w:cs="仿宋_GB2312" w:eastAsia="仿宋_GB2312"/>
                <w:sz w:val="24"/>
              </w:rPr>
              <w:t>发挥医保支付的激励约束作用，实现对全市医疗机构的标准业务编码统一、完善</w:t>
            </w:r>
            <w:r>
              <w:rPr>
                <w:rFonts w:ascii="仿宋_GB2312" w:hAnsi="仿宋_GB2312" w:cs="仿宋_GB2312" w:eastAsia="仿宋_GB2312"/>
                <w:sz w:val="24"/>
              </w:rPr>
              <w:t>DIP分组工作、确定区域总额预算和病种分值、确定排除标准、稳步推进按病种分值付费、并做好相关配套政策制定和人员培训工作这七项重点任务。</w:t>
            </w:r>
          </w:p>
          <w:p>
            <w:pPr>
              <w:pStyle w:val="null3"/>
              <w:ind w:left="435"/>
              <w:outlineLvl w:val="0"/>
            </w:pPr>
            <w:r>
              <w:rPr>
                <w:rFonts w:ascii="仿宋_GB2312" w:hAnsi="仿宋_GB2312" w:cs="仿宋_GB2312" w:eastAsia="仿宋_GB2312"/>
                <w:sz w:val="28"/>
                <w:b/>
              </w:rPr>
              <w:t>2.</w:t>
            </w:r>
            <w:r>
              <w:rPr>
                <w:rFonts w:ascii="仿宋_GB2312" w:hAnsi="仿宋_GB2312" w:cs="仿宋_GB2312" w:eastAsia="仿宋_GB2312"/>
                <w:sz w:val="28"/>
                <w:b/>
              </w:rPr>
              <w:t>总体要求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、进一步加强医保基金支付的精细化管理，全面建立符合汉中市实际和医疗服务特点的医保基金支付体系，建立医保基金审核评估机制，提升医保基金使用效率。</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、根据《国家医疗保障局关于印发</w:t>
            </w:r>
            <w:r>
              <w:rPr>
                <w:rFonts w:ascii="仿宋_GB2312" w:hAnsi="仿宋_GB2312" w:cs="仿宋_GB2312" w:eastAsia="仿宋_GB2312"/>
                <w:sz w:val="24"/>
              </w:rPr>
              <w:t>DRG/DIP支付方式改革三年行动计划的通知》及省医保局相关要求，实现汉中市DIP支付方式改革“县区、机构、病种、基金”四个全面覆盖。逐步实现全市符合DIP付费</w:t>
            </w:r>
            <w:r>
              <w:rPr>
                <w:rFonts w:ascii="仿宋_GB2312" w:hAnsi="仿宋_GB2312" w:cs="仿宋_GB2312" w:eastAsia="仿宋_GB2312"/>
                <w:sz w:val="24"/>
              </w:rPr>
              <w:t>的</w:t>
            </w:r>
            <w:r>
              <w:rPr>
                <w:rFonts w:ascii="仿宋_GB2312" w:hAnsi="仿宋_GB2312" w:cs="仿宋_GB2312" w:eastAsia="仿宋_GB2312"/>
                <w:sz w:val="24"/>
              </w:rPr>
              <w:t>定点医疗机构平稳有序进入实际付费。</w:t>
            </w:r>
          </w:p>
          <w:p>
            <w:pPr>
              <w:pStyle w:val="null3"/>
              <w:ind w:firstLine="480"/>
              <w:jc w:val="both"/>
              <w:outlineLvl w:val="0"/>
            </w:pPr>
            <w:r>
              <w:rPr>
                <w:rFonts w:ascii="仿宋_GB2312" w:hAnsi="仿宋_GB2312" w:cs="仿宋_GB2312" w:eastAsia="仿宋_GB2312"/>
                <w:sz w:val="28"/>
                <w:b/>
              </w:rPr>
              <w:t>3.</w:t>
            </w:r>
            <w:r>
              <w:rPr>
                <w:rFonts w:ascii="仿宋_GB2312" w:hAnsi="仿宋_GB2312" w:cs="仿宋_GB2312" w:eastAsia="仿宋_GB2312"/>
                <w:sz w:val="28"/>
                <w:b/>
              </w:rPr>
              <w:t>目标及原则</w:t>
            </w:r>
          </w:p>
          <w:p>
            <w:pPr>
              <w:pStyle w:val="null3"/>
              <w:outlineLvl w:val="1"/>
            </w:pPr>
            <w:r>
              <w:rPr>
                <w:rFonts w:ascii="仿宋_GB2312" w:hAnsi="仿宋_GB2312" w:cs="仿宋_GB2312" w:eastAsia="仿宋_GB2312"/>
                <w:sz w:val="28"/>
                <w:b/>
              </w:rPr>
              <w:t>3.1</w:t>
            </w:r>
            <w:r>
              <w:rPr>
                <w:rFonts w:ascii="仿宋_GB2312" w:hAnsi="仿宋_GB2312" w:cs="仿宋_GB2312" w:eastAsia="仿宋_GB2312"/>
                <w:sz w:val="28"/>
                <w:b/>
              </w:rPr>
              <w:t>总体目标</w:t>
            </w:r>
          </w:p>
          <w:p>
            <w:pPr>
              <w:pStyle w:val="null3"/>
              <w:ind w:firstLine="480"/>
              <w:jc w:val="both"/>
            </w:pPr>
            <w:r>
              <w:rPr>
                <w:rFonts w:ascii="仿宋_GB2312" w:hAnsi="仿宋_GB2312" w:cs="仿宋_GB2312" w:eastAsia="仿宋_GB2312"/>
                <w:sz w:val="24"/>
              </w:rPr>
              <w:t>积极</w:t>
            </w:r>
            <w:r>
              <w:rPr>
                <w:rFonts w:ascii="仿宋_GB2312" w:hAnsi="仿宋_GB2312" w:cs="仿宋_GB2312" w:eastAsia="仿宋_GB2312"/>
                <w:sz w:val="24"/>
              </w:rPr>
              <w:t>响应</w:t>
            </w:r>
            <w:r>
              <w:rPr>
                <w:rFonts w:ascii="仿宋_GB2312" w:hAnsi="仿宋_GB2312" w:cs="仿宋_GB2312" w:eastAsia="仿宋_GB2312"/>
                <w:sz w:val="24"/>
              </w:rPr>
              <w:t>国家医疗</w:t>
            </w:r>
            <w:r>
              <w:rPr>
                <w:rFonts w:ascii="仿宋_GB2312" w:hAnsi="仿宋_GB2312" w:cs="仿宋_GB2312" w:eastAsia="仿宋_GB2312"/>
                <w:sz w:val="24"/>
              </w:rPr>
              <w:t>保障局</w:t>
            </w:r>
            <w:r>
              <w:rPr>
                <w:rFonts w:ascii="仿宋_GB2312" w:hAnsi="仿宋_GB2312" w:cs="仿宋_GB2312" w:eastAsia="仿宋_GB2312"/>
                <w:sz w:val="24"/>
              </w:rPr>
              <w:t>《关于印发按病组和病种分值付费</w:t>
            </w:r>
            <w:r>
              <w:rPr>
                <w:rFonts w:ascii="仿宋_GB2312" w:hAnsi="仿宋_GB2312" w:cs="仿宋_GB2312" w:eastAsia="仿宋_GB2312"/>
                <w:sz w:val="24"/>
              </w:rPr>
              <w:t>2.0版分组方案并深入推进相关工作的通知》文件</w:t>
            </w:r>
            <w:r>
              <w:rPr>
                <w:rFonts w:ascii="仿宋_GB2312" w:hAnsi="仿宋_GB2312" w:cs="仿宋_GB2312" w:eastAsia="仿宋_GB2312"/>
                <w:sz w:val="24"/>
              </w:rPr>
              <w:t>指示要求，</w:t>
            </w:r>
            <w:r>
              <w:rPr>
                <w:rFonts w:ascii="仿宋_GB2312" w:hAnsi="仿宋_GB2312" w:cs="仿宋_GB2312" w:eastAsia="仿宋_GB2312"/>
                <w:sz w:val="24"/>
              </w:rPr>
              <w:t>通过引入专业化的第三方</w:t>
            </w:r>
            <w:r>
              <w:rPr>
                <w:rFonts w:ascii="仿宋_GB2312" w:hAnsi="仿宋_GB2312" w:cs="仿宋_GB2312" w:eastAsia="仿宋_GB2312"/>
                <w:sz w:val="24"/>
              </w:rPr>
              <w:t>技术</w:t>
            </w:r>
            <w:r>
              <w:rPr>
                <w:rFonts w:ascii="仿宋_GB2312" w:hAnsi="仿宋_GB2312" w:cs="仿宋_GB2312" w:eastAsia="仿宋_GB2312"/>
                <w:sz w:val="24"/>
              </w:rPr>
              <w:t>服务，建立符合基本医疗保险基金现状及未来管理需要的整体化、专业化、智能化和精细化的基金支付管理服务体系，将医保基金区域总额预算与点数法相结合，全面实行住院以</w:t>
            </w:r>
            <w:r>
              <w:rPr>
                <w:rFonts w:ascii="仿宋_GB2312" w:hAnsi="仿宋_GB2312" w:cs="仿宋_GB2312" w:eastAsia="仿宋_GB2312"/>
                <w:sz w:val="24"/>
              </w:rPr>
              <w:t>DIP</w:t>
            </w:r>
            <w:r>
              <w:rPr>
                <w:rFonts w:ascii="仿宋_GB2312" w:hAnsi="仿宋_GB2312" w:cs="仿宋_GB2312" w:eastAsia="仿宋_GB2312"/>
                <w:sz w:val="24"/>
              </w:rPr>
              <w:t>2.0</w:t>
            </w:r>
            <w:r>
              <w:rPr>
                <w:rFonts w:ascii="仿宋_GB2312" w:hAnsi="仿宋_GB2312" w:cs="仿宋_GB2312" w:eastAsia="仿宋_GB2312"/>
                <w:sz w:val="24"/>
              </w:rPr>
              <w:t>版分组</w:t>
            </w:r>
            <w:r>
              <w:rPr>
                <w:rFonts w:ascii="仿宋_GB2312" w:hAnsi="仿宋_GB2312" w:cs="仿宋_GB2312" w:eastAsia="仿宋_GB2312"/>
                <w:sz w:val="24"/>
              </w:rPr>
              <w:t>方案</w:t>
            </w:r>
            <w:r>
              <w:rPr>
                <w:rFonts w:ascii="仿宋_GB2312" w:hAnsi="仿宋_GB2312" w:cs="仿宋_GB2312" w:eastAsia="仿宋_GB2312"/>
                <w:sz w:val="24"/>
              </w:rPr>
              <w:t>为主的多元复合支付方式，建立起现代化的数据治理机制，形成数据采集、存储、使用的规范和标准，以病种为基本单元，以结果为导向的医疗服务付费体系，完善医保与医疗机构的沟通谈判机制。</w:t>
            </w:r>
          </w:p>
          <w:p>
            <w:pPr>
              <w:pStyle w:val="null3"/>
              <w:ind w:firstLine="480"/>
              <w:jc w:val="both"/>
            </w:pPr>
            <w:r>
              <w:rPr>
                <w:rFonts w:ascii="仿宋_GB2312" w:hAnsi="仿宋_GB2312" w:cs="仿宋_GB2312" w:eastAsia="仿宋_GB2312"/>
                <w:sz w:val="24"/>
              </w:rPr>
              <w:t>通过采购</w:t>
            </w:r>
            <w:r>
              <w:rPr>
                <w:rFonts w:ascii="仿宋_GB2312" w:hAnsi="仿宋_GB2312" w:cs="仿宋_GB2312" w:eastAsia="仿宋_GB2312"/>
                <w:sz w:val="24"/>
              </w:rPr>
              <w:t>第三方</w:t>
            </w:r>
            <w:r>
              <w:rPr>
                <w:rFonts w:ascii="仿宋_GB2312" w:hAnsi="仿宋_GB2312" w:cs="仿宋_GB2312" w:eastAsia="仿宋_GB2312"/>
                <w:sz w:val="24"/>
              </w:rPr>
              <w:t>技术</w:t>
            </w:r>
            <w:r>
              <w:rPr>
                <w:rFonts w:ascii="仿宋_GB2312" w:hAnsi="仿宋_GB2312" w:cs="仿宋_GB2312" w:eastAsia="仿宋_GB2312"/>
                <w:sz w:val="24"/>
              </w:rPr>
              <w:t>服务</w:t>
            </w:r>
            <w:r>
              <w:rPr>
                <w:rFonts w:ascii="仿宋_GB2312" w:hAnsi="仿宋_GB2312" w:cs="仿宋_GB2312" w:eastAsia="仿宋_GB2312"/>
                <w:sz w:val="24"/>
              </w:rPr>
              <w:t>，实现服务</w:t>
            </w:r>
            <w:r>
              <w:rPr>
                <w:rFonts w:ascii="仿宋_GB2312" w:hAnsi="仿宋_GB2312" w:cs="仿宋_GB2312" w:eastAsia="仿宋_GB2312"/>
                <w:sz w:val="24"/>
              </w:rPr>
              <w:t>期</w:t>
            </w:r>
            <w:r>
              <w:rPr>
                <w:rFonts w:ascii="仿宋_GB2312" w:hAnsi="仿宋_GB2312" w:cs="仿宋_GB2312" w:eastAsia="仿宋_GB2312"/>
                <w:sz w:val="24"/>
              </w:rPr>
              <w:t>内医疗费用增长率低于全国同期平均水平，城镇职工、城乡居民住院医保基金支出同比上年度增长率不超过</w:t>
            </w:r>
            <w:r>
              <w:rPr>
                <w:rFonts w:ascii="仿宋_GB2312" w:hAnsi="仿宋_GB2312" w:cs="仿宋_GB2312" w:eastAsia="仿宋_GB2312"/>
                <w:sz w:val="24"/>
              </w:rPr>
              <w:t>5%，医院住院次均费用、住院平均床日费、入出院诊断符合率等指标同比降低，分解住院、推诿病人、住院费用向门诊转移等违规行为有所遏制，基层首诊、双向转诊、急慢分治、上下联动的分级诊疗格局初步形成。实现医疗服务可量化，医疗行为可考核，费用增长可控制，患者负担可减轻，基金运行可持续。</w:t>
            </w:r>
          </w:p>
          <w:p>
            <w:pPr>
              <w:pStyle w:val="null3"/>
              <w:ind w:firstLine="480"/>
              <w:jc w:val="both"/>
              <w:outlineLvl w:val="1"/>
            </w:pPr>
            <w:r>
              <w:rPr>
                <w:rFonts w:ascii="仿宋_GB2312" w:hAnsi="仿宋_GB2312" w:cs="仿宋_GB2312" w:eastAsia="仿宋_GB2312"/>
                <w:sz w:val="28"/>
                <w:b/>
              </w:rPr>
              <w:t>3.2</w:t>
            </w:r>
            <w:r>
              <w:rPr>
                <w:rFonts w:ascii="仿宋_GB2312" w:hAnsi="仿宋_GB2312" w:cs="仿宋_GB2312" w:eastAsia="仿宋_GB2312"/>
                <w:sz w:val="28"/>
                <w:b/>
              </w:rPr>
              <w:t>业务目标</w:t>
            </w:r>
          </w:p>
          <w:p>
            <w:pPr>
              <w:pStyle w:val="null3"/>
              <w:ind w:firstLine="480"/>
              <w:jc w:val="both"/>
            </w:pPr>
            <w:r>
              <w:rPr>
                <w:rFonts w:ascii="仿宋_GB2312" w:hAnsi="仿宋_GB2312" w:cs="仿宋_GB2312" w:eastAsia="仿宋_GB2312"/>
                <w:sz w:val="24"/>
              </w:rPr>
              <w:t>通过</w:t>
            </w:r>
            <w:r>
              <w:rPr>
                <w:rFonts w:ascii="仿宋_GB2312" w:hAnsi="仿宋_GB2312" w:cs="仿宋_GB2312" w:eastAsia="仿宋_GB2312"/>
                <w:sz w:val="24"/>
              </w:rPr>
              <w:t>DIP分组和定价测算，构建公平的竞争性分配机制，鼓励医院在保证医疗服务质量的情况下优劳优得，促使医院为进一步提高医疗资源利用效率，主动降低医疗服务成本，提升服务质量。</w:t>
            </w:r>
          </w:p>
          <w:p>
            <w:pPr>
              <w:pStyle w:val="null3"/>
              <w:ind w:firstLine="480"/>
              <w:jc w:val="both"/>
            </w:pPr>
            <w:r>
              <w:rPr>
                <w:rFonts w:ascii="仿宋_GB2312" w:hAnsi="仿宋_GB2312" w:cs="仿宋_GB2312" w:eastAsia="仿宋_GB2312"/>
                <w:sz w:val="24"/>
              </w:rPr>
              <w:t>基于临床路径和病案分析制定包括</w:t>
            </w:r>
            <w:r>
              <w:rPr>
                <w:rFonts w:ascii="仿宋_GB2312" w:hAnsi="仿宋_GB2312" w:cs="仿宋_GB2312" w:eastAsia="仿宋_GB2312"/>
                <w:sz w:val="24"/>
              </w:rPr>
              <w:t>DIP</w:t>
            </w:r>
            <w:r>
              <w:rPr>
                <w:rFonts w:ascii="仿宋_GB2312" w:hAnsi="仿宋_GB2312" w:cs="仿宋_GB2312" w:eastAsia="仿宋_GB2312"/>
                <w:sz w:val="24"/>
              </w:rPr>
              <w:t>2.0</w:t>
            </w:r>
            <w:r>
              <w:rPr>
                <w:rFonts w:ascii="仿宋_GB2312" w:hAnsi="仿宋_GB2312" w:cs="仿宋_GB2312" w:eastAsia="仿宋_GB2312"/>
                <w:sz w:val="24"/>
              </w:rPr>
              <w:t>版分组、病例信息采集、结算标准管理在内的技术标准，实现付费制度框架基本统一。</w:t>
            </w:r>
          </w:p>
          <w:p>
            <w:pPr>
              <w:pStyle w:val="null3"/>
              <w:ind w:firstLine="480"/>
              <w:jc w:val="both"/>
            </w:pPr>
            <w:r>
              <w:rPr>
                <w:rFonts w:ascii="仿宋_GB2312" w:hAnsi="仿宋_GB2312" w:cs="仿宋_GB2312" w:eastAsia="仿宋_GB2312"/>
                <w:sz w:val="24"/>
              </w:rPr>
              <w:t>通过病种分值测算医疗成本，为医保成本控制提供依据有效控制医疗费用不合理增长，保障医保基金运行安全。</w:t>
            </w:r>
          </w:p>
          <w:p>
            <w:pPr>
              <w:pStyle w:val="null3"/>
              <w:ind w:firstLine="480"/>
              <w:jc w:val="both"/>
              <w:outlineLvl w:val="1"/>
            </w:pPr>
            <w:r>
              <w:rPr>
                <w:rFonts w:ascii="仿宋_GB2312" w:hAnsi="仿宋_GB2312" w:cs="仿宋_GB2312" w:eastAsia="仿宋_GB2312"/>
                <w:sz w:val="28"/>
                <w:b/>
              </w:rPr>
              <w:t>3.3</w:t>
            </w:r>
            <w:r>
              <w:rPr>
                <w:rFonts w:ascii="仿宋_GB2312" w:hAnsi="仿宋_GB2312" w:cs="仿宋_GB2312" w:eastAsia="仿宋_GB2312"/>
                <w:sz w:val="28"/>
                <w:b/>
              </w:rPr>
              <w:t>服务原则</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3.1规范化原则</w:t>
            </w:r>
          </w:p>
          <w:p>
            <w:pPr>
              <w:pStyle w:val="null3"/>
              <w:ind w:firstLine="480"/>
              <w:jc w:val="both"/>
            </w:pPr>
            <w:r>
              <w:rPr>
                <w:rFonts w:ascii="仿宋_GB2312" w:hAnsi="仿宋_GB2312" w:cs="仿宋_GB2312" w:eastAsia="仿宋_GB2312"/>
                <w:sz w:val="24"/>
              </w:rPr>
              <w:t>符合国家医疗保障信息化和数据标准或规范，功能符合国家医疗保障相关管理规范要求。</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3.2安全性原则</w:t>
            </w:r>
          </w:p>
          <w:p>
            <w:pPr>
              <w:pStyle w:val="null3"/>
              <w:ind w:firstLine="480"/>
              <w:jc w:val="both"/>
            </w:pPr>
            <w:r>
              <w:rPr>
                <w:rFonts w:ascii="仿宋_GB2312" w:hAnsi="仿宋_GB2312" w:cs="仿宋_GB2312" w:eastAsia="仿宋_GB2312"/>
                <w:sz w:val="24"/>
              </w:rPr>
              <w:t>建立严格完整的数据审核机制，对关键操作应在后台留有不可更改的痕迹。同时要求对涉及服务数据进行授权访问。</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3.3扩展性原则</w:t>
            </w:r>
          </w:p>
          <w:p>
            <w:pPr>
              <w:pStyle w:val="null3"/>
              <w:ind w:firstLine="480"/>
              <w:jc w:val="both"/>
            </w:pPr>
            <w:r>
              <w:rPr>
                <w:rFonts w:ascii="仿宋_GB2312" w:hAnsi="仿宋_GB2312" w:cs="仿宋_GB2312" w:eastAsia="仿宋_GB2312"/>
                <w:sz w:val="24"/>
              </w:rPr>
              <w:t>应充分考虑服务的可扩展性，以满足业务的不断发展，形成一个易于管理、可持续发展的体系结构。</w:t>
            </w:r>
          </w:p>
          <w:p>
            <w:pPr>
              <w:pStyle w:val="null3"/>
              <w:ind w:firstLine="480"/>
              <w:jc w:val="both"/>
              <w:outlineLvl w:val="0"/>
            </w:pPr>
            <w:r>
              <w:rPr>
                <w:rFonts w:ascii="仿宋_GB2312" w:hAnsi="仿宋_GB2312" w:cs="仿宋_GB2312" w:eastAsia="仿宋_GB2312"/>
                <w:sz w:val="28"/>
                <w:b/>
              </w:rPr>
              <w:t>4.</w:t>
            </w:r>
            <w:r>
              <w:rPr>
                <w:rFonts w:ascii="仿宋_GB2312" w:hAnsi="仿宋_GB2312" w:cs="仿宋_GB2312" w:eastAsia="仿宋_GB2312"/>
                <w:sz w:val="28"/>
                <w:b/>
              </w:rPr>
              <w:t>服务范围</w:t>
            </w:r>
          </w:p>
          <w:p>
            <w:pPr>
              <w:pStyle w:val="null3"/>
              <w:ind w:firstLine="480"/>
              <w:jc w:val="both"/>
            </w:pPr>
            <w:r>
              <w:rPr>
                <w:rFonts w:ascii="仿宋_GB2312" w:hAnsi="仿宋_GB2312" w:cs="仿宋_GB2312" w:eastAsia="仿宋_GB2312"/>
                <w:sz w:val="24"/>
              </w:rPr>
              <w:t>汉中市管辖区域内符合</w:t>
            </w:r>
            <w:r>
              <w:rPr>
                <w:rFonts w:ascii="仿宋_GB2312" w:hAnsi="仿宋_GB2312" w:cs="仿宋_GB2312" w:eastAsia="仿宋_GB2312"/>
                <w:sz w:val="24"/>
              </w:rPr>
              <w:t>DIP付费条件的定点医疗机构，为参保人员提供全流程就医服务的支付方式改革支持。本方案主要适用于全市职工基本医疗保险和居民基本医疗保险的住院医疗费用结算与付费。同时，服务范围也包括支持异地就医住院费用按DIP及相应支付方式进行结算与清算，推动跨省、跨市就医支付方式协同改革。</w:t>
            </w:r>
          </w:p>
          <w:p>
            <w:pPr>
              <w:pStyle w:val="null3"/>
              <w:ind w:left="435"/>
              <w:outlineLvl w:val="0"/>
            </w:pPr>
            <w:r>
              <w:rPr>
                <w:rFonts w:ascii="仿宋_GB2312" w:hAnsi="仿宋_GB2312" w:cs="仿宋_GB2312" w:eastAsia="仿宋_GB2312"/>
                <w:sz w:val="28"/>
                <w:b/>
              </w:rPr>
              <w:t>5.</w:t>
            </w:r>
            <w:r>
              <w:rPr>
                <w:rFonts w:ascii="仿宋_GB2312" w:hAnsi="仿宋_GB2312" w:cs="仿宋_GB2312" w:eastAsia="仿宋_GB2312"/>
                <w:sz w:val="28"/>
                <w:b/>
              </w:rPr>
              <w:t>服务内容</w:t>
            </w:r>
          </w:p>
          <w:p>
            <w:pPr>
              <w:pStyle w:val="null3"/>
              <w:outlineLvl w:val="1"/>
            </w:pPr>
            <w:r>
              <w:rPr>
                <w:rFonts w:ascii="仿宋_GB2312" w:hAnsi="仿宋_GB2312" w:cs="仿宋_GB2312" w:eastAsia="仿宋_GB2312"/>
                <w:sz w:val="28"/>
                <w:b/>
              </w:rPr>
              <w:t>5.1</w:t>
            </w:r>
            <w:r>
              <w:rPr>
                <w:rFonts w:ascii="仿宋_GB2312" w:hAnsi="仿宋_GB2312" w:cs="仿宋_GB2312" w:eastAsia="仿宋_GB2312"/>
                <w:sz w:val="28"/>
                <w:b/>
              </w:rPr>
              <w:t>数据支撑服务</w:t>
            </w:r>
          </w:p>
          <w:p>
            <w:pPr>
              <w:pStyle w:val="null3"/>
              <w:outlineLvl w:val="2"/>
            </w:pPr>
            <w:r>
              <w:rPr>
                <w:rFonts w:ascii="仿宋_GB2312" w:hAnsi="仿宋_GB2312" w:cs="仿宋_GB2312" w:eastAsia="仿宋_GB2312"/>
                <w:sz w:val="28"/>
                <w:b/>
              </w:rPr>
              <w:t>5.1.1</w:t>
            </w:r>
            <w:r>
              <w:rPr>
                <w:rFonts w:ascii="仿宋_GB2312" w:hAnsi="仿宋_GB2312" w:cs="仿宋_GB2312" w:eastAsia="仿宋_GB2312"/>
                <w:sz w:val="28"/>
                <w:b/>
              </w:rPr>
              <w:t>数据采集质控</w:t>
            </w:r>
          </w:p>
          <w:p>
            <w:pPr>
              <w:pStyle w:val="null3"/>
              <w:ind w:firstLine="480"/>
              <w:jc w:val="both"/>
            </w:pPr>
            <w:r>
              <w:rPr>
                <w:rFonts w:ascii="仿宋_GB2312" w:hAnsi="仿宋_GB2312" w:cs="仿宋_GB2312" w:eastAsia="仿宋_GB2312"/>
                <w:sz w:val="24"/>
              </w:rPr>
              <w:t>按照《国家医疗保障按病种分值付费（</w:t>
            </w:r>
            <w:r>
              <w:rPr>
                <w:rFonts w:ascii="仿宋_GB2312" w:hAnsi="仿宋_GB2312" w:cs="仿宋_GB2312" w:eastAsia="仿宋_GB2312"/>
                <w:sz w:val="24"/>
              </w:rPr>
              <w:t>DIP）技术规范》，使用全国统一的医保信息业务编码，开展医保结算清单、医保费用明细表等的数据采集和质量控制工作、加强数据治理能力建设，制定数据填写、采集、整理、传输、储存、使用和映射、校验清洗等有关规则。</w:t>
            </w:r>
          </w:p>
          <w:p>
            <w:pPr>
              <w:pStyle w:val="null3"/>
              <w:outlineLvl w:val="3"/>
            </w:pPr>
            <w:r>
              <w:rPr>
                <w:rFonts w:ascii="仿宋_GB2312" w:hAnsi="仿宋_GB2312" w:cs="仿宋_GB2312" w:eastAsia="仿宋_GB2312"/>
                <w:sz w:val="24"/>
                <w:b/>
              </w:rPr>
              <w:t>5.1.1.1</w:t>
            </w:r>
            <w:r>
              <w:rPr>
                <w:rFonts w:ascii="仿宋_GB2312" w:hAnsi="仿宋_GB2312" w:cs="仿宋_GB2312" w:eastAsia="仿宋_GB2312"/>
                <w:sz w:val="24"/>
                <w:b/>
              </w:rPr>
              <w:t>规范医疗机构编码信息</w:t>
            </w:r>
          </w:p>
          <w:p>
            <w:pPr>
              <w:pStyle w:val="null3"/>
              <w:ind w:firstLine="480"/>
              <w:jc w:val="both"/>
            </w:pPr>
            <w:r>
              <w:rPr>
                <w:rFonts w:ascii="仿宋_GB2312" w:hAnsi="仿宋_GB2312" w:cs="仿宋_GB2312" w:eastAsia="仿宋_GB2312"/>
                <w:sz w:val="24"/>
              </w:rPr>
              <w:t>根据《国家医疗保障局关于印发</w:t>
            </w:r>
            <w:r>
              <w:rPr>
                <w:rFonts w:ascii="仿宋_GB2312" w:hAnsi="仿宋_GB2312" w:cs="仿宋_GB2312" w:eastAsia="仿宋_GB2312"/>
                <w:sz w:val="24"/>
              </w:rPr>
              <w:t>DRG/DIP支付方式改革三年行动计划的通知》，确保15项医保信息业务编码在定点医疗机构的全面落地，重点优先实现医保疾病诊断和手术操作、药品、医用耗材、医疗服务项目编码的落地使用。指导定点医疗机构按要求规范填写疾病诊断、手术及操作代码。历史数据中采用的国标版、临床版代码，要完成与国家医保版疾病分类与代码、手术编码的映射与转换，以保证标准的一致和结果的可比。西医疾病诊断代码统一使用《医疗保障疾病诊断分类及代码》(ICD-10医保V2.0版)，手术和操作代码统一使用《医疗保障手术操作分类与编码》(ICD-9-CM-3医保V2.0版),中医病症诊断代码统一使用《医疗保障中医病症分类与代码》(中医病症分类与代码医保V1.0版)，日间手术病种代码统一使用《医保日间手术病种分类与代码》。</w:t>
            </w:r>
          </w:p>
          <w:p>
            <w:pPr>
              <w:pStyle w:val="null3"/>
              <w:outlineLvl w:val="3"/>
            </w:pPr>
            <w:r>
              <w:rPr>
                <w:rFonts w:ascii="仿宋_GB2312" w:hAnsi="仿宋_GB2312" w:cs="仿宋_GB2312" w:eastAsia="仿宋_GB2312"/>
                <w:sz w:val="24"/>
                <w:b/>
              </w:rPr>
              <w:t>5.1.1.2</w:t>
            </w:r>
            <w:r>
              <w:rPr>
                <w:rFonts w:ascii="仿宋_GB2312" w:hAnsi="仿宋_GB2312" w:cs="仿宋_GB2312" w:eastAsia="仿宋_GB2312"/>
                <w:sz w:val="24"/>
                <w:b/>
              </w:rPr>
              <w:t>规范填写医保结算清单</w:t>
            </w:r>
          </w:p>
          <w:p>
            <w:pPr>
              <w:pStyle w:val="null3"/>
              <w:ind w:firstLine="480"/>
              <w:jc w:val="both"/>
            </w:pPr>
            <w:r>
              <w:rPr>
                <w:rFonts w:ascii="仿宋_GB2312" w:hAnsi="仿宋_GB2312" w:cs="仿宋_GB2312" w:eastAsia="仿宋_GB2312"/>
                <w:sz w:val="24"/>
              </w:rPr>
              <w:t>指导各定点医疗机构建立医保结算清单质量控制制度，借助信息化技术进行病案质控，提升医保结算清单质控效果，进一步提高医保结算清单质量。指导定点医疗机构及时、准确、完善上传医保结算清单，按时完成质控整改任务。</w:t>
            </w:r>
          </w:p>
          <w:p>
            <w:pPr>
              <w:pStyle w:val="null3"/>
              <w:outlineLvl w:val="3"/>
            </w:pPr>
            <w:r>
              <w:rPr>
                <w:rFonts w:ascii="仿宋_GB2312" w:hAnsi="仿宋_GB2312" w:cs="仿宋_GB2312" w:eastAsia="仿宋_GB2312"/>
                <w:sz w:val="24"/>
                <w:b/>
              </w:rPr>
              <w:t>5.1.1.3</w:t>
            </w:r>
            <w:r>
              <w:rPr>
                <w:rFonts w:ascii="仿宋_GB2312" w:hAnsi="仿宋_GB2312" w:cs="仿宋_GB2312" w:eastAsia="仿宋_GB2312"/>
                <w:sz w:val="24"/>
                <w:b/>
              </w:rPr>
              <w:t>数据收集及测算方法</w:t>
            </w:r>
          </w:p>
          <w:p>
            <w:pPr>
              <w:pStyle w:val="null3"/>
              <w:ind w:firstLine="480"/>
              <w:jc w:val="both"/>
            </w:pPr>
            <w:r>
              <w:rPr>
                <w:rFonts w:ascii="仿宋_GB2312" w:hAnsi="仿宋_GB2312" w:cs="仿宋_GB2312" w:eastAsia="仿宋_GB2312"/>
                <w:sz w:val="24"/>
              </w:rPr>
              <w:t>根据国家和省级医保部门开展</w:t>
            </w:r>
            <w:r>
              <w:rPr>
                <w:rFonts w:ascii="仿宋_GB2312" w:hAnsi="仿宋_GB2312" w:cs="仿宋_GB2312" w:eastAsia="仿宋_GB2312"/>
                <w:sz w:val="24"/>
              </w:rPr>
              <w:t>DIP工作的相关文件和指导意见，提出数据收集及测算的具体需求、确定数据收集及测算方法。</w:t>
            </w:r>
          </w:p>
          <w:p>
            <w:pPr>
              <w:pStyle w:val="null3"/>
              <w:outlineLvl w:val="3"/>
            </w:pPr>
            <w:r>
              <w:rPr>
                <w:rFonts w:ascii="仿宋_GB2312" w:hAnsi="仿宋_GB2312" w:cs="仿宋_GB2312" w:eastAsia="仿宋_GB2312"/>
                <w:sz w:val="24"/>
                <w:b/>
              </w:rPr>
              <w:t>5.1.1.4</w:t>
            </w:r>
            <w:r>
              <w:rPr>
                <w:rFonts w:ascii="仿宋_GB2312" w:hAnsi="仿宋_GB2312" w:cs="仿宋_GB2312" w:eastAsia="仿宋_GB2312"/>
                <w:sz w:val="24"/>
                <w:b/>
              </w:rPr>
              <w:t>明确定点医疗机构报送数据的时间和范围</w:t>
            </w:r>
          </w:p>
          <w:p>
            <w:pPr>
              <w:pStyle w:val="null3"/>
              <w:ind w:firstLine="480"/>
              <w:jc w:val="both"/>
            </w:pPr>
            <w:r>
              <w:rPr>
                <w:rFonts w:ascii="仿宋_GB2312" w:hAnsi="仿宋_GB2312" w:cs="仿宋_GB2312" w:eastAsia="仿宋_GB2312"/>
                <w:sz w:val="24"/>
              </w:rPr>
              <w:t>加强对定点医疗机构历史数据报送和实时数据上传工作的指导和培训，协助定点医疗机构按国家有关规定，及时、规范报送相关数据，提高数据质控管理能力。</w:t>
            </w:r>
          </w:p>
          <w:p>
            <w:pPr>
              <w:pStyle w:val="null3"/>
              <w:outlineLvl w:val="3"/>
            </w:pPr>
            <w:r>
              <w:rPr>
                <w:rFonts w:ascii="仿宋_GB2312" w:hAnsi="仿宋_GB2312" w:cs="仿宋_GB2312" w:eastAsia="仿宋_GB2312"/>
                <w:sz w:val="24"/>
                <w:b/>
              </w:rPr>
              <w:t>5.1.1.5</w:t>
            </w:r>
            <w:r>
              <w:rPr>
                <w:rFonts w:ascii="仿宋_GB2312" w:hAnsi="仿宋_GB2312" w:cs="仿宋_GB2312" w:eastAsia="仿宋_GB2312"/>
                <w:sz w:val="24"/>
                <w:b/>
              </w:rPr>
              <w:t>数据质控</w:t>
            </w:r>
          </w:p>
          <w:p>
            <w:pPr>
              <w:pStyle w:val="null3"/>
              <w:ind w:firstLine="480"/>
              <w:jc w:val="both"/>
            </w:pPr>
            <w:r>
              <w:rPr>
                <w:rFonts w:ascii="仿宋_GB2312" w:hAnsi="仿宋_GB2312" w:cs="仿宋_GB2312" w:eastAsia="仿宋_GB2312"/>
                <w:sz w:val="24"/>
              </w:rPr>
              <w:t>加强对定点医疗机构上传数据的质量管理。从及时性、完整性、合理性和规范性等方面进行数据监测，发现问题数据应及时反馈定点医疗机构核查并重新采集。一是及时性。在规定时间内完成数据上传，以满足医保结算的需要。二是完整性。患者病案首页按病案管理规范要求填写完整，核心指标无漏项。三是合理性。包括性别与诊断、年龄与诊断的相符判断，出入院时间的逻辑判断，诊断与手术的逻辑判断，总费用与明细费用的逻辑判断，诊断与费用的逻辑判断，手术与费用的逻辑判断等。四是规范性。包括病例诊断是否为规范诊断，以及诊断编码与诊断名称是否相匹配</w:t>
            </w:r>
            <w:r>
              <w:rPr>
                <w:rFonts w:ascii="仿宋_GB2312" w:hAnsi="仿宋_GB2312" w:cs="仿宋_GB2312" w:eastAsia="仿宋_GB2312"/>
                <w:sz w:val="24"/>
              </w:rPr>
              <w:t>;手术操作编码是否为规范编码等。</w:t>
            </w:r>
          </w:p>
          <w:p>
            <w:pPr>
              <w:pStyle w:val="null3"/>
              <w:outlineLvl w:val="3"/>
            </w:pPr>
            <w:r>
              <w:rPr>
                <w:rFonts w:ascii="仿宋_GB2312" w:hAnsi="仿宋_GB2312" w:cs="仿宋_GB2312" w:eastAsia="仿宋_GB2312"/>
                <w:sz w:val="24"/>
                <w:b/>
              </w:rPr>
              <w:t>5.1.1.6</w:t>
            </w:r>
            <w:r>
              <w:rPr>
                <w:rFonts w:ascii="仿宋_GB2312" w:hAnsi="仿宋_GB2312" w:cs="仿宋_GB2312" w:eastAsia="仿宋_GB2312"/>
                <w:sz w:val="24"/>
                <w:b/>
              </w:rPr>
              <w:t>数据治理</w:t>
            </w:r>
          </w:p>
          <w:p>
            <w:pPr>
              <w:pStyle w:val="null3"/>
              <w:ind w:firstLine="480"/>
              <w:jc w:val="both"/>
            </w:pPr>
            <w:r>
              <w:rPr>
                <w:rFonts w:ascii="仿宋_GB2312" w:hAnsi="仿宋_GB2312" w:cs="仿宋_GB2312" w:eastAsia="仿宋_GB2312"/>
                <w:sz w:val="24"/>
              </w:rPr>
              <w:t>在对历史数据进行采集时，如数据采集源无法改善优化，数据应用前应进行数据治理。一是规范性问题治理。当诊断代码出现不规范，可以结合诊断名称或诊断说明，以及与标准代码目录的映射，进行校验清洗。当手术操作代码出现不规范，可以结合手术操作名称或说明，以及与标准代码目录的映射，进行校验清洗。二是合理性问题治理。当患者性别或年龄与诊断出现矛盾，或者出入院时间出现矛盾时，可以结合病案首页其他变量进行逻辑分析，再校正。当总费用与明细费用出现矛盾时，可以结合医保明细数据进行费用层面的校验。当疾病诊断与手术操作出现矛盾时，可以利用已经梳理的疾病诊断与手术操作的对应名单目录，进行相互校验，摒弃其中的混杂因素。</w:t>
            </w:r>
          </w:p>
          <w:p>
            <w:pPr>
              <w:pStyle w:val="null3"/>
              <w:outlineLvl w:val="2"/>
            </w:pPr>
            <w:r>
              <w:rPr>
                <w:rFonts w:ascii="仿宋_GB2312" w:hAnsi="仿宋_GB2312" w:cs="仿宋_GB2312" w:eastAsia="仿宋_GB2312"/>
                <w:sz w:val="28"/>
                <w:b/>
              </w:rPr>
              <w:t>5.1.2</w:t>
            </w:r>
            <w:r>
              <w:rPr>
                <w:rFonts w:ascii="仿宋_GB2312" w:hAnsi="仿宋_GB2312" w:cs="仿宋_GB2312" w:eastAsia="仿宋_GB2312"/>
                <w:sz w:val="28"/>
                <w:b/>
              </w:rPr>
              <w:t>违规数据筛查服务</w:t>
            </w:r>
          </w:p>
          <w:p>
            <w:pPr>
              <w:pStyle w:val="null3"/>
              <w:ind w:firstLine="480"/>
              <w:jc w:val="both"/>
            </w:pPr>
            <w:r>
              <w:rPr>
                <w:rFonts w:ascii="仿宋_GB2312" w:hAnsi="仿宋_GB2312" w:cs="仿宋_GB2312" w:eastAsia="仿宋_GB2312"/>
                <w:sz w:val="24"/>
              </w:rPr>
              <w:t>充分发挥数据赋能支付方式改革效能，通过对数据进行分析，实现对定点医疗机构各种违规行为进行筛查，保证对定点医疗机构</w:t>
            </w:r>
            <w:r>
              <w:rPr>
                <w:rFonts w:ascii="仿宋_GB2312" w:hAnsi="仿宋_GB2312" w:cs="仿宋_GB2312" w:eastAsia="仿宋_GB2312"/>
                <w:sz w:val="24"/>
              </w:rPr>
              <w:t>DIP付费的准确性及合理性，加强对定点医疗机构实施DIP付费的规范管理。</w:t>
            </w:r>
          </w:p>
          <w:p>
            <w:pPr>
              <w:pStyle w:val="null3"/>
              <w:outlineLvl w:val="1"/>
            </w:pPr>
            <w:r>
              <w:rPr>
                <w:rFonts w:ascii="仿宋_GB2312" w:hAnsi="仿宋_GB2312" w:cs="仿宋_GB2312" w:eastAsia="仿宋_GB2312"/>
                <w:sz w:val="28"/>
                <w:b/>
              </w:rPr>
              <w:t>5.2</w:t>
            </w:r>
            <w:r>
              <w:rPr>
                <w:rFonts w:ascii="仿宋_GB2312" w:hAnsi="仿宋_GB2312" w:cs="仿宋_GB2312" w:eastAsia="仿宋_GB2312"/>
                <w:sz w:val="28"/>
                <w:b/>
              </w:rPr>
              <w:t>DIP</w:t>
            </w:r>
            <w:r>
              <w:rPr>
                <w:rFonts w:ascii="仿宋_GB2312" w:hAnsi="仿宋_GB2312" w:cs="仿宋_GB2312" w:eastAsia="仿宋_GB2312"/>
                <w:sz w:val="28"/>
                <w:b/>
              </w:rPr>
              <w:t>付费支撑服务</w:t>
            </w:r>
          </w:p>
          <w:p>
            <w:pPr>
              <w:pStyle w:val="null3"/>
              <w:outlineLvl w:val="2"/>
            </w:pPr>
            <w:r>
              <w:rPr>
                <w:rFonts w:ascii="仿宋_GB2312" w:hAnsi="仿宋_GB2312" w:cs="仿宋_GB2312" w:eastAsia="仿宋_GB2312"/>
                <w:sz w:val="28"/>
                <w:b/>
              </w:rPr>
              <w:t>5.2.1</w:t>
            </w:r>
            <w:r>
              <w:rPr>
                <w:rFonts w:ascii="仿宋_GB2312" w:hAnsi="仿宋_GB2312" w:cs="仿宋_GB2312" w:eastAsia="仿宋_GB2312"/>
                <w:sz w:val="28"/>
                <w:b/>
              </w:rPr>
              <w:t>构建本地目录体系</w:t>
            </w:r>
          </w:p>
          <w:p>
            <w:pPr>
              <w:pStyle w:val="null3"/>
              <w:ind w:firstLine="480"/>
              <w:jc w:val="both"/>
            </w:pPr>
            <w:r>
              <w:rPr>
                <w:rFonts w:ascii="仿宋_GB2312" w:hAnsi="仿宋_GB2312" w:cs="仿宋_GB2312" w:eastAsia="仿宋_GB2312"/>
                <w:sz w:val="24"/>
              </w:rPr>
              <w:t>按照国家</w:t>
            </w:r>
            <w:r>
              <w:rPr>
                <w:rFonts w:ascii="仿宋_GB2312" w:hAnsi="仿宋_GB2312" w:cs="仿宋_GB2312" w:eastAsia="仿宋_GB2312"/>
                <w:sz w:val="24"/>
              </w:rPr>
              <w:t>DIP技术规范的规定，基于清洗质控后的本地历史数据,按照客观、自然、统分结合等基本原则，以“疾病诊断+治疗方式”随机组合的方式生成分组方案,同时在兼顾科学性和本地适用性的前提下设置病例数临界值来区分核心病种、综合病种和DIP辅助目录，初步形成本地分组方案,并通过分组率、组内稳定性、组间差异性、裁剪率等公认的标准判定指标来衡量DIP分组方案的适用能力。同时，要进行持续的改进和优化，支撑医保支付、基金监管、医疗机构管理等方面的应用。</w:t>
            </w:r>
          </w:p>
          <w:p>
            <w:pPr>
              <w:pStyle w:val="null3"/>
              <w:outlineLvl w:val="3"/>
            </w:pPr>
            <w:r>
              <w:rPr>
                <w:rFonts w:ascii="仿宋_GB2312" w:hAnsi="仿宋_GB2312" w:cs="仿宋_GB2312" w:eastAsia="仿宋_GB2312"/>
                <w:sz w:val="24"/>
                <w:b/>
              </w:rPr>
              <w:t>5.2.1.1</w:t>
            </w:r>
            <w:r>
              <w:rPr>
                <w:rFonts w:ascii="仿宋_GB2312" w:hAnsi="仿宋_GB2312" w:cs="仿宋_GB2312" w:eastAsia="仿宋_GB2312"/>
                <w:sz w:val="24"/>
                <w:b/>
              </w:rPr>
              <w:t>建立</w:t>
            </w:r>
            <w:r>
              <w:rPr>
                <w:rFonts w:ascii="仿宋_GB2312" w:hAnsi="仿宋_GB2312" w:cs="仿宋_GB2312" w:eastAsia="仿宋_GB2312"/>
                <w:sz w:val="24"/>
                <w:b/>
              </w:rPr>
              <w:t>DIP</w:t>
            </w:r>
            <w:r>
              <w:rPr>
                <w:rFonts w:ascii="仿宋_GB2312" w:hAnsi="仿宋_GB2312" w:cs="仿宋_GB2312" w:eastAsia="仿宋_GB2312"/>
                <w:sz w:val="24"/>
                <w:b/>
              </w:rPr>
              <w:t>分组目录库并不断完善优化</w:t>
            </w:r>
          </w:p>
          <w:p>
            <w:pPr>
              <w:pStyle w:val="null3"/>
              <w:ind w:firstLine="480"/>
              <w:jc w:val="both"/>
            </w:pPr>
            <w:r>
              <w:rPr>
                <w:rFonts w:ascii="仿宋_GB2312" w:hAnsi="仿宋_GB2312" w:cs="仿宋_GB2312" w:eastAsia="仿宋_GB2312"/>
                <w:sz w:val="24"/>
              </w:rPr>
              <w:t>按《国家医疗保障按病种分值付费（</w:t>
            </w:r>
            <w:r>
              <w:rPr>
                <w:rFonts w:ascii="仿宋_GB2312" w:hAnsi="仿宋_GB2312" w:cs="仿宋_GB2312" w:eastAsia="仿宋_GB2312"/>
                <w:sz w:val="24"/>
              </w:rPr>
              <w:t>DIP）技术规范》与《DIP目录库（</w:t>
            </w:r>
            <w:r>
              <w:rPr>
                <w:rFonts w:ascii="仿宋_GB2312" w:hAnsi="仿宋_GB2312" w:cs="仿宋_GB2312" w:eastAsia="仿宋_GB2312"/>
                <w:sz w:val="24"/>
              </w:rPr>
              <w:t>2</w:t>
            </w:r>
            <w:r>
              <w:rPr>
                <w:rFonts w:ascii="仿宋_GB2312" w:hAnsi="仿宋_GB2312" w:cs="仿宋_GB2312" w:eastAsia="仿宋_GB2312"/>
                <w:sz w:val="24"/>
              </w:rPr>
              <w:t>.0版）》的技术要求，按照病种组合原则，结合汉中市实际，搭建本地病种组合模型，细化病种组合目录，形成属地化病种主目录，即核心病种和综合病种。同时进行大数据分析挖掘诊断（含次要诊断）、治疗、行为规范等特异性特征形成辅助目录，真实反映不同病例受年龄、合并症/并发症严重程度等因素导致的个体差异，对病种支付标准进行正向的合理校正。同时从规范医疗行为出发，形成违规行为评价指标，如病案质量指数、二次入院、低标入院、超长住院以及死亡等医疗质量指标，对应于医疗资源消耗的合理性，从而在不同病种目录级别上调整医保基金付费。建立与医疗机构之间顺畅的沟通反馈机制，保证病种组合结果易于接受，并对本地病种分值分组库进行持续优化和完善，动态维护病种库。</w:t>
            </w:r>
          </w:p>
          <w:p>
            <w:pPr>
              <w:pStyle w:val="null3"/>
              <w:outlineLvl w:val="3"/>
            </w:pPr>
            <w:r>
              <w:rPr>
                <w:rFonts w:ascii="仿宋_GB2312" w:hAnsi="仿宋_GB2312" w:cs="仿宋_GB2312" w:eastAsia="仿宋_GB2312"/>
                <w:sz w:val="24"/>
                <w:b/>
              </w:rPr>
              <w:t>5.2.1.2</w:t>
            </w:r>
            <w:r>
              <w:rPr>
                <w:rFonts w:ascii="仿宋_GB2312" w:hAnsi="仿宋_GB2312" w:cs="仿宋_GB2312" w:eastAsia="仿宋_GB2312"/>
                <w:sz w:val="24"/>
                <w:b/>
              </w:rPr>
              <w:t>病种分值标准测算</w:t>
            </w:r>
          </w:p>
          <w:p>
            <w:pPr>
              <w:pStyle w:val="null3"/>
              <w:ind w:firstLine="480"/>
              <w:jc w:val="both"/>
            </w:pPr>
            <w:r>
              <w:rPr>
                <w:rFonts w:ascii="仿宋_GB2312" w:hAnsi="仿宋_GB2312" w:cs="仿宋_GB2312" w:eastAsia="仿宋_GB2312"/>
                <w:sz w:val="24"/>
              </w:rPr>
              <w:t>根据样本数据的医疗机构级别、地区等因素分类计算病种分值。按照每个病种组合的平均费用，本地所有出院病例的平均费用计算病种分值，通过年度医保支付总额、医保支付比例及</w:t>
            </w:r>
            <w:r>
              <w:rPr>
                <w:rFonts w:ascii="仿宋_GB2312" w:hAnsi="仿宋_GB2312" w:cs="仿宋_GB2312" w:eastAsia="仿宋_GB2312"/>
                <w:sz w:val="24"/>
              </w:rPr>
              <w:t>DIP病例总分值计算分值点值，再根据每一个疾病与治疗方式组合的分值形成支付标准，结合DIP辅助目录对功能与定位不同的医疗机构建立基于分值单价的调节机制，利用该分值实现医疗机构医疗服务产出的评价与比较，形成支付的基础。</w:t>
            </w:r>
          </w:p>
          <w:p>
            <w:pPr>
              <w:pStyle w:val="null3"/>
              <w:outlineLvl w:val="3"/>
            </w:pPr>
            <w:r>
              <w:rPr>
                <w:rFonts w:ascii="仿宋_GB2312" w:hAnsi="仿宋_GB2312" w:cs="仿宋_GB2312" w:eastAsia="仿宋_GB2312"/>
                <w:sz w:val="24"/>
                <w:b/>
              </w:rPr>
              <w:t>5.2.1.3</w:t>
            </w:r>
            <w:r>
              <w:rPr>
                <w:rFonts w:ascii="仿宋_GB2312" w:hAnsi="仿宋_GB2312" w:cs="仿宋_GB2312" w:eastAsia="仿宋_GB2312"/>
                <w:sz w:val="24"/>
                <w:b/>
              </w:rPr>
              <w:t>病种分值的校正</w:t>
            </w:r>
          </w:p>
          <w:p>
            <w:pPr>
              <w:pStyle w:val="null3"/>
              <w:ind w:firstLine="480"/>
              <w:jc w:val="both"/>
            </w:pPr>
            <w:r>
              <w:rPr>
                <w:rFonts w:ascii="仿宋_GB2312" w:hAnsi="仿宋_GB2312" w:cs="仿宋_GB2312" w:eastAsia="仿宋_GB2312"/>
                <w:sz w:val="24"/>
              </w:rPr>
              <w:t>根据测算的时间范围、分值付费标准以及支付标准的调整等结果定期反馈采购人，对于费用集中程度较好的重点类别监控病种，以及不同类别费用相对均衡的稳定病种，通过测算不同明细费用类别付费标准，最终结合明细类别权重等因素，拟合形成校正后的病种分值。对于费用离散度较高的重点类别监控病种，需要通过专家评议和医保、定点医疗机构之间协商沟通的方式校正病种分值，并对全市医保住院病案的病种分值、点值、差异系数等进行持续调整与优化。</w:t>
            </w:r>
          </w:p>
          <w:p>
            <w:pPr>
              <w:pStyle w:val="null3"/>
              <w:outlineLvl w:val="3"/>
            </w:pPr>
            <w:r>
              <w:rPr>
                <w:rFonts w:ascii="仿宋_GB2312" w:hAnsi="仿宋_GB2312" w:cs="仿宋_GB2312" w:eastAsia="仿宋_GB2312"/>
                <w:sz w:val="24"/>
                <w:b/>
              </w:rPr>
              <w:t>5.2.1.4</w:t>
            </w:r>
            <w:r>
              <w:rPr>
                <w:rFonts w:ascii="仿宋_GB2312" w:hAnsi="仿宋_GB2312" w:cs="仿宋_GB2312" w:eastAsia="仿宋_GB2312"/>
                <w:sz w:val="24"/>
                <w:b/>
              </w:rPr>
              <w:t>DIP</w:t>
            </w:r>
            <w:r>
              <w:rPr>
                <w:rFonts w:ascii="仿宋_GB2312" w:hAnsi="仿宋_GB2312" w:cs="仿宋_GB2312" w:eastAsia="仿宋_GB2312"/>
                <w:sz w:val="24"/>
                <w:b/>
              </w:rPr>
              <w:t>支付体系的模拟评估</w:t>
            </w:r>
          </w:p>
          <w:p>
            <w:pPr>
              <w:pStyle w:val="null3"/>
              <w:ind w:firstLine="480"/>
              <w:jc w:val="both"/>
            </w:pPr>
            <w:r>
              <w:rPr>
                <w:rFonts w:ascii="仿宋_GB2312" w:hAnsi="仿宋_GB2312" w:cs="仿宋_GB2312" w:eastAsia="仿宋_GB2312"/>
                <w:sz w:val="24"/>
              </w:rPr>
              <w:t>按照采购人要求，对完成的</w:t>
            </w:r>
            <w:r>
              <w:rPr>
                <w:rFonts w:ascii="仿宋_GB2312" w:hAnsi="仿宋_GB2312" w:cs="仿宋_GB2312" w:eastAsia="仿宋_GB2312"/>
                <w:sz w:val="24"/>
              </w:rPr>
              <w:t>DIP支付体系，使用本地历史数据进行模拟评估，验证DIP支付体系的合理性和科学性。</w:t>
            </w:r>
          </w:p>
          <w:p>
            <w:pPr>
              <w:pStyle w:val="null3"/>
              <w:outlineLvl w:val="3"/>
            </w:pPr>
            <w:r>
              <w:rPr>
                <w:rFonts w:ascii="仿宋_GB2312" w:hAnsi="仿宋_GB2312" w:cs="仿宋_GB2312" w:eastAsia="仿宋_GB2312"/>
                <w:sz w:val="24"/>
                <w:b/>
              </w:rPr>
              <w:t>5.2.1.5</w:t>
            </w:r>
            <w:r>
              <w:rPr>
                <w:rFonts w:ascii="仿宋_GB2312" w:hAnsi="仿宋_GB2312" w:cs="仿宋_GB2312" w:eastAsia="仿宋_GB2312"/>
                <w:sz w:val="24"/>
                <w:b/>
              </w:rPr>
              <w:t>DIP</w:t>
            </w:r>
            <w:r>
              <w:rPr>
                <w:rFonts w:ascii="仿宋_GB2312" w:hAnsi="仿宋_GB2312" w:cs="仿宋_GB2312" w:eastAsia="仿宋_GB2312"/>
                <w:sz w:val="24"/>
                <w:b/>
              </w:rPr>
              <w:t>支付体系的初步确认</w:t>
            </w:r>
          </w:p>
          <w:p>
            <w:pPr>
              <w:pStyle w:val="null3"/>
              <w:ind w:firstLine="480"/>
              <w:jc w:val="both"/>
            </w:pPr>
            <w:r>
              <w:rPr>
                <w:rFonts w:ascii="仿宋_GB2312" w:hAnsi="仿宋_GB2312" w:cs="仿宋_GB2312" w:eastAsia="仿宋_GB2312"/>
                <w:sz w:val="24"/>
              </w:rPr>
              <w:t>按照采购人要求，公开各病种分值、每分值费用、医疗机构等级系数，计算办法、规则和逻辑等。根据测算结果与定点医疗机构进行反馈沟通，不断优化分值、每分值费用、医疗机构等级系数等，最终确认各病例组合分值、每分值费用、医疗机构等级系数等，确定符合汉中市实际的支付标准，结合采购人医保基金收支情况及相关政策，充分满足国家、省级支付方式改革各类试点内容和要求，并达到良好实施效果。供应商根据采购人不同时期、不同要求和不同业务特点实时进行调整完善。</w:t>
            </w:r>
          </w:p>
          <w:p>
            <w:pPr>
              <w:pStyle w:val="null3"/>
              <w:outlineLvl w:val="2"/>
            </w:pPr>
            <w:r>
              <w:rPr>
                <w:rFonts w:ascii="仿宋_GB2312" w:hAnsi="仿宋_GB2312" w:cs="仿宋_GB2312" w:eastAsia="仿宋_GB2312"/>
                <w:sz w:val="28"/>
                <w:b/>
              </w:rPr>
              <w:t>5.2.2</w:t>
            </w:r>
            <w:r>
              <w:rPr>
                <w:rFonts w:ascii="仿宋_GB2312" w:hAnsi="仿宋_GB2312" w:cs="仿宋_GB2312" w:eastAsia="仿宋_GB2312"/>
                <w:sz w:val="28"/>
                <w:b/>
              </w:rPr>
              <w:t>总额预算控制管理</w:t>
            </w:r>
          </w:p>
          <w:p>
            <w:pPr>
              <w:pStyle w:val="null3"/>
              <w:ind w:firstLine="480"/>
              <w:jc w:val="both"/>
            </w:pPr>
            <w:r>
              <w:rPr>
                <w:rFonts w:ascii="仿宋_GB2312" w:hAnsi="仿宋_GB2312" w:cs="仿宋_GB2312" w:eastAsia="仿宋_GB2312"/>
                <w:sz w:val="24"/>
              </w:rPr>
              <w:t>制定与</w:t>
            </w:r>
            <w:r>
              <w:rPr>
                <w:rFonts w:ascii="仿宋_GB2312" w:hAnsi="仿宋_GB2312" w:cs="仿宋_GB2312" w:eastAsia="仿宋_GB2312"/>
                <w:sz w:val="24"/>
              </w:rPr>
              <w:t>DIP支付方式改革紧密契合的医保总额控制管理方案，结合上年度实际发生的医疗服务量、服务质量、监管考核等情况，合理确定年度DIP医保基金预算总额。根据预算指标，确定对医疗机构月度预算点值。</w:t>
            </w:r>
          </w:p>
          <w:p>
            <w:pPr>
              <w:pStyle w:val="null3"/>
              <w:outlineLvl w:val="2"/>
            </w:pPr>
            <w:r>
              <w:rPr>
                <w:rFonts w:ascii="仿宋_GB2312" w:hAnsi="仿宋_GB2312" w:cs="仿宋_GB2312" w:eastAsia="仿宋_GB2312"/>
                <w:sz w:val="28"/>
                <w:b/>
              </w:rPr>
              <w:t>5.2.3</w:t>
            </w:r>
            <w:r>
              <w:rPr>
                <w:rFonts w:ascii="仿宋_GB2312" w:hAnsi="仿宋_GB2312" w:cs="仿宋_GB2312" w:eastAsia="仿宋_GB2312"/>
                <w:sz w:val="28"/>
                <w:b/>
              </w:rPr>
              <w:t>组织完成模拟运行</w:t>
            </w:r>
          </w:p>
          <w:p>
            <w:pPr>
              <w:pStyle w:val="null3"/>
              <w:ind w:firstLine="480"/>
              <w:jc w:val="both"/>
            </w:pPr>
            <w:r>
              <w:rPr>
                <w:rFonts w:ascii="仿宋_GB2312" w:hAnsi="仿宋_GB2312" w:cs="仿宋_GB2312" w:eastAsia="仿宋_GB2312"/>
                <w:sz w:val="24"/>
              </w:rPr>
              <w:t>针对</w:t>
            </w:r>
            <w:r>
              <w:rPr>
                <w:rFonts w:ascii="仿宋_GB2312" w:hAnsi="仿宋_GB2312" w:cs="仿宋_GB2312" w:eastAsia="仿宋_GB2312"/>
                <w:sz w:val="24"/>
              </w:rPr>
              <w:t>尚未纳入实际付费的定点医疗机构，</w:t>
            </w:r>
            <w:r>
              <w:rPr>
                <w:rFonts w:ascii="仿宋_GB2312" w:hAnsi="仿宋_GB2312" w:cs="仿宋_GB2312" w:eastAsia="仿宋_GB2312"/>
                <w:sz w:val="24"/>
              </w:rPr>
              <w:t>充分利用医保大数据整合优势，计算</w:t>
            </w:r>
            <w:r>
              <w:rPr>
                <w:rFonts w:ascii="仿宋_GB2312" w:hAnsi="仿宋_GB2312" w:cs="仿宋_GB2312" w:eastAsia="仿宋_GB2312"/>
                <w:sz w:val="24"/>
              </w:rPr>
              <w:t>DIP付费各病种的分值及各定点的系数等复杂测算工作，在已完成的支付体系中对定点医疗机构按DIP付费模拟运行，与现行付费方式并行运行比较，进一步验证和完善DIP分组、病种分值、点值和医疗机构等级系数等的合理性、科学性，提供模拟付费报告，实现由现有的付费方式平稳过渡到DIP。</w:t>
            </w:r>
          </w:p>
          <w:p>
            <w:pPr>
              <w:pStyle w:val="null3"/>
              <w:outlineLvl w:val="3"/>
            </w:pPr>
            <w:r>
              <w:rPr>
                <w:rFonts w:ascii="仿宋_GB2312" w:hAnsi="仿宋_GB2312" w:cs="仿宋_GB2312" w:eastAsia="仿宋_GB2312"/>
                <w:sz w:val="24"/>
                <w:b/>
              </w:rPr>
              <w:t>5.2.3.1</w:t>
            </w:r>
            <w:r>
              <w:rPr>
                <w:rFonts w:ascii="仿宋_GB2312" w:hAnsi="仿宋_GB2312" w:cs="仿宋_GB2312" w:eastAsia="仿宋_GB2312"/>
                <w:sz w:val="24"/>
                <w:b/>
              </w:rPr>
              <w:t>建立数据质量审核校验机制</w:t>
            </w:r>
          </w:p>
          <w:p>
            <w:pPr>
              <w:pStyle w:val="null3"/>
              <w:ind w:firstLine="480"/>
              <w:jc w:val="both"/>
            </w:pPr>
            <w:r>
              <w:rPr>
                <w:rFonts w:ascii="仿宋_GB2312" w:hAnsi="仿宋_GB2312" w:cs="仿宋_GB2312" w:eastAsia="仿宋_GB2312"/>
                <w:sz w:val="24"/>
              </w:rPr>
              <w:t>通过数据分析，对数据完整性、合理性和规范性进行审核，定点医疗机构</w:t>
            </w:r>
            <w:r>
              <w:rPr>
                <w:rFonts w:ascii="仿宋_GB2312" w:hAnsi="仿宋_GB2312" w:cs="仿宋_GB2312" w:eastAsia="仿宋_GB2312"/>
                <w:sz w:val="24"/>
              </w:rPr>
              <w:t>15项医保信息业务编码落地使用率100%、医保结算清单及时上传率和一次性质控通过率达到100%、病案数据入组率达到95%以上。</w:t>
            </w:r>
          </w:p>
          <w:p>
            <w:pPr>
              <w:pStyle w:val="null3"/>
              <w:outlineLvl w:val="3"/>
            </w:pPr>
            <w:r>
              <w:rPr>
                <w:rFonts w:ascii="仿宋_GB2312" w:hAnsi="仿宋_GB2312" w:cs="仿宋_GB2312" w:eastAsia="仿宋_GB2312"/>
                <w:sz w:val="24"/>
                <w:b/>
              </w:rPr>
              <w:t>5.2.3.2</w:t>
            </w:r>
            <w:r>
              <w:rPr>
                <w:rFonts w:ascii="仿宋_GB2312" w:hAnsi="仿宋_GB2312" w:cs="仿宋_GB2312" w:eastAsia="仿宋_GB2312"/>
                <w:sz w:val="24"/>
                <w:b/>
              </w:rPr>
              <w:t>建立数据运行分析制度</w:t>
            </w:r>
          </w:p>
          <w:p>
            <w:pPr>
              <w:pStyle w:val="null3"/>
              <w:ind w:firstLine="480"/>
              <w:jc w:val="both"/>
            </w:pPr>
            <w:r>
              <w:rPr>
                <w:rFonts w:ascii="仿宋_GB2312" w:hAnsi="仿宋_GB2312" w:cs="仿宋_GB2312" w:eastAsia="仿宋_GB2312"/>
                <w:sz w:val="24"/>
              </w:rPr>
              <w:t>从数据上传率、</w:t>
            </w:r>
            <w:r>
              <w:rPr>
                <w:rFonts w:ascii="仿宋_GB2312" w:hAnsi="仿宋_GB2312" w:cs="仿宋_GB2312" w:eastAsia="仿宋_GB2312"/>
                <w:sz w:val="24"/>
              </w:rPr>
              <w:t>15项医保信息业务编码对码率、病案质控通过率、病案与结算关联率、超时上传病案率、病案业务质控合格率、病案错误问题、不合格病例明细数据、入组病例明细、入组率、未入组病例明细和模拟支付结果等方面开展数据运行分析，针对本月模拟运行情况举行通报解读会，提出具体意见建议，协助采购人督促定点医疗机构能够客观、及时、准确、完整上传信息，并持续优化医保结算清单质量。</w:t>
            </w:r>
          </w:p>
          <w:p>
            <w:pPr>
              <w:pStyle w:val="null3"/>
              <w:outlineLvl w:val="3"/>
            </w:pPr>
            <w:r>
              <w:rPr>
                <w:rFonts w:ascii="仿宋_GB2312" w:hAnsi="仿宋_GB2312" w:cs="仿宋_GB2312" w:eastAsia="仿宋_GB2312"/>
                <w:sz w:val="24"/>
                <w:b/>
              </w:rPr>
              <w:t>5.2.3.3</w:t>
            </w:r>
            <w:r>
              <w:rPr>
                <w:rFonts w:ascii="仿宋_GB2312" w:hAnsi="仿宋_GB2312" w:cs="仿宋_GB2312" w:eastAsia="仿宋_GB2312"/>
                <w:sz w:val="24"/>
                <w:b/>
              </w:rPr>
              <w:t>协助制定支付结算配套政策文件</w:t>
            </w:r>
          </w:p>
          <w:p>
            <w:pPr>
              <w:pStyle w:val="null3"/>
              <w:ind w:firstLine="480"/>
              <w:jc w:val="both"/>
            </w:pPr>
            <w:r>
              <w:rPr>
                <w:rFonts w:ascii="仿宋_GB2312" w:hAnsi="仿宋_GB2312" w:cs="仿宋_GB2312" w:eastAsia="仿宋_GB2312"/>
                <w:sz w:val="24"/>
              </w:rPr>
              <w:t>提供模拟运行数据，收集各方反馈问题，协助采购人完善医保基金总额预算管理办法、经办规程、结算办法、协议管理规程、考核管理办法、监督管理办法、数据质控管理办法、紧密型县域医共体总额预算及结算管理办法和建立多方参与的评价与争议处理机制等相关配套制度。</w:t>
            </w:r>
          </w:p>
          <w:p>
            <w:pPr>
              <w:pStyle w:val="null3"/>
              <w:outlineLvl w:val="2"/>
            </w:pPr>
            <w:r>
              <w:rPr>
                <w:rFonts w:ascii="仿宋_GB2312" w:hAnsi="仿宋_GB2312" w:cs="仿宋_GB2312" w:eastAsia="仿宋_GB2312"/>
                <w:sz w:val="28"/>
                <w:b/>
              </w:rPr>
              <w:t>5.2.4</w:t>
            </w:r>
            <w:r>
              <w:rPr>
                <w:rFonts w:ascii="仿宋_GB2312" w:hAnsi="仿宋_GB2312" w:cs="仿宋_GB2312" w:eastAsia="仿宋_GB2312"/>
                <w:sz w:val="28"/>
                <w:b/>
              </w:rPr>
              <w:t>组织完成实际付费</w:t>
            </w:r>
          </w:p>
          <w:p>
            <w:pPr>
              <w:pStyle w:val="null3"/>
              <w:ind w:firstLine="480"/>
              <w:jc w:val="both"/>
            </w:pPr>
            <w:r>
              <w:rPr>
                <w:rFonts w:ascii="仿宋_GB2312" w:hAnsi="仿宋_GB2312" w:cs="仿宋_GB2312" w:eastAsia="仿宋_GB2312"/>
                <w:sz w:val="24"/>
              </w:rPr>
              <w:t>根据模拟运行阶段评估结果，进一步完善汉中市</w:t>
            </w:r>
            <w:r>
              <w:rPr>
                <w:rFonts w:ascii="仿宋_GB2312" w:hAnsi="仿宋_GB2312" w:cs="仿宋_GB2312" w:eastAsia="仿宋_GB2312"/>
                <w:sz w:val="24"/>
              </w:rPr>
              <w:t>DIP支付体系及相应配套政策是否合理，提出完善DIP支付体系方案，适时开展所有有住院服务的定点医疗机构实际付费。提供《按DIP付费系统结算流程》，协助采购人完成月度拨付工作和年终清算工作。探索实施中医DIP付费。</w:t>
            </w:r>
          </w:p>
          <w:p>
            <w:pPr>
              <w:pStyle w:val="null3"/>
              <w:ind w:firstLine="480"/>
              <w:jc w:val="both"/>
            </w:pPr>
            <w:r>
              <w:rPr>
                <w:rFonts w:ascii="仿宋_GB2312" w:hAnsi="仿宋_GB2312" w:cs="仿宋_GB2312" w:eastAsia="仿宋_GB2312"/>
                <w:sz w:val="24"/>
              </w:rPr>
              <w:t>1、提供已</w:t>
            </w:r>
            <w:r>
              <w:rPr>
                <w:rFonts w:ascii="仿宋_GB2312" w:hAnsi="仿宋_GB2312" w:cs="仿宋_GB2312" w:eastAsia="仿宋_GB2312"/>
                <w:sz w:val="24"/>
              </w:rPr>
              <w:t>开展</w:t>
            </w:r>
            <w:r>
              <w:rPr>
                <w:rFonts w:ascii="仿宋_GB2312" w:hAnsi="仿宋_GB2312" w:cs="仿宋_GB2312" w:eastAsia="仿宋_GB2312"/>
                <w:sz w:val="24"/>
              </w:rPr>
              <w:t>DIP付费结算的</w:t>
            </w:r>
            <w:r>
              <w:rPr>
                <w:rFonts w:ascii="仿宋_GB2312" w:hAnsi="仿宋_GB2312" w:cs="仿宋_GB2312" w:eastAsia="仿宋_GB2312"/>
                <w:sz w:val="24"/>
              </w:rPr>
              <w:t>定点</w:t>
            </w:r>
            <w:r>
              <w:rPr>
                <w:rFonts w:ascii="仿宋_GB2312" w:hAnsi="仿宋_GB2312" w:cs="仿宋_GB2312" w:eastAsia="仿宋_GB2312"/>
                <w:sz w:val="24"/>
              </w:rPr>
              <w:t>医疗机构总额控制下</w:t>
            </w:r>
            <w:r>
              <w:rPr>
                <w:rFonts w:ascii="仿宋_GB2312" w:hAnsi="仿宋_GB2312" w:cs="仿宋_GB2312" w:eastAsia="仿宋_GB2312"/>
                <w:sz w:val="24"/>
              </w:rPr>
              <w:t>DIP支付实际付费服务。包括但不限于每日反馈、每月审核、月度预结算、年终清算、定期分析监测、考核指标计算和日常沟通等。</w:t>
            </w:r>
          </w:p>
          <w:p>
            <w:pPr>
              <w:pStyle w:val="null3"/>
              <w:ind w:firstLine="480"/>
              <w:jc w:val="both"/>
            </w:pPr>
            <w:r>
              <w:rPr>
                <w:rFonts w:ascii="仿宋_GB2312" w:hAnsi="仿宋_GB2312" w:cs="仿宋_GB2312" w:eastAsia="仿宋_GB2312"/>
                <w:sz w:val="24"/>
              </w:rPr>
              <w:t>2、逐步</w:t>
            </w:r>
            <w:r>
              <w:rPr>
                <w:rFonts w:ascii="仿宋_GB2312" w:hAnsi="仿宋_GB2312" w:cs="仿宋_GB2312" w:eastAsia="仿宋_GB2312"/>
                <w:sz w:val="24"/>
              </w:rPr>
              <w:t>完成</w:t>
            </w:r>
            <w:r>
              <w:rPr>
                <w:rFonts w:ascii="仿宋_GB2312" w:hAnsi="仿宋_GB2312" w:cs="仿宋_GB2312" w:eastAsia="仿宋_GB2312"/>
                <w:sz w:val="24"/>
              </w:rPr>
              <w:t>全市</w:t>
            </w:r>
            <w:r>
              <w:rPr>
                <w:rFonts w:ascii="仿宋_GB2312" w:hAnsi="仿宋_GB2312" w:cs="仿宋_GB2312" w:eastAsia="仿宋_GB2312"/>
                <w:sz w:val="24"/>
              </w:rPr>
              <w:t>符合</w:t>
            </w:r>
            <w:r>
              <w:rPr>
                <w:rFonts w:ascii="仿宋_GB2312" w:hAnsi="仿宋_GB2312" w:cs="仿宋_GB2312" w:eastAsia="仿宋_GB2312"/>
                <w:sz w:val="24"/>
              </w:rPr>
              <w:t>DIP付费</w:t>
            </w:r>
            <w:r>
              <w:rPr>
                <w:rFonts w:ascii="仿宋_GB2312" w:hAnsi="仿宋_GB2312" w:cs="仿宋_GB2312" w:eastAsia="仿宋_GB2312"/>
                <w:sz w:val="24"/>
              </w:rPr>
              <w:t>条件</w:t>
            </w:r>
            <w:r>
              <w:rPr>
                <w:rFonts w:ascii="仿宋_GB2312" w:hAnsi="仿宋_GB2312" w:cs="仿宋_GB2312" w:eastAsia="仿宋_GB2312"/>
                <w:sz w:val="24"/>
              </w:rPr>
              <w:t>的</w:t>
            </w:r>
            <w:r>
              <w:rPr>
                <w:rFonts w:ascii="仿宋_GB2312" w:hAnsi="仿宋_GB2312" w:cs="仿宋_GB2312" w:eastAsia="仿宋_GB2312"/>
                <w:sz w:val="24"/>
              </w:rPr>
              <w:t>医疗</w:t>
            </w:r>
            <w:r>
              <w:rPr>
                <w:rFonts w:ascii="仿宋_GB2312" w:hAnsi="仿宋_GB2312" w:cs="仿宋_GB2312" w:eastAsia="仿宋_GB2312"/>
                <w:sz w:val="24"/>
              </w:rPr>
              <w:t>机构</w:t>
            </w:r>
            <w:r>
              <w:rPr>
                <w:rFonts w:ascii="仿宋_GB2312" w:hAnsi="仿宋_GB2312" w:cs="仿宋_GB2312" w:eastAsia="仿宋_GB2312"/>
                <w:sz w:val="24"/>
              </w:rPr>
              <w:t>平稳有序进入实际付费。</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评估改革预期成效。在项目实施的每一阶段或特殊节点，按照采购人的需求，定期或不定期对项目运行情况进行分析，并形成分析报告。包括但不限于：定期对定点医疗机构数据进行入组后分布分析，监测数据采集质量；对分组后病种的平均成本与历史数据对比分析、时间和费用消耗指数的分析、费用构成分析、病种盈亏分析，监测</w:t>
            </w:r>
            <w:r>
              <w:rPr>
                <w:rFonts w:ascii="仿宋_GB2312" w:hAnsi="仿宋_GB2312" w:cs="仿宋_GB2312" w:eastAsia="仿宋_GB2312"/>
                <w:sz w:val="24"/>
              </w:rPr>
              <w:t>DIP付费初步预期成效；按医疗机构级别、病种等特征对比分析，持续完善DIP付费体系。同时开展按床日付费、按人头付费、日间病房支付改革工作。</w:t>
            </w:r>
          </w:p>
          <w:p>
            <w:pPr>
              <w:pStyle w:val="null3"/>
              <w:ind w:firstLine="480"/>
              <w:jc w:val="both"/>
              <w:outlineLvl w:val="1"/>
            </w:pPr>
            <w:r>
              <w:rPr>
                <w:rFonts w:ascii="仿宋_GB2312" w:hAnsi="仿宋_GB2312" w:cs="仿宋_GB2312" w:eastAsia="仿宋_GB2312"/>
                <w:sz w:val="28"/>
                <w:b/>
              </w:rPr>
              <w:t>5.3</w:t>
            </w:r>
            <w:r>
              <w:rPr>
                <w:rFonts w:ascii="仿宋_GB2312" w:hAnsi="仿宋_GB2312" w:cs="仿宋_GB2312" w:eastAsia="仿宋_GB2312"/>
                <w:sz w:val="28"/>
                <w:b/>
              </w:rPr>
              <w:t>信息技术服务</w:t>
            </w:r>
          </w:p>
          <w:p>
            <w:pPr>
              <w:pStyle w:val="null3"/>
              <w:outlineLvl w:val="2"/>
            </w:pPr>
            <w:r>
              <w:rPr>
                <w:rFonts w:ascii="仿宋_GB2312" w:hAnsi="仿宋_GB2312" w:cs="仿宋_GB2312" w:eastAsia="仿宋_GB2312"/>
                <w:sz w:val="28"/>
                <w:b/>
              </w:rPr>
              <w:t>5.3.1</w:t>
            </w:r>
            <w:r>
              <w:rPr>
                <w:rFonts w:ascii="仿宋_GB2312" w:hAnsi="仿宋_GB2312" w:cs="仿宋_GB2312" w:eastAsia="仿宋_GB2312"/>
                <w:sz w:val="28"/>
                <w:b/>
              </w:rPr>
              <w:t>编码适配服务</w:t>
            </w:r>
          </w:p>
          <w:p>
            <w:pPr>
              <w:pStyle w:val="null3"/>
              <w:ind w:firstLine="480"/>
              <w:jc w:val="both"/>
            </w:pPr>
            <w:r>
              <w:rPr>
                <w:rFonts w:ascii="仿宋_GB2312" w:hAnsi="仿宋_GB2312" w:cs="仿宋_GB2312" w:eastAsia="仿宋_GB2312"/>
                <w:sz w:val="24"/>
              </w:rPr>
              <w:t>针对</w:t>
            </w:r>
            <w:r>
              <w:rPr>
                <w:rFonts w:ascii="仿宋_GB2312" w:hAnsi="仿宋_GB2312" w:cs="仿宋_GB2312" w:eastAsia="仿宋_GB2312"/>
                <w:sz w:val="24"/>
              </w:rPr>
              <w:t>DIP支付方式改革的实施情况，按需将定点医疗机构非标准化的编码转换为医保标准化的目录编码，实现医学术语及编码的一致性。</w:t>
            </w:r>
          </w:p>
          <w:p>
            <w:pPr>
              <w:pStyle w:val="null3"/>
              <w:outlineLvl w:val="2"/>
            </w:pPr>
            <w:r>
              <w:rPr>
                <w:rFonts w:ascii="仿宋_GB2312" w:hAnsi="仿宋_GB2312" w:cs="仿宋_GB2312" w:eastAsia="仿宋_GB2312"/>
                <w:sz w:val="28"/>
                <w:b/>
              </w:rPr>
              <w:t>5.3.2</w:t>
            </w:r>
            <w:r>
              <w:rPr>
                <w:rFonts w:ascii="仿宋_GB2312" w:hAnsi="仿宋_GB2312" w:cs="仿宋_GB2312" w:eastAsia="仿宋_GB2312"/>
                <w:sz w:val="28"/>
                <w:b/>
              </w:rPr>
              <w:t>结算清单质控服务</w:t>
            </w:r>
          </w:p>
          <w:p>
            <w:pPr>
              <w:pStyle w:val="null3"/>
              <w:ind w:firstLine="480"/>
              <w:jc w:val="both"/>
            </w:pPr>
            <w:r>
              <w:rPr>
                <w:rFonts w:ascii="仿宋_GB2312" w:hAnsi="仿宋_GB2312" w:cs="仿宋_GB2312" w:eastAsia="仿宋_GB2312"/>
                <w:sz w:val="24"/>
              </w:rPr>
              <w:t>基于汉中市</w:t>
            </w:r>
            <w:r>
              <w:rPr>
                <w:rFonts w:ascii="仿宋_GB2312" w:hAnsi="仿宋_GB2312" w:cs="仿宋_GB2312" w:eastAsia="仿宋_GB2312"/>
                <w:sz w:val="24"/>
              </w:rPr>
              <w:t>DIP支付方式改革需求，提供统一的结算清单质量控制服务。定点医疗机构病案上传时能校验填报质量。</w:t>
            </w:r>
          </w:p>
          <w:p>
            <w:pPr>
              <w:pStyle w:val="null3"/>
              <w:outlineLvl w:val="2"/>
            </w:pPr>
            <w:r>
              <w:rPr>
                <w:rFonts w:ascii="仿宋_GB2312" w:hAnsi="仿宋_GB2312" w:cs="仿宋_GB2312" w:eastAsia="仿宋_GB2312"/>
                <w:sz w:val="28"/>
                <w:b/>
              </w:rPr>
              <w:t>5.3.3</w:t>
            </w:r>
            <w:r>
              <w:rPr>
                <w:rFonts w:ascii="仿宋_GB2312" w:hAnsi="仿宋_GB2312" w:cs="仿宋_GB2312" w:eastAsia="仿宋_GB2312"/>
                <w:sz w:val="28"/>
                <w:b/>
              </w:rPr>
              <w:t>病种目录管理服务</w:t>
            </w:r>
          </w:p>
          <w:p>
            <w:pPr>
              <w:pStyle w:val="null3"/>
              <w:ind w:firstLine="480"/>
              <w:jc w:val="both"/>
            </w:pPr>
            <w:r>
              <w:rPr>
                <w:rFonts w:ascii="仿宋_GB2312" w:hAnsi="仿宋_GB2312" w:cs="仿宋_GB2312" w:eastAsia="仿宋_GB2312"/>
                <w:sz w:val="24"/>
              </w:rPr>
              <w:t>根据医保结算数据和病案首页数据，运用先进医疗信息处理技术及大数据分析能力，搭建汉中市病种目录分类模型，根据预定的病种目录，计算模型对病案信息和结算信息进行计算，最终确定病种目录；检验病种目录的稳定性、变异性是否在可接受范围内，以校验病种细化组合的正确性、合理性；完成病种入组结果的查询，通过</w:t>
            </w:r>
            <w:r>
              <w:rPr>
                <w:rFonts w:ascii="仿宋_GB2312" w:hAnsi="仿宋_GB2312" w:cs="仿宋_GB2312" w:eastAsia="仿宋_GB2312"/>
                <w:sz w:val="24"/>
              </w:rPr>
              <w:t>CMI值、住院服务量、收治DIP病种范围、费用消耗指数、时间消耗指数等内容，从不同维度对病案入组结果、相应病案信息及结算信息进行查询。</w:t>
            </w:r>
          </w:p>
          <w:p>
            <w:pPr>
              <w:pStyle w:val="null3"/>
              <w:ind w:firstLine="480"/>
              <w:jc w:val="both"/>
            </w:pPr>
            <w:r>
              <w:rPr>
                <w:rFonts w:ascii="仿宋_GB2312" w:hAnsi="仿宋_GB2312" w:cs="仿宋_GB2312" w:eastAsia="仿宋_GB2312"/>
                <w:sz w:val="24"/>
              </w:rPr>
              <w:t>每季度根据实际运行情况结合医疗机构提供的目录库动态调整需求单，通过历史数据对病种重新进行测算、清洗，最终大于汉中临界值</w:t>
            </w:r>
            <w:r>
              <w:rPr>
                <w:rFonts w:ascii="仿宋_GB2312" w:hAnsi="仿宋_GB2312" w:cs="仿宋_GB2312" w:eastAsia="仿宋_GB2312"/>
                <w:sz w:val="24"/>
              </w:rPr>
              <w:t>13例的病组予以进行分值和次均费用的调整。</w:t>
            </w:r>
          </w:p>
          <w:p>
            <w:pPr>
              <w:pStyle w:val="null3"/>
              <w:ind w:firstLine="480"/>
              <w:jc w:val="both"/>
              <w:outlineLvl w:val="2"/>
            </w:pPr>
            <w:r>
              <w:rPr>
                <w:rFonts w:ascii="仿宋_GB2312" w:hAnsi="仿宋_GB2312" w:cs="仿宋_GB2312" w:eastAsia="仿宋_GB2312"/>
                <w:sz w:val="28"/>
                <w:b/>
              </w:rPr>
              <w:t>5.3.4</w:t>
            </w:r>
            <w:r>
              <w:rPr>
                <w:rFonts w:ascii="仿宋_GB2312" w:hAnsi="仿宋_GB2312" w:cs="仿宋_GB2312" w:eastAsia="仿宋_GB2312"/>
                <w:sz w:val="28"/>
                <w:b/>
              </w:rPr>
              <w:t>病种分值结算服务</w:t>
            </w:r>
          </w:p>
          <w:p>
            <w:pPr>
              <w:pStyle w:val="null3"/>
              <w:ind w:firstLine="480"/>
              <w:jc w:val="both"/>
            </w:pPr>
            <w:r>
              <w:rPr>
                <w:rFonts w:ascii="仿宋_GB2312" w:hAnsi="仿宋_GB2312" w:cs="仿宋_GB2312" w:eastAsia="仿宋_GB2312"/>
                <w:sz w:val="24"/>
              </w:rPr>
              <w:t>能通过病种目录开展基金预算管理、入组查询、病种管理、季度特例单议结算管理、月度结算管理、年终清算、系数管理等工作。</w:t>
            </w:r>
          </w:p>
          <w:p>
            <w:pPr>
              <w:pStyle w:val="null3"/>
              <w:outlineLvl w:val="1"/>
            </w:pPr>
            <w:r>
              <w:rPr>
                <w:rFonts w:ascii="仿宋_GB2312" w:hAnsi="仿宋_GB2312" w:cs="仿宋_GB2312" w:eastAsia="仿宋_GB2312"/>
                <w:sz w:val="28"/>
                <w:b/>
              </w:rPr>
              <w:t>5.4</w:t>
            </w:r>
            <w:r>
              <w:rPr>
                <w:rFonts w:ascii="仿宋_GB2312" w:hAnsi="仿宋_GB2312" w:cs="仿宋_GB2312" w:eastAsia="仿宋_GB2312"/>
                <w:sz w:val="28"/>
                <w:b/>
              </w:rPr>
              <w:t>政策咨询服务</w:t>
            </w:r>
          </w:p>
          <w:p>
            <w:pPr>
              <w:pStyle w:val="null3"/>
              <w:outlineLvl w:val="2"/>
            </w:pPr>
            <w:r>
              <w:rPr>
                <w:rFonts w:ascii="仿宋_GB2312" w:hAnsi="仿宋_GB2312" w:cs="仿宋_GB2312" w:eastAsia="仿宋_GB2312"/>
                <w:sz w:val="28"/>
                <w:b/>
              </w:rPr>
              <w:t>5.4.1</w:t>
            </w:r>
            <w:r>
              <w:rPr>
                <w:rFonts w:ascii="仿宋_GB2312" w:hAnsi="仿宋_GB2312" w:cs="仿宋_GB2312" w:eastAsia="仿宋_GB2312"/>
                <w:sz w:val="28"/>
                <w:b/>
              </w:rPr>
              <w:t>政策文件咨询</w:t>
            </w:r>
          </w:p>
          <w:p>
            <w:pPr>
              <w:pStyle w:val="null3"/>
              <w:ind w:firstLine="480"/>
              <w:jc w:val="both"/>
            </w:pPr>
            <w:r>
              <w:rPr>
                <w:rFonts w:ascii="仿宋_GB2312" w:hAnsi="仿宋_GB2312" w:cs="仿宋_GB2312" w:eastAsia="仿宋_GB2312"/>
                <w:sz w:val="24"/>
              </w:rPr>
              <w:t>基于全流程、全方位政策体系构建的视角和能力，根据汉中市的特点，建立包括且不限于数据管理、预算管理、目录管理、病例评审、监督管理、绩效考核全过程的落地制度政策，助力国家政策在汉中市得到无偏执行和实施，达到改革的效果。</w:t>
            </w:r>
          </w:p>
          <w:p>
            <w:pPr>
              <w:pStyle w:val="null3"/>
              <w:outlineLvl w:val="2"/>
            </w:pPr>
            <w:r>
              <w:rPr>
                <w:rFonts w:ascii="仿宋_GB2312" w:hAnsi="仿宋_GB2312" w:cs="仿宋_GB2312" w:eastAsia="仿宋_GB2312"/>
                <w:sz w:val="28"/>
                <w:b/>
              </w:rPr>
              <w:t>5.4.2</w:t>
            </w:r>
            <w:r>
              <w:rPr>
                <w:rFonts w:ascii="仿宋_GB2312" w:hAnsi="仿宋_GB2312" w:cs="仿宋_GB2312" w:eastAsia="仿宋_GB2312"/>
                <w:sz w:val="28"/>
                <w:b/>
              </w:rPr>
              <w:t>疑难问题咨询</w:t>
            </w:r>
          </w:p>
          <w:p>
            <w:pPr>
              <w:pStyle w:val="null3"/>
              <w:ind w:firstLine="480"/>
              <w:jc w:val="both"/>
            </w:pPr>
            <w:r>
              <w:rPr>
                <w:rFonts w:ascii="仿宋_GB2312" w:hAnsi="仿宋_GB2312" w:cs="仿宋_GB2312" w:eastAsia="仿宋_GB2312"/>
                <w:sz w:val="24"/>
              </w:rPr>
              <w:t>针对</w:t>
            </w:r>
            <w:r>
              <w:rPr>
                <w:rFonts w:ascii="仿宋_GB2312" w:hAnsi="仿宋_GB2312" w:cs="仿宋_GB2312" w:eastAsia="仿宋_GB2312"/>
                <w:sz w:val="24"/>
              </w:rPr>
              <w:t>DIP支付方式改革中的数据编码不统一、分组困难、数据流转不规范、数据质量不达标、病案流程不完整、人员能力不足、技术应用受限、定点医疗机构配合积极性不高等方面的运行困难，提供应对解决方案。对项目过程中涉及与定点医疗机构之间出现临床相关方面的问题开展讨论与评审，定期或不定期组织专家团队进行项目支持工作，协助采购人处理项目实施过程中的先进技术及疑难问题。协助采购人定期总结工作进展及成效，包括基层病种、地方病种组合目录动态维护和分值付费标准测算等基础准备工作进展，以及具体的组织实施情况、开展效果等。协助采购人对按病种分值付费工作进展、医保基金运行情况进行监测和自查自评，对医保精细化管理能力和服务水平提升、医疗机构运行机制转变、参保人受益等付费实施效果进行合理评估，提供优化提升建议。</w:t>
            </w:r>
          </w:p>
          <w:p>
            <w:pPr>
              <w:pStyle w:val="null3"/>
              <w:ind w:left="435"/>
              <w:outlineLvl w:val="0"/>
            </w:pPr>
            <w:r>
              <w:rPr>
                <w:rFonts w:ascii="仿宋_GB2312" w:hAnsi="仿宋_GB2312" w:cs="仿宋_GB2312" w:eastAsia="仿宋_GB2312"/>
                <w:sz w:val="28"/>
                <w:b/>
              </w:rPr>
              <w:t>6.</w:t>
            </w:r>
            <w:r>
              <w:rPr>
                <w:rFonts w:ascii="仿宋_GB2312" w:hAnsi="仿宋_GB2312" w:cs="仿宋_GB2312" w:eastAsia="仿宋_GB2312"/>
                <w:sz w:val="28"/>
                <w:b/>
              </w:rPr>
              <w:t>项目</w:t>
            </w:r>
            <w:r>
              <w:rPr>
                <w:rFonts w:ascii="仿宋_GB2312" w:hAnsi="仿宋_GB2312" w:cs="仿宋_GB2312" w:eastAsia="仿宋_GB2312"/>
                <w:sz w:val="28"/>
                <w:b/>
              </w:rPr>
              <w:t>要求</w:t>
            </w:r>
          </w:p>
          <w:p>
            <w:pPr>
              <w:pStyle w:val="null3"/>
              <w:outlineLvl w:val="1"/>
            </w:pPr>
            <w:r>
              <w:rPr>
                <w:rFonts w:ascii="仿宋_GB2312" w:hAnsi="仿宋_GB2312" w:cs="仿宋_GB2312" w:eastAsia="仿宋_GB2312"/>
                <w:sz w:val="28"/>
                <w:b/>
              </w:rPr>
              <w:t>6.1</w:t>
            </w:r>
            <w:r>
              <w:rPr>
                <w:rFonts w:ascii="仿宋_GB2312" w:hAnsi="仿宋_GB2312" w:cs="仿宋_GB2312" w:eastAsia="仿宋_GB2312"/>
                <w:sz w:val="28"/>
                <w:b/>
              </w:rPr>
              <w:t>项目工作环境</w:t>
            </w:r>
          </w:p>
          <w:p>
            <w:pPr>
              <w:pStyle w:val="null3"/>
              <w:ind w:firstLine="480"/>
              <w:jc w:val="both"/>
            </w:pPr>
            <w:r>
              <w:rPr>
                <w:rFonts w:ascii="仿宋_GB2312" w:hAnsi="仿宋_GB2312" w:cs="仿宋_GB2312" w:eastAsia="仿宋_GB2312"/>
                <w:sz w:val="24"/>
              </w:rPr>
              <w:t>采购人为供应商提供经办业务所需要的办公场所，供应商负责提供派出人员的日常办公及管理所需工具、技术图书资料等，并承担派出人员伙食住宿、差旅等费用。供应商和采购人双方采用合署办公的形式开展</w:t>
            </w:r>
            <w:r>
              <w:rPr>
                <w:rFonts w:ascii="仿宋_GB2312" w:hAnsi="仿宋_GB2312" w:cs="仿宋_GB2312" w:eastAsia="仿宋_GB2312"/>
                <w:sz w:val="24"/>
              </w:rPr>
              <w:t>DIP支付方式改革的管理和服务工作，供应商派出人员由供应商和采购人双重管理。供应商能够提供成熟的服务体系，完善的服务配套制度，包括但不限于配套文档、驻场服务、应急响应、诚信服务等制度。</w:t>
            </w:r>
          </w:p>
          <w:p>
            <w:pPr>
              <w:pStyle w:val="null3"/>
              <w:outlineLvl w:val="1"/>
            </w:pPr>
            <w:r>
              <w:rPr>
                <w:rFonts w:ascii="仿宋_GB2312" w:hAnsi="仿宋_GB2312" w:cs="仿宋_GB2312" w:eastAsia="仿宋_GB2312"/>
                <w:sz w:val="28"/>
                <w:b/>
              </w:rPr>
              <w:t>6.2</w:t>
            </w:r>
            <w:r>
              <w:rPr>
                <w:rFonts w:ascii="仿宋_GB2312" w:hAnsi="仿宋_GB2312" w:cs="仿宋_GB2312" w:eastAsia="仿宋_GB2312"/>
                <w:sz w:val="28"/>
                <w:b/>
              </w:rPr>
              <w:t>服务团队要求</w:t>
            </w:r>
          </w:p>
          <w:p>
            <w:pPr>
              <w:pStyle w:val="null3"/>
              <w:ind w:firstLine="480"/>
              <w:jc w:val="both"/>
            </w:pPr>
            <w:r>
              <w:rPr>
                <w:rFonts w:ascii="仿宋_GB2312" w:hAnsi="仿宋_GB2312" w:cs="仿宋_GB2312" w:eastAsia="仿宋_GB2312"/>
                <w:sz w:val="24"/>
              </w:rPr>
              <w:t>供应商应承诺中标后成立满足工作需要的项目实施团队，承担具体的技术服务和实施工作，并指定</w:t>
            </w:r>
            <w:r>
              <w:rPr>
                <w:rFonts w:ascii="仿宋_GB2312" w:hAnsi="仿宋_GB2312" w:cs="仿宋_GB2312" w:eastAsia="仿宋_GB2312"/>
                <w:sz w:val="24"/>
              </w:rPr>
              <w:t>1名全职项目经理负责本项目具体实施工作。</w:t>
            </w:r>
          </w:p>
          <w:p>
            <w:pPr>
              <w:pStyle w:val="null3"/>
              <w:ind w:firstLine="480"/>
              <w:jc w:val="both"/>
            </w:pPr>
            <w:r>
              <w:rPr>
                <w:rFonts w:ascii="仿宋_GB2312" w:hAnsi="仿宋_GB2312" w:cs="仿宋_GB2312" w:eastAsia="仿宋_GB2312"/>
                <w:sz w:val="24"/>
              </w:rPr>
              <w:t>在服务期间，供应商的技术支撑团队应配备包括项目经理、病案编码及</w:t>
            </w:r>
            <w:r>
              <w:rPr>
                <w:rFonts w:ascii="仿宋_GB2312" w:hAnsi="仿宋_GB2312" w:cs="仿宋_GB2312" w:eastAsia="仿宋_GB2312"/>
                <w:sz w:val="24"/>
              </w:rPr>
              <w:t>数据分析等</w:t>
            </w:r>
            <w:r>
              <w:rPr>
                <w:rFonts w:ascii="仿宋_GB2312" w:hAnsi="仿宋_GB2312" w:cs="仿宋_GB2312" w:eastAsia="仿宋_GB2312"/>
                <w:sz w:val="24"/>
              </w:rPr>
              <w:t>在内</w:t>
            </w:r>
            <w:r>
              <w:rPr>
                <w:rFonts w:ascii="仿宋_GB2312" w:hAnsi="仿宋_GB2312" w:cs="仿宋_GB2312" w:eastAsia="仿宋_GB2312"/>
                <w:sz w:val="24"/>
              </w:rPr>
              <w:t>的</w:t>
            </w:r>
            <w:r>
              <w:rPr>
                <w:rFonts w:ascii="仿宋_GB2312" w:hAnsi="仿宋_GB2312" w:cs="仿宋_GB2312" w:eastAsia="仿宋_GB2312"/>
                <w:sz w:val="24"/>
              </w:rPr>
              <w:t>技术人员不少于</w:t>
            </w:r>
            <w:r>
              <w:rPr>
                <w:rFonts w:ascii="仿宋_GB2312" w:hAnsi="仿宋_GB2312" w:cs="仿宋_GB2312" w:eastAsia="仿宋_GB2312"/>
                <w:sz w:val="24"/>
              </w:rPr>
              <w:t>3人，提供驻场服务，并根据项目实施难度增加人员投入。其中项目经理需具有较好的文字表达和沟通协调能力。对不符合采购人要求的驻场人员，采购人有权要求更换。在响应文件中明确的项目团队主要成员，必须全程参与项目工作，一年内不得更换。如确需更换项目成员，必须提出书面申请，并经采购人同意。</w:t>
            </w:r>
          </w:p>
          <w:p>
            <w:pPr>
              <w:pStyle w:val="null3"/>
              <w:ind w:firstLine="480"/>
              <w:jc w:val="both"/>
              <w:outlineLvl w:val="1"/>
            </w:pPr>
            <w:r>
              <w:rPr>
                <w:rFonts w:ascii="仿宋_GB2312" w:hAnsi="仿宋_GB2312" w:cs="仿宋_GB2312" w:eastAsia="仿宋_GB2312"/>
                <w:sz w:val="28"/>
                <w:b/>
              </w:rPr>
              <w:t>6.3</w:t>
            </w:r>
            <w:r>
              <w:rPr>
                <w:rFonts w:ascii="仿宋_GB2312" w:hAnsi="仿宋_GB2312" w:cs="仿宋_GB2312" w:eastAsia="仿宋_GB2312"/>
                <w:sz w:val="28"/>
                <w:b/>
              </w:rPr>
              <w:t>安全保密要求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供应</w:t>
            </w:r>
            <w:r>
              <w:rPr>
                <w:rFonts w:ascii="仿宋_GB2312" w:hAnsi="仿宋_GB2312" w:cs="仿宋_GB2312" w:eastAsia="仿宋_GB2312"/>
                <w:sz w:val="24"/>
              </w:rPr>
              <w:t>商应</w:t>
            </w:r>
            <w:r>
              <w:rPr>
                <w:rFonts w:ascii="仿宋_GB2312" w:hAnsi="仿宋_GB2312" w:cs="仿宋_GB2312" w:eastAsia="仿宋_GB2312"/>
                <w:sz w:val="24"/>
              </w:rPr>
              <w:t>确保服务</w:t>
            </w:r>
            <w:r>
              <w:rPr>
                <w:rFonts w:ascii="仿宋_GB2312" w:hAnsi="仿宋_GB2312" w:cs="仿宋_GB2312" w:eastAsia="仿宋_GB2312"/>
                <w:sz w:val="24"/>
              </w:rPr>
              <w:t>期内</w:t>
            </w:r>
            <w:r>
              <w:rPr>
                <w:rFonts w:ascii="仿宋_GB2312" w:hAnsi="仿宋_GB2312" w:cs="仿宋_GB2312" w:eastAsia="仿宋_GB2312"/>
                <w:sz w:val="24"/>
              </w:rPr>
              <w:t>信息安全和保密责任，并签订数据保密协议，所有涉及业务相关内容的信息数据不得用于其它领域和商业用途，否则将承担经济和法律责任。</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、采购人信息系统因升级改造等原因导致接口标准或数据连接方式发生改变的，供应商应予以全力支持与配合。</w:t>
            </w:r>
          </w:p>
          <w:p>
            <w:pPr>
              <w:pStyle w:val="null3"/>
              <w:ind w:firstLine="480"/>
              <w:jc w:val="both"/>
              <w:outlineLvl w:val="1"/>
            </w:pPr>
            <w:r>
              <w:rPr>
                <w:rFonts w:ascii="仿宋_GB2312" w:hAnsi="仿宋_GB2312" w:cs="仿宋_GB2312" w:eastAsia="仿宋_GB2312"/>
                <w:sz w:val="28"/>
                <w:b/>
              </w:rPr>
              <w:t>6.4</w:t>
            </w:r>
            <w:r>
              <w:rPr>
                <w:rFonts w:ascii="仿宋_GB2312" w:hAnsi="仿宋_GB2312" w:cs="仿宋_GB2312" w:eastAsia="仿宋_GB2312"/>
                <w:sz w:val="28"/>
                <w:b/>
              </w:rPr>
              <w:t>服务响应、效率等要求</w:t>
            </w:r>
          </w:p>
          <w:p>
            <w:pPr>
              <w:pStyle w:val="null3"/>
              <w:ind w:firstLine="480"/>
              <w:jc w:val="both"/>
            </w:pPr>
            <w:r>
              <w:rPr>
                <w:rFonts w:ascii="仿宋_GB2312" w:hAnsi="仿宋_GB2312" w:cs="仿宋_GB2312" w:eastAsia="仿宋_GB2312"/>
                <w:sz w:val="24"/>
              </w:rPr>
              <w:t>所供服务出现问题时，其响应时间不超过</w:t>
            </w:r>
            <w:r>
              <w:rPr>
                <w:rFonts w:ascii="仿宋_GB2312" w:hAnsi="仿宋_GB2312" w:cs="仿宋_GB2312" w:eastAsia="仿宋_GB2312"/>
                <w:sz w:val="24"/>
              </w:rPr>
              <w:t>2小时，一般故障处理时间不大于4小时；特殊情况下，问题处理时间不大于24小时。</w:t>
            </w:r>
          </w:p>
          <w:p>
            <w:pPr>
              <w:pStyle w:val="null3"/>
              <w:outlineLvl w:val="1"/>
            </w:pPr>
            <w:r>
              <w:rPr>
                <w:rFonts w:ascii="仿宋_GB2312" w:hAnsi="仿宋_GB2312" w:cs="仿宋_GB2312" w:eastAsia="仿宋_GB2312"/>
                <w:sz w:val="28"/>
                <w:b/>
              </w:rPr>
              <w:t>6.5</w:t>
            </w:r>
            <w:r>
              <w:rPr>
                <w:rFonts w:ascii="仿宋_GB2312" w:hAnsi="仿宋_GB2312" w:cs="仿宋_GB2312" w:eastAsia="仿宋_GB2312"/>
                <w:sz w:val="28"/>
                <w:b/>
              </w:rPr>
              <w:t>培训</w:t>
            </w:r>
            <w:r>
              <w:rPr>
                <w:rFonts w:ascii="仿宋_GB2312" w:hAnsi="仿宋_GB2312" w:cs="仿宋_GB2312" w:eastAsia="仿宋_GB2312"/>
                <w:sz w:val="28"/>
                <w:b/>
              </w:rPr>
              <w:t>服务要求</w:t>
            </w:r>
          </w:p>
          <w:p>
            <w:pPr>
              <w:pStyle w:val="null3"/>
              <w:ind w:firstLine="480"/>
              <w:jc w:val="both"/>
            </w:pPr>
            <w:r>
              <w:rPr>
                <w:rFonts w:ascii="仿宋_GB2312" w:hAnsi="仿宋_GB2312" w:cs="仿宋_GB2312" w:eastAsia="仿宋_GB2312"/>
                <w:sz w:val="24"/>
              </w:rPr>
              <w:t>按根据项目要求和采购方需求提供面向管理人员、业务经办人员、定点医疗机构人员的相关培训服务及全程咨询服务。服务要求结合项目整体进度与内容，适应汉中市医疗保险支付</w:t>
            </w:r>
            <w:r>
              <w:rPr>
                <w:rFonts w:ascii="仿宋_GB2312" w:hAnsi="仿宋_GB2312" w:cs="仿宋_GB2312" w:eastAsia="仿宋_GB2312"/>
                <w:sz w:val="24"/>
              </w:rPr>
              <w:t>方式改革</w:t>
            </w:r>
            <w:r>
              <w:rPr>
                <w:rFonts w:ascii="仿宋_GB2312" w:hAnsi="仿宋_GB2312" w:cs="仿宋_GB2312" w:eastAsia="仿宋_GB2312"/>
                <w:sz w:val="24"/>
              </w:rPr>
              <w:t>DIP付费项目整体信息化应用推广、管理变革、接口对接、数据规范等方面。对相关经办人员的操作培训，根据业务推进情况，持续提供相关人员的针对性培训。使受训者能掌握业务经办操作、基本维护方法等。</w:t>
            </w:r>
          </w:p>
          <w:p>
            <w:pPr>
              <w:pStyle w:val="null3"/>
              <w:outlineLvl w:val="1"/>
            </w:pPr>
            <w:r>
              <w:rPr>
                <w:rFonts w:ascii="仿宋_GB2312" w:hAnsi="仿宋_GB2312" w:cs="仿宋_GB2312" w:eastAsia="仿宋_GB2312"/>
                <w:sz w:val="28"/>
                <w:b/>
              </w:rPr>
              <w:t>6.6</w:t>
            </w:r>
            <w:r>
              <w:rPr>
                <w:rFonts w:ascii="仿宋_GB2312" w:hAnsi="仿宋_GB2312" w:cs="仿宋_GB2312" w:eastAsia="仿宋_GB2312"/>
                <w:sz w:val="28"/>
                <w:b/>
              </w:rPr>
              <w:t>验收标准</w:t>
            </w:r>
          </w:p>
          <w:p>
            <w:pPr>
              <w:pStyle w:val="null3"/>
              <w:ind w:firstLine="480"/>
              <w:jc w:val="both"/>
            </w:pPr>
            <w:r>
              <w:rPr>
                <w:rFonts w:ascii="仿宋_GB2312" w:hAnsi="仿宋_GB2312" w:cs="仿宋_GB2312" w:eastAsia="仿宋_GB2312"/>
                <w:sz w:val="24"/>
              </w:rPr>
              <w:t>1、验收流程</w:t>
            </w:r>
          </w:p>
          <w:p>
            <w:pPr>
              <w:pStyle w:val="null3"/>
              <w:ind w:firstLine="480"/>
              <w:jc w:val="both"/>
            </w:pPr>
            <w:r>
              <w:rPr>
                <w:rFonts w:ascii="仿宋_GB2312" w:hAnsi="仿宋_GB2312" w:cs="仿宋_GB2312" w:eastAsia="仿宋_GB2312"/>
                <w:sz w:val="24"/>
              </w:rPr>
              <w:t>采购人组织成立验收组，制定</w:t>
            </w:r>
            <w:r>
              <w:rPr>
                <w:rFonts w:ascii="仿宋_GB2312" w:hAnsi="仿宋_GB2312" w:cs="仿宋_GB2312" w:eastAsia="仿宋_GB2312"/>
                <w:sz w:val="24"/>
              </w:rPr>
              <w:t>验收计划，</w:t>
            </w:r>
            <w:r>
              <w:rPr>
                <w:rFonts w:ascii="仿宋_GB2312" w:hAnsi="仿宋_GB2312" w:cs="仿宋_GB2312" w:eastAsia="仿宋_GB2312"/>
                <w:sz w:val="24"/>
              </w:rPr>
              <w:t>供应商负责整理验收材料，</w:t>
            </w:r>
            <w:r>
              <w:rPr>
                <w:rFonts w:ascii="仿宋_GB2312" w:hAnsi="仿宋_GB2312" w:cs="仿宋_GB2312" w:eastAsia="仿宋_GB2312"/>
                <w:sz w:val="24"/>
              </w:rPr>
              <w:t>开展项目验收</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2、验收内容</w:t>
            </w:r>
          </w:p>
          <w:p>
            <w:pPr>
              <w:pStyle w:val="null3"/>
              <w:ind w:firstLine="480"/>
              <w:jc w:val="both"/>
            </w:pPr>
            <w:r>
              <w:rPr>
                <w:rFonts w:ascii="仿宋_GB2312" w:hAnsi="仿宋_GB2312" w:cs="仿宋_GB2312" w:eastAsia="仿宋_GB2312"/>
                <w:sz w:val="24"/>
              </w:rPr>
              <w:t>2.1、审查项目目标、规模、内容、质量及资金使用等情况。</w:t>
            </w:r>
          </w:p>
          <w:p>
            <w:pPr>
              <w:pStyle w:val="null3"/>
              <w:ind w:firstLine="480"/>
              <w:jc w:val="both"/>
            </w:pPr>
            <w:r>
              <w:rPr>
                <w:rFonts w:ascii="仿宋_GB2312" w:hAnsi="仿宋_GB2312" w:cs="仿宋_GB2312" w:eastAsia="仿宋_GB2312"/>
                <w:sz w:val="24"/>
              </w:rPr>
              <w:t>2.2、审核项目形成的资产情况。</w:t>
            </w:r>
          </w:p>
          <w:p>
            <w:pPr>
              <w:pStyle w:val="null3"/>
              <w:ind w:firstLine="480"/>
              <w:jc w:val="both"/>
            </w:pPr>
            <w:r>
              <w:rPr>
                <w:rFonts w:ascii="仿宋_GB2312" w:hAnsi="仿宋_GB2312" w:cs="仿宋_GB2312" w:eastAsia="仿宋_GB2312"/>
                <w:sz w:val="24"/>
              </w:rPr>
              <w:t>2.3、评价项目交付使用情况。</w:t>
            </w:r>
          </w:p>
          <w:p>
            <w:pPr>
              <w:pStyle w:val="null3"/>
              <w:ind w:firstLine="480"/>
              <w:jc w:val="both"/>
            </w:pPr>
            <w:r>
              <w:rPr>
                <w:rFonts w:ascii="仿宋_GB2312" w:hAnsi="仿宋_GB2312" w:cs="仿宋_GB2312" w:eastAsia="仿宋_GB2312"/>
                <w:sz w:val="24"/>
              </w:rPr>
              <w:t>2.4、检查项目建设单位执行国家法律、法规情况。</w:t>
            </w:r>
          </w:p>
          <w:p>
            <w:pPr>
              <w:pStyle w:val="null3"/>
              <w:ind w:firstLine="480"/>
              <w:jc w:val="both"/>
            </w:pPr>
            <w:r>
              <w:rPr>
                <w:rFonts w:ascii="仿宋_GB2312" w:hAnsi="仿宋_GB2312" w:cs="仿宋_GB2312" w:eastAsia="仿宋_GB2312"/>
                <w:sz w:val="24"/>
              </w:rPr>
              <w:t>3、验收相关材料</w:t>
            </w:r>
          </w:p>
          <w:p>
            <w:pPr>
              <w:pStyle w:val="null3"/>
              <w:ind w:firstLine="480"/>
              <w:jc w:val="both"/>
            </w:pPr>
            <w:r>
              <w:rPr>
                <w:rFonts w:ascii="仿宋_GB2312" w:hAnsi="仿宋_GB2312" w:cs="仿宋_GB2312" w:eastAsia="仿宋_GB2312"/>
                <w:sz w:val="24"/>
              </w:rPr>
              <w:t>供应商须负责整理并提供以下验收材料，包括但不限于：月度结算报告（实际</w:t>
            </w:r>
            <w:r>
              <w:rPr>
                <w:rFonts w:ascii="仿宋_GB2312" w:hAnsi="仿宋_GB2312" w:cs="仿宋_GB2312" w:eastAsia="仿宋_GB2312"/>
                <w:sz w:val="24"/>
              </w:rPr>
              <w:t>付费报告）</w:t>
            </w:r>
            <w:r>
              <w:rPr>
                <w:rFonts w:ascii="仿宋_GB2312" w:hAnsi="仿宋_GB2312" w:cs="仿宋_GB2312" w:eastAsia="仿宋_GB2312"/>
                <w:sz w:val="24"/>
              </w:rPr>
              <w:t>、</w:t>
            </w:r>
            <w:r>
              <w:rPr>
                <w:rFonts w:ascii="仿宋_GB2312" w:hAnsi="仿宋_GB2312" w:cs="仿宋_GB2312" w:eastAsia="仿宋_GB2312"/>
                <w:sz w:val="24"/>
              </w:rPr>
              <w:t>DIP</w:t>
            </w:r>
            <w:r>
              <w:rPr>
                <w:rFonts w:ascii="仿宋_GB2312" w:hAnsi="仿宋_GB2312" w:cs="仿宋_GB2312" w:eastAsia="仿宋_GB2312"/>
                <w:sz w:val="24"/>
              </w:rPr>
              <w:t>改革实施效果</w:t>
            </w:r>
            <w:r>
              <w:rPr>
                <w:rFonts w:ascii="仿宋_GB2312" w:hAnsi="仿宋_GB2312" w:cs="仿宋_GB2312" w:eastAsia="仿宋_GB2312"/>
                <w:sz w:val="24"/>
              </w:rPr>
              <w:t>年度评估报告、总额预算控制管理相关文件、</w:t>
            </w:r>
            <w:r>
              <w:rPr>
                <w:rFonts w:ascii="仿宋_GB2312" w:hAnsi="仿宋_GB2312" w:cs="仿宋_GB2312" w:eastAsia="仿宋_GB2312"/>
                <w:sz w:val="24"/>
              </w:rPr>
              <w:t>DIP模拟付费报告、特例单议报告等。</w:t>
            </w:r>
          </w:p>
          <w:p>
            <w:pPr>
              <w:pStyle w:val="null3"/>
              <w:ind w:firstLine="480"/>
              <w:jc w:val="both"/>
            </w:pPr>
            <w:r>
              <w:rPr>
                <w:rFonts w:ascii="仿宋_GB2312" w:hAnsi="仿宋_GB2312" w:cs="仿宋_GB2312" w:eastAsia="仿宋_GB2312"/>
                <w:sz w:val="24"/>
              </w:rPr>
              <w:t>3.1、构建本地目录体系，按照国家DIP技术规范形成的202</w:t>
            </w:r>
            <w:r>
              <w:rPr>
                <w:rFonts w:ascii="仿宋_GB2312" w:hAnsi="仿宋_GB2312" w:cs="仿宋_GB2312" w:eastAsia="仿宋_GB2312"/>
                <w:sz w:val="24"/>
              </w:rPr>
              <w:t>5</w:t>
            </w:r>
            <w:r>
              <w:rPr>
                <w:rFonts w:ascii="仿宋_GB2312" w:hAnsi="仿宋_GB2312" w:cs="仿宋_GB2312" w:eastAsia="仿宋_GB2312"/>
                <w:sz w:val="24"/>
              </w:rPr>
              <w:t>年汉中本地病种目录库及</w:t>
            </w:r>
            <w:r>
              <w:rPr>
                <w:rFonts w:ascii="仿宋_GB2312" w:hAnsi="仿宋_GB2312" w:cs="仿宋_GB2312" w:eastAsia="仿宋_GB2312"/>
                <w:sz w:val="24"/>
              </w:rPr>
              <w:t>DIP辅助目录。形成违规行为评价指标，如病案质量指数、二次入院、低标入院、超长住院以及死亡等医疗质量指标。</w:t>
            </w:r>
          </w:p>
          <w:p>
            <w:pPr>
              <w:pStyle w:val="null3"/>
              <w:ind w:firstLine="480"/>
              <w:jc w:val="both"/>
            </w:pPr>
            <w:r>
              <w:rPr>
                <w:rFonts w:ascii="仿宋_GB2312" w:hAnsi="仿宋_GB2312" w:cs="仿宋_GB2312" w:eastAsia="仿宋_GB2312"/>
                <w:sz w:val="24"/>
              </w:rPr>
              <w:t>3.2、构建DIP支付体系评估体系，采取定量评估和定性评估相结合的方式，比照基线调查数据，对DIP改革实施效果进行评估，形成年度评估报告。</w:t>
            </w:r>
          </w:p>
          <w:p>
            <w:pPr>
              <w:pStyle w:val="null3"/>
              <w:ind w:firstLine="480"/>
              <w:jc w:val="both"/>
            </w:pPr>
            <w:r>
              <w:rPr>
                <w:rFonts w:ascii="仿宋_GB2312" w:hAnsi="仿宋_GB2312" w:cs="仿宋_GB2312" w:eastAsia="仿宋_GB2312"/>
                <w:sz w:val="24"/>
              </w:rPr>
              <w:t>3.3、总额预算控制管理与DIP支付方式改革紧密契合，形成总额预算控制管理相关文件。</w:t>
            </w:r>
          </w:p>
          <w:p>
            <w:pPr>
              <w:pStyle w:val="null3"/>
              <w:ind w:firstLine="480"/>
              <w:jc w:val="both"/>
            </w:pPr>
            <w:r>
              <w:rPr>
                <w:rFonts w:ascii="仿宋_GB2312" w:hAnsi="仿宋_GB2312" w:cs="仿宋_GB2312" w:eastAsia="仿宋_GB2312"/>
                <w:sz w:val="24"/>
              </w:rPr>
              <w:t>3.4、完成模拟运行，形成不少于</w:t>
            </w:r>
            <w:r>
              <w:rPr>
                <w:rFonts w:ascii="仿宋_GB2312" w:hAnsi="仿宋_GB2312" w:cs="仿宋_GB2312" w:eastAsia="仿宋_GB2312"/>
                <w:sz w:val="24"/>
              </w:rPr>
              <w:t>2</w:t>
            </w:r>
            <w:r>
              <w:rPr>
                <w:rFonts w:ascii="仿宋_GB2312" w:hAnsi="仿宋_GB2312" w:cs="仿宋_GB2312" w:eastAsia="仿宋_GB2312"/>
                <w:sz w:val="24"/>
              </w:rPr>
              <w:t>轮的模拟付费报告。</w:t>
            </w:r>
          </w:p>
          <w:p>
            <w:pPr>
              <w:pStyle w:val="null3"/>
              <w:ind w:firstLine="480"/>
              <w:jc w:val="both"/>
            </w:pPr>
            <w:r>
              <w:rPr>
                <w:rFonts w:ascii="仿宋_GB2312" w:hAnsi="仿宋_GB2312" w:cs="仿宋_GB2312" w:eastAsia="仿宋_GB2312"/>
                <w:sz w:val="24"/>
              </w:rPr>
              <w:t>3.5、建立数据运行分析制度，对医疗收入构成占比、CMI值、成本自控等典型违规行为按月度进行分析，并将</w:t>
            </w:r>
            <w:r>
              <w:rPr>
                <w:rFonts w:ascii="仿宋_GB2312" w:hAnsi="仿宋_GB2312" w:cs="仿宋_GB2312" w:eastAsia="仿宋_GB2312"/>
                <w:sz w:val="24"/>
              </w:rPr>
              <w:t>分析结果</w:t>
            </w:r>
            <w:r>
              <w:rPr>
                <w:rFonts w:ascii="仿宋_GB2312" w:hAnsi="仿宋_GB2312" w:cs="仿宋_GB2312" w:eastAsia="仿宋_GB2312"/>
                <w:sz w:val="24"/>
              </w:rPr>
              <w:t>纳入</w:t>
            </w:r>
            <w:r>
              <w:rPr>
                <w:rFonts w:ascii="仿宋_GB2312" w:hAnsi="仿宋_GB2312" w:cs="仿宋_GB2312" w:eastAsia="仿宋_GB2312"/>
                <w:sz w:val="24"/>
              </w:rPr>
              <w:t>到</w:t>
            </w:r>
            <w:r>
              <w:rPr>
                <w:rFonts w:ascii="仿宋_GB2312" w:hAnsi="仿宋_GB2312" w:cs="仿宋_GB2312" w:eastAsia="仿宋_GB2312"/>
                <w:sz w:val="24"/>
              </w:rPr>
              <w:t>实际</w:t>
            </w:r>
            <w:r>
              <w:rPr>
                <w:rFonts w:ascii="仿宋_GB2312" w:hAnsi="仿宋_GB2312" w:cs="仿宋_GB2312" w:eastAsia="仿宋_GB2312"/>
                <w:sz w:val="24"/>
              </w:rPr>
              <w:t>付费报告</w:t>
            </w:r>
            <w:r>
              <w:rPr>
                <w:rFonts w:ascii="仿宋_GB2312" w:hAnsi="仿宋_GB2312" w:cs="仿宋_GB2312" w:eastAsia="仿宋_GB2312"/>
                <w:sz w:val="24"/>
              </w:rPr>
              <w:t>中。</w:t>
            </w:r>
          </w:p>
          <w:p>
            <w:pPr>
              <w:pStyle w:val="null3"/>
              <w:ind w:firstLine="480"/>
              <w:jc w:val="both"/>
            </w:pPr>
            <w:r>
              <w:rPr>
                <w:rFonts w:ascii="仿宋_GB2312" w:hAnsi="仿宋_GB2312" w:cs="仿宋_GB2312" w:eastAsia="仿宋_GB2312"/>
                <w:sz w:val="24"/>
              </w:rPr>
              <w:t>3.6、协助制定支付结算配套政策文件。协助采购人制定</w:t>
            </w:r>
            <w:r>
              <w:rPr>
                <w:rFonts w:ascii="仿宋_GB2312" w:hAnsi="仿宋_GB2312" w:cs="仿宋_GB2312" w:eastAsia="仿宋_GB2312"/>
                <w:sz w:val="24"/>
              </w:rPr>
              <w:t>和</w:t>
            </w:r>
            <w:r>
              <w:rPr>
                <w:rFonts w:ascii="仿宋_GB2312" w:hAnsi="仿宋_GB2312" w:cs="仿宋_GB2312" w:eastAsia="仿宋_GB2312"/>
                <w:sz w:val="24"/>
              </w:rPr>
              <w:t>完善结算办法、考核管理办法、监督管理办法、评价与争议处理机制等文件。</w:t>
            </w:r>
          </w:p>
          <w:p>
            <w:pPr>
              <w:pStyle w:val="null3"/>
              <w:ind w:firstLine="480"/>
              <w:jc w:val="both"/>
            </w:pPr>
            <w:r>
              <w:rPr>
                <w:rFonts w:ascii="仿宋_GB2312" w:hAnsi="仿宋_GB2312" w:cs="仿宋_GB2312" w:eastAsia="仿宋_GB2312"/>
                <w:sz w:val="24"/>
              </w:rPr>
              <w:t>3.7、完成实际付费，逐月提供经甲乙双方认可的全市已开展</w:t>
            </w:r>
            <w:r>
              <w:rPr>
                <w:rFonts w:ascii="仿宋_GB2312" w:hAnsi="仿宋_GB2312" w:cs="仿宋_GB2312" w:eastAsia="仿宋_GB2312"/>
                <w:sz w:val="24"/>
              </w:rPr>
              <w:t>DIP付费定点</w:t>
            </w:r>
            <w:r>
              <w:rPr>
                <w:rFonts w:ascii="仿宋_GB2312" w:hAnsi="仿宋_GB2312" w:cs="仿宋_GB2312" w:eastAsia="仿宋_GB2312"/>
                <w:sz w:val="24"/>
              </w:rPr>
              <w:t>医疗机构的</w:t>
            </w:r>
            <w:r>
              <w:rPr>
                <w:rFonts w:ascii="仿宋_GB2312" w:hAnsi="仿宋_GB2312" w:cs="仿宋_GB2312" w:eastAsia="仿宋_GB2312"/>
                <w:sz w:val="24"/>
              </w:rPr>
              <w:t>DIP实际付费总结报告。提供实际付费医院住院次均费用、住院平均床日费、入出院诊断符合率、医保基金支出增长率等指标同比评估报告。</w:t>
            </w:r>
          </w:p>
          <w:p>
            <w:pPr>
              <w:pStyle w:val="null3"/>
              <w:ind w:firstLine="480"/>
              <w:jc w:val="both"/>
            </w:pPr>
            <w:r>
              <w:rPr>
                <w:rFonts w:ascii="仿宋_GB2312" w:hAnsi="仿宋_GB2312" w:cs="仿宋_GB2312" w:eastAsia="仿宋_GB2312"/>
                <w:sz w:val="24"/>
              </w:rPr>
              <w:t>3.8、创新医保付费服务，协助形成县域内紧密型医共体与DIP付费改革配套文件、</w:t>
            </w:r>
            <w:r>
              <w:rPr>
                <w:rFonts w:ascii="仿宋_GB2312" w:hAnsi="仿宋_GB2312" w:cs="仿宋_GB2312" w:eastAsia="仿宋_GB2312"/>
                <w:sz w:val="24"/>
              </w:rPr>
              <w:t>门诊与</w:t>
            </w:r>
            <w:r>
              <w:rPr>
                <w:rFonts w:ascii="仿宋_GB2312" w:hAnsi="仿宋_GB2312" w:cs="仿宋_GB2312" w:eastAsia="仿宋_GB2312"/>
                <w:sz w:val="24"/>
              </w:rPr>
              <w:t>日间</w:t>
            </w:r>
            <w:r>
              <w:rPr>
                <w:rFonts w:ascii="仿宋_GB2312" w:hAnsi="仿宋_GB2312" w:cs="仿宋_GB2312" w:eastAsia="仿宋_GB2312"/>
                <w:sz w:val="24"/>
              </w:rPr>
              <w:t>手术等</w:t>
            </w:r>
            <w:r>
              <w:rPr>
                <w:rFonts w:ascii="仿宋_GB2312" w:hAnsi="仿宋_GB2312" w:cs="仿宋_GB2312" w:eastAsia="仿宋_GB2312"/>
                <w:sz w:val="24"/>
              </w:rPr>
              <w:t>支付方式改革配套文件。</w:t>
            </w:r>
          </w:p>
          <w:p>
            <w:pPr>
              <w:pStyle w:val="null3"/>
              <w:ind w:firstLine="480"/>
              <w:jc w:val="both"/>
            </w:pPr>
            <w:r>
              <w:rPr>
                <w:rFonts w:ascii="仿宋_GB2312" w:hAnsi="仿宋_GB2312" w:cs="仿宋_GB2312" w:eastAsia="仿宋_GB2312"/>
                <w:sz w:val="24"/>
              </w:rPr>
              <w:t>3.9、开展针对性培训，培训场次、人次达到规定要求。</w:t>
            </w:r>
          </w:p>
          <w:p>
            <w:pPr>
              <w:pStyle w:val="null3"/>
              <w:ind w:firstLine="480"/>
              <w:jc w:val="both"/>
              <w:outlineLvl w:val="1"/>
            </w:pPr>
            <w:r>
              <w:rPr>
                <w:rFonts w:ascii="仿宋_GB2312" w:hAnsi="仿宋_GB2312" w:cs="仿宋_GB2312" w:eastAsia="仿宋_GB2312"/>
                <w:sz w:val="28"/>
                <w:b/>
              </w:rPr>
              <w:t>6.7</w:t>
            </w:r>
            <w:r>
              <w:rPr>
                <w:rFonts w:ascii="仿宋_GB2312" w:hAnsi="仿宋_GB2312" w:cs="仿宋_GB2312" w:eastAsia="仿宋_GB2312"/>
                <w:sz w:val="28"/>
                <w:b/>
              </w:rPr>
              <w:t>其它技术、服务等要求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、当采购方在支付方式改革方面有新需求，而本文又未包括或与本文不符时，则应响应采购方新需求；对于采购方尚未有标准的，而本文又未提及的部分，供应商提出其标准，留待双方认可后执行。</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供应商应确保其技术建议的可行性以及所提供服务和产品的完整性，若出现由于供应商所提供的服务和产品不全面而导致业务服务无法实现或不能完全实现，由供应商及时无偿补足，并负全部赔偿责任（包括但不限于造成的直接损失以及为追索损失支付的律师费、调查费、损失评估费、旅差费等）。</w:t>
            </w:r>
          </w:p>
          <w:p>
            <w:pPr>
              <w:pStyle w:val="null3"/>
              <w:ind w:firstLine="480"/>
              <w:jc w:val="both"/>
            </w:pPr>
            <w:r>
              <w:rPr>
                <w:rFonts w:ascii="仿宋_GB2312" w:hAnsi="仿宋_GB2312" w:cs="仿宋_GB2312" w:eastAsia="仿宋_GB2312"/>
                <w:sz w:val="28"/>
                <w:b/>
              </w:rPr>
              <w:t>7.</w:t>
            </w:r>
            <w:r>
              <w:rPr>
                <w:rFonts w:ascii="仿宋_GB2312" w:hAnsi="仿宋_GB2312" w:cs="仿宋_GB2312" w:eastAsia="仿宋_GB2312"/>
                <w:sz w:val="28"/>
                <w:b/>
              </w:rPr>
              <w:t>付款方式</w:t>
            </w:r>
          </w:p>
          <w:p>
            <w:pPr>
              <w:pStyle w:val="null3"/>
              <w:ind w:firstLine="480"/>
              <w:jc w:val="both"/>
            </w:pPr>
            <w:r>
              <w:rPr>
                <w:rFonts w:ascii="仿宋_GB2312" w:hAnsi="仿宋_GB2312" w:cs="仿宋_GB2312" w:eastAsia="仿宋_GB2312"/>
                <w:sz w:val="24"/>
              </w:rPr>
              <w:t>签订合同后十五个工作日内，采购人向供应商支付合同金额的</w:t>
            </w:r>
            <w:r>
              <w:rPr>
                <w:rFonts w:ascii="仿宋_GB2312" w:hAnsi="仿宋_GB2312" w:cs="仿宋_GB2312" w:eastAsia="仿宋_GB2312"/>
                <w:sz w:val="24"/>
              </w:rPr>
              <w:t>5</w:t>
            </w:r>
            <w:r>
              <w:rPr>
                <w:rFonts w:ascii="仿宋_GB2312" w:hAnsi="仿宋_GB2312" w:cs="仿宋_GB2312" w:eastAsia="仿宋_GB2312"/>
                <w:sz w:val="24"/>
              </w:rPr>
              <w:t>0%作为预付款，服务期满6个月</w:t>
            </w:r>
            <w:r>
              <w:rPr>
                <w:rFonts w:ascii="仿宋_GB2312" w:hAnsi="仿宋_GB2312" w:cs="仿宋_GB2312" w:eastAsia="仿宋_GB2312"/>
                <w:sz w:val="24"/>
              </w:rPr>
              <w:t>时支付</w:t>
            </w:r>
            <w:r>
              <w:rPr>
                <w:rFonts w:ascii="仿宋_GB2312" w:hAnsi="仿宋_GB2312" w:cs="仿宋_GB2312" w:eastAsia="仿宋_GB2312"/>
                <w:sz w:val="24"/>
              </w:rPr>
              <w:t>合同</w:t>
            </w:r>
            <w:r>
              <w:rPr>
                <w:rFonts w:ascii="仿宋_GB2312" w:hAnsi="仿宋_GB2312" w:cs="仿宋_GB2312" w:eastAsia="仿宋_GB2312"/>
                <w:sz w:val="24"/>
              </w:rPr>
              <w:t>金额的</w:t>
            </w:r>
            <w:r>
              <w:rPr>
                <w:rFonts w:ascii="仿宋_GB2312" w:hAnsi="仿宋_GB2312" w:cs="仿宋_GB2312" w:eastAsia="仿宋_GB2312"/>
                <w:sz w:val="24"/>
              </w:rPr>
              <w:t>40%</w:t>
            </w:r>
            <w:r>
              <w:rPr>
                <w:rFonts w:ascii="仿宋_GB2312" w:hAnsi="仿宋_GB2312" w:cs="仿宋_GB2312" w:eastAsia="仿宋_GB2312"/>
                <w:sz w:val="24"/>
              </w:rPr>
              <w:t>服务费用，验收通过后支付合同金额剩余的</w:t>
            </w:r>
            <w:r>
              <w:rPr>
                <w:rFonts w:ascii="仿宋_GB2312" w:hAnsi="仿宋_GB2312" w:cs="仿宋_GB2312" w:eastAsia="仿宋_GB2312"/>
                <w:sz w:val="24"/>
              </w:rPr>
              <w:t>1</w:t>
            </w:r>
            <w:r>
              <w:rPr>
                <w:rFonts w:ascii="仿宋_GB2312" w:hAnsi="仿宋_GB2312" w:cs="仿宋_GB2312" w:eastAsia="仿宋_GB2312"/>
                <w:sz w:val="24"/>
              </w:rPr>
              <w:t>0%服务费用，供应商须向采购人出具合法有效的发票。</w:t>
            </w:r>
          </w:p>
          <w:p>
            <w:pPr>
              <w:pStyle w:val="null3"/>
              <w:ind w:left="435"/>
              <w:outlineLvl w:val="0"/>
            </w:pPr>
            <w:r>
              <w:rPr>
                <w:rFonts w:ascii="仿宋_GB2312" w:hAnsi="仿宋_GB2312" w:cs="仿宋_GB2312" w:eastAsia="仿宋_GB2312"/>
                <w:sz w:val="28"/>
                <w:b/>
              </w:rPr>
              <w:t>8.</w:t>
            </w:r>
            <w:r>
              <w:rPr>
                <w:rFonts w:ascii="仿宋_GB2312" w:hAnsi="仿宋_GB2312" w:cs="仿宋_GB2312" w:eastAsia="仿宋_GB2312"/>
                <w:sz w:val="28"/>
                <w:b/>
              </w:rPr>
              <w:t>服务期</w:t>
            </w:r>
          </w:p>
          <w:p>
            <w:pPr>
              <w:pStyle w:val="null3"/>
              <w:ind w:firstLine="480"/>
              <w:jc w:val="both"/>
            </w:pPr>
            <w:r>
              <w:rPr>
                <w:rFonts w:ascii="仿宋_GB2312" w:hAnsi="仿宋_GB2312" w:cs="仿宋_GB2312" w:eastAsia="仿宋_GB2312"/>
                <w:sz w:val="24"/>
              </w:rPr>
              <w:t>本项目服务期：一年。</w:t>
            </w:r>
          </w:p>
          <w:p>
            <w:pPr>
              <w:pStyle w:val="null3"/>
              <w:ind w:left="435"/>
              <w:outlineLvl w:val="0"/>
            </w:pPr>
            <w:r>
              <w:rPr>
                <w:rFonts w:ascii="仿宋_GB2312" w:hAnsi="仿宋_GB2312" w:cs="仿宋_GB2312" w:eastAsia="仿宋_GB2312"/>
                <w:sz w:val="28"/>
                <w:b/>
              </w:rPr>
              <w:t>9.</w:t>
            </w:r>
            <w:r>
              <w:rPr>
                <w:rFonts w:ascii="仿宋_GB2312" w:hAnsi="仿宋_GB2312" w:cs="仿宋_GB2312" w:eastAsia="仿宋_GB2312"/>
                <w:sz w:val="28"/>
                <w:b/>
              </w:rPr>
              <w:t>其他</w:t>
            </w:r>
          </w:p>
          <w:p>
            <w:pPr>
              <w:pStyle w:val="null3"/>
              <w:ind w:firstLine="480"/>
              <w:jc w:val="both"/>
            </w:pPr>
            <w:r>
              <w:rPr>
                <w:rFonts w:ascii="仿宋_GB2312" w:hAnsi="仿宋_GB2312" w:cs="仿宋_GB2312" w:eastAsia="仿宋_GB2312"/>
                <w:sz w:val="24"/>
              </w:rPr>
              <w:t>需承诺本项目所有数据只用于汉中市</w:t>
            </w:r>
            <w:r>
              <w:rPr>
                <w:rFonts w:ascii="仿宋_GB2312" w:hAnsi="仿宋_GB2312" w:cs="仿宋_GB2312" w:eastAsia="仿宋_GB2312"/>
                <w:sz w:val="24"/>
              </w:rPr>
              <w:t>DIP支付方式改革，且所有成果数据、文字资料等归汉中市医保局所有。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满足采购需求中项目人员配备要求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满足采购需求中设施设备要求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满足采购需求中采购人要求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满足采购服务内容要求，遵照国家有关规定和最终合同约定执行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签订合同后15个工作日</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服务期满6个月时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验收通过后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遵照国家有关规定和最终合同约定执行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符合国家、行业要求，达到合格标准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法定代表人证明书及授权书法定代表人（负责人）委托授权书 法定代表人（负责人）委托代理人参加征集活动时，应提供法定代表人（负责人）委托授权书；法定代表人（负责人）亲自参加征集活动时，应提供法定代表人（负责人）身份证复印件。 如法人的分支机构参与征集活动的，除提供《法定代表人授权委托书》外，还须同时提供法人给分支机构出具的授权书，并加盖公章。法人只能授权一家分支机构参与征集活动，且不能与分支机构同时参与征集活动。</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响应人应为中型、小型、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服务内容及服务邀请应答表 供应商应提交的相关资格证明材料.docx 中小企业声明函 残疾人福利性单位声明函 商务应答表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商务应答表 标的清单 报价表 响应函 项目服务实施方案.docx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响应文件是否按磋商文件要求签署并逐页盖章</w:t>
            </w:r>
          </w:p>
        </w:tc>
        <w:tc>
          <w:tcPr>
            <w:tcW w:type="dxa" w:w="1661"/>
          </w:tcPr>
          <w:p>
            <w:pPr>
              <w:pStyle w:val="null3"/>
            </w:pPr>
            <w:r>
              <w:rPr>
                <w:rFonts w:ascii="仿宋_GB2312" w:hAnsi="仿宋_GB2312" w:cs="仿宋_GB2312" w:eastAsia="仿宋_GB2312"/>
              </w:rPr>
              <w:t>服务内容及服务邀请应答表 中小企业声明函 商务应答表 保证金格式.docx 报价表 项目服务实施方案.docx 响应文件封面 供应商应提交的相关资格证明材料.docx 残疾人福利性单位声明函 标的清单 响应函 类似业绩.docx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响应文件报价有效及唯一性</w:t>
            </w:r>
          </w:p>
        </w:tc>
        <w:tc>
          <w:tcPr>
            <w:tcW w:type="dxa" w:w="3322"/>
          </w:tcPr>
          <w:p>
            <w:pPr>
              <w:pStyle w:val="null3"/>
            </w:pPr>
            <w:r>
              <w:rPr>
                <w:rFonts w:ascii="仿宋_GB2312" w:hAnsi="仿宋_GB2312" w:cs="仿宋_GB2312" w:eastAsia="仿宋_GB2312"/>
              </w:rPr>
              <w:t>响应文件报价唯一，且没有高于项目预算</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磋商保证金提交的金额、形式符合磋商文件要求</w:t>
            </w:r>
          </w:p>
        </w:tc>
        <w:tc>
          <w:tcPr>
            <w:tcW w:type="dxa" w:w="1661"/>
          </w:tcPr>
          <w:p>
            <w:pPr>
              <w:pStyle w:val="null3"/>
            </w:pPr>
            <w:r>
              <w:rPr>
                <w:rFonts w:ascii="仿宋_GB2312" w:hAnsi="仿宋_GB2312" w:cs="仿宋_GB2312" w:eastAsia="仿宋_GB2312"/>
              </w:rPr>
              <w:t>供应商应提交的相关资格证明材料.docx 保证金格式.docx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 或其他情形</w:t>
            </w:r>
          </w:p>
        </w:tc>
        <w:tc>
          <w:tcPr>
            <w:tcW w:type="dxa" w:w="1661"/>
          </w:tcPr>
          <w:p>
            <w:pPr>
              <w:pStyle w:val="null3"/>
            </w:pPr>
            <w:r>
              <w:rPr>
                <w:rFonts w:ascii="仿宋_GB2312" w:hAnsi="仿宋_GB2312" w:cs="仿宋_GB2312" w:eastAsia="仿宋_GB2312"/>
              </w:rPr>
              <w:t>服务内容及服务邀请应答表 中小企业声明函 商务应答表 保证金格式.docx 报价表 项目服务实施方案.docx 响应文件封面 供应商应提交的相关资格证明材料.docx 残疾人福利性单位声明函 标的清单 响应函 类似业绩.docx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服务内容及服务邀请应答表 中小企业声明函 商务应答表 保证金格式.docx 报价表 项目服务实施方案.docx 响应文件封面 供应商应提交的相关资格证明材料.docx 残疾人福利性单位声明函 标的清单 响应函 类似业绩.docx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响应文件不存在法律、法规和竞争性磋商文件规定的其他无效情形</w:t>
            </w:r>
          </w:p>
        </w:tc>
        <w:tc>
          <w:tcPr>
            <w:tcW w:type="dxa" w:w="1661"/>
          </w:tcPr>
          <w:p>
            <w:pPr>
              <w:pStyle w:val="null3"/>
            </w:pPr>
            <w:r>
              <w:rPr>
                <w:rFonts w:ascii="仿宋_GB2312" w:hAnsi="仿宋_GB2312" w:cs="仿宋_GB2312" w:eastAsia="仿宋_GB2312"/>
              </w:rPr>
              <w:t>服务内容及服务邀请应答表 中小企业声明函 商务应答表 保证金格式.docx 报价表 项目服务实施方案.docx 响应文件封面 供应商应提交的相关资格证明材料.docx 残疾人福利性单位声明函 标的清单 响应函 类似业绩.docx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需求理解分析</w:t>
            </w:r>
          </w:p>
        </w:tc>
        <w:tc>
          <w:tcPr>
            <w:tcW w:type="dxa" w:w="2492"/>
          </w:tcPr>
          <w:p>
            <w:pPr>
              <w:pStyle w:val="null3"/>
            </w:pPr>
            <w:r>
              <w:rPr>
                <w:rFonts w:ascii="仿宋_GB2312" w:hAnsi="仿宋_GB2312" w:cs="仿宋_GB2312" w:eastAsia="仿宋_GB2312"/>
              </w:rPr>
              <w:t>在满足本项目实质性要求基础之上，根据供应商提供的常见问题分析进行评审，包括： （1）本地化需求分析（5分）：对汉中市DIP改革阶段、基金运行特点、监管难点的理解与分析深度；（2）服务方案完整性与针对性（5分）：方案是否覆盖DIP经办全链条（数据-分组-结算-监管-评价），且与本地需求紧密贴合。上述2项内容齐全且无缺陷（缺陷是指：涉及内容理解肤浅、分析空泛，未与本地化实际相结合）理解深刻、分析精准、覆盖全面、针对性强得10分；每缺少一项内容扣5分，扣完为止；单项内容每存在一处缺陷扣2.5分，单项内容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在满足本项目实质性要求基础上，根据供应商提供的服务方案进行评审，包括： （1）数据治理及质量管控：含病案首页质控、DIP问题数据清洗、编码规范校验、问题数据清洗、质量考核闭环等符合本地医保数据质量考核办法；（2）DIP分组测算服务：含本地病种分组优化、权重/分值测算、成本分析、结算标准测算、基金承受能力评估等匹配本地医保基金预算管理要求；（3）季度DIP数据分析：含基金运行分析、病种结构分析、异常病例预警、医疗机构绩效对比、监管建议等支撑医保部门季度基金监管与决策；（4）驻场信息化支撑：含DIP系统运维、数据接口对接、经办人员操作培训、问题响应机制、系统升级适配等保障日常经办高效运转措施；（5）专家评议与争议处理机制：含特例单议病种线上评审、疑难病例论证、评审结果反馈闭环、专家管理规范。上述5项内容齐全、体系完整、指标科学、贴合本地实际、能有效支撑管理决策且无缺陷（缺陷是指：内容涉及的规范或标准错误、套用其他项目内容、内容与本项目无关、内容不利于项目实施的任意一种情形）得20分，每缺少一项内容扣4分，扣完为止；单项内容每存在一处缺陷扣2分，单项内容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在满足本项目实质性要求基础之上，根据供应商提供的项目管理方案进行评审，包括：（1)项目组织管理：含项目架构、职责分工、与医保部门联络机制、项目进度管控，应明确对接人及响应时效;(2)范围管理：含服务边界界定、需求变更管控、超范围服务防范;(3)团队管理：含人员稳定性管理、医保政策培训、专业能力考核、岗位适配性评估;(4)沟通管理：含与医保经办机构、定点医疗机构的沟通机制、例会制度、问题反馈闭环、重大事项报告流程等。 上述4项内容齐全计划周密、责任明确、内容精准、保障措施有力且无缺陷（缺陷是指：内容涉及的规范或标准错误、套用其他项目内容、内容与本项目无关、内容不利于项目实施的任意一种情形）得12分，每缺少一项内容扣3分，扣完为止；单项内容每存在一处缺陷扣1分，单项内容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安全保密方案</w:t>
            </w:r>
          </w:p>
        </w:tc>
        <w:tc>
          <w:tcPr>
            <w:tcW w:type="dxa" w:w="2492"/>
          </w:tcPr>
          <w:p>
            <w:pPr>
              <w:pStyle w:val="null3"/>
            </w:pPr>
            <w:r>
              <w:rPr>
                <w:rFonts w:ascii="仿宋_GB2312" w:hAnsi="仿宋_GB2312" w:cs="仿宋_GB2312" w:eastAsia="仿宋_GB2312"/>
              </w:rPr>
              <w:t>在满足本项目实质性要求基础之上，根据供应商提供的项目安全保密管理方案进行评审，包括(1)数据安全管理保密：符合《医保数据安全管理暂行办法》，含数据存储加密、传输加密、访问权限管控、数据脱敏、数据备份与恢复、安全审计;(2)人员保密管控：含保密协议签订、权限分级管理、离岗保密承诺、数据操作留痕、保密培训;(3)服务成果保密与交付管控：含报告、数据成果的交付管控、版权归属、禁止对外泄露等流程。上述3项内容齐全、符合国家及行业最高标准，措施无懈可击且无缺陷（缺陷是指：内容涉及的规范或标准错误、套用其他项目内容、内容与本项目无关、内容不利于项目实施、存在明显漏洞的任意一种情形）得6分，每缺少一项内容扣2分，扣完为止；单项内容每存在一处缺陷扣1分，单项内容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基金监管与风险控制方案</w:t>
            </w:r>
          </w:p>
        </w:tc>
        <w:tc>
          <w:tcPr>
            <w:tcW w:type="dxa" w:w="2492"/>
          </w:tcPr>
          <w:p>
            <w:pPr>
              <w:pStyle w:val="null3"/>
            </w:pPr>
            <w:r>
              <w:rPr>
                <w:rFonts w:ascii="仿宋_GB2312" w:hAnsi="仿宋_GB2312" w:cs="仿宋_GB2312" w:eastAsia="仿宋_GB2312"/>
              </w:rPr>
              <w:t>在满足本项目实质性要求基础之上，根据供应商提供的应急方案进行评审，包括： （1）协助建立医保智能监控规则库、对分解住院等违规行为的监测模型；（2）场景化处置与止损纠偏：含DIP结算异常、数据错误、评审争议、系统故障等场景的处置流程、纠偏措施、止损方案；（3）风险应急触发与分级响应机制：含数据故障、系统宕机、政策调整、结算异常等场景的触发条件、响应等级、响应时效；（4）支持医保基金常态化监管的具体措施。上述4项内容齐全、监管维度全面、应急措施有力、与本地监管需求结合紧密且无缺陷（缺陷是指：内容涉及的规范或标准错误、套用其他项目内容、内容与本项目无关、内容不利于项目实施的任意一种情形）得8分，每缺少一项内容扣2分，扣完为止；单项内容每存在一处缺陷扣1分，单项内容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培训咨询服务方案</w:t>
            </w:r>
          </w:p>
        </w:tc>
        <w:tc>
          <w:tcPr>
            <w:tcW w:type="dxa" w:w="2492"/>
          </w:tcPr>
          <w:p>
            <w:pPr>
              <w:pStyle w:val="null3"/>
            </w:pPr>
            <w:r>
              <w:rPr>
                <w:rFonts w:ascii="仿宋_GB2312" w:hAnsi="仿宋_GB2312" w:cs="仿宋_GB2312" w:eastAsia="仿宋_GB2312"/>
              </w:rPr>
              <w:t>在满足本项目实质性要求基础之上，根据供应商提供的培训咨询服务方案进行评审，包括：（1）培训对象分层与定位：含医保经办人员、医疗机构编码人员、临床医生、管理人员等分层培训；（2）培训核心内容讲解：含DIP政策解读、编码规范、系统操作、异常病例处理、基金监管要点；（3)培训实施方案与计划：含线上+线下结合、定期复训、考核验收、培训效果评估；（4）培训后跟进与技术支持：含专属答疑通道、问题库更新、持续指导、政策更新培训；上述4项内容齐全且无缺陷（缺陷是指：内容涉及的规范或标准错误、套用其他项目内容、内容与本项目无关、内容不利于项目实施的任意一种情形）得8分，每缺少一项内容扣2分，扣完为止；单项内容每存在一处缺陷扣1分，单项内容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服务团队能力</w:t>
            </w:r>
          </w:p>
        </w:tc>
        <w:tc>
          <w:tcPr>
            <w:tcW w:type="dxa" w:w="2492"/>
          </w:tcPr>
          <w:p>
            <w:pPr>
              <w:pStyle w:val="null3"/>
            </w:pPr>
            <w:r>
              <w:rPr>
                <w:rFonts w:ascii="仿宋_GB2312" w:hAnsi="仿宋_GB2312" w:cs="仿宋_GB2312" w:eastAsia="仿宋_GB2312"/>
              </w:rPr>
              <w:t>（1）项目负责人资质（4分）：具备PMP项目经理认证且具有2年及以上医保DIP相关项目管理经验：得4分；仅具备PMP认证或仅具备2年及以上医保DIP相关项目管理经验：得2分；提供复印件加盖公章，未提供不得分。 （2）核心团队专业度（8分）：团队成员（不含项目负责人）≥2人，其中：副高及以上医学/医保专业人员≥1人（熟悉DIP评审、病案质控）、 软件/数据专业人员≥1人（熟悉医保系统、数据治理），每提供一个得4分，最高得8分，未提供以上证书的不得分； 注：响应文件中拟投入本项目的人员必须为响应人本公司职员且不小于3人;需附投入人员相关资格证书复印件加响应人公章和响应截止时间前1年内任意1个月响应人为其缴纳个人社保证明复印件并加响应人公章，否则不得分。 注：响应文件中需附以上人员相关资格证书复印件并加响应人公章。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供应商提供2023年1月1日（含）至递交响应文件截止时间类似项目业绩（含医保局端或医院端的类似项目案例），有1个得1分，最多得4分。 注：提供中标（成交）通知书或合同复印件并加盖供应商公章。提供合同的以合同签订时间为准；提供中标（成交）通知书的以中标（成交）通知书落款时间为准；同时提供中标（成交）通知书和合同复印件的以合同签订时间为准；未提供该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价格分统一采用低价优先法计算，即满足磋商文件要求且最后报价最低的响应人报价为磋商基准价，其价格分为满分。其他响应人的价格分统一按照下列公式计算： 磋商报价得分=(磋商基准价／最后报价)×20 注：1、得分计算结果四舍五入保留小数点后两位 2、本项目拟面向中小企业采购，不再执行价格评审优惠的扶持政策。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详见附件：项目服务实施方案.docx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详见附件：保证金格式.docx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