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版本号：SCZD2025-ZB-3387-00120260209001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二氧化碳点阵激光皮肤治疗系统采购项目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SCZD2025-ZB-3387-001</w:t>
      </w:r>
      <w:r>
        <w:br/>
      </w:r>
      <w:r>
        <w:br/>
      </w:r>
      <w:r>
        <w:br/>
      </w:r>
    </w:p>
    <w:p>
      <w:pPr>
        <w:pStyle w:val="null3"/>
        <w:jc w:val="center"/>
        <w:outlineLvl w:val="2"/>
      </w:pPr>
      <w:r>
        <w:rPr>
          <w:rFonts w:ascii="仿宋_GB2312" w:hAnsi="仿宋_GB2312" w:cs="仿宋_GB2312" w:eastAsia="仿宋_GB2312"/>
          <w:sz w:val="28"/>
          <w:b/>
        </w:rPr>
        <w:t>汉中市中心医院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汉中市中心医院</w:t>
      </w:r>
      <w:r>
        <w:rPr>
          <w:rFonts w:ascii="仿宋_GB2312" w:hAnsi="仿宋_GB2312" w:cs="仿宋_GB2312" w:eastAsia="仿宋_GB2312"/>
        </w:rPr>
        <w:t>委托，拟对</w:t>
      </w:r>
      <w:r>
        <w:rPr>
          <w:rFonts w:ascii="仿宋_GB2312" w:hAnsi="仿宋_GB2312" w:cs="仿宋_GB2312" w:eastAsia="仿宋_GB2312"/>
        </w:rPr>
        <w:t>二氧化碳点阵激光皮肤治疗系统采购项目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SCZD2025-ZB-3387-001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二氧化碳点阵激光皮肤治疗系统采购项目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本项目采购二氧化碳点阵激光皮肤治疗系统1套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1、特定资格要求：1投标人合法注册的法人或其他组织的营业执照等证明文件。 2投标人在递交投标文件截止时间前被“信用中国”网站（www.creditchina.gov.cn）和中国政府采购网（www.ccgp.gov.cn）上被列入失信被执行人、重大税收违法失信主体、政府采购严重违法失信行为记录名单的，不得参加投标。 3投标人参加本项目的合法授权人授权委托书； 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提供授权代表在本单位养老保险缴纳证明）。 4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 5投标产品属于医疗器械管理范围的须提供医疗器械注册证。 6提供盖章的《汉中市政府采购供应商资格承诺函》。 7投标产品属于进口产品须提供制造商授权书及相应的完整授权链。</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汉中市汉台区康复路22号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陈正许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0916-2682065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曹文渊、雷鹏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银行账号：102860079386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代理服务费收费标准：参照国家计委关于印发《招标代理服务收费管理暂行办法》的通知（计价格〔2002〕1980号）规定标准下浮20%收取，不足5000元按5000元收取。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汉中市中心医院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符合国家、行业现行的设计、安全、质量等相关标准规范要求，与采购文件、投标（响应）文件和承诺相一致</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本项目采购二氧化碳点阵激光皮肤治疗系统1套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二氧化碳点阵激光皮肤治疗系统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标的名称：二氧化碳点阵激光皮肤治疗系统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6"/>
                <w:b/>
              </w:rPr>
              <w:t>一、用途</w:t>
            </w:r>
            <w:r>
              <w:rPr>
                <w:rFonts w:ascii="仿宋_GB2312" w:hAnsi="仿宋_GB2312" w:cs="仿宋_GB2312" w:eastAsia="仿宋_GB2312"/>
                <w:sz w:val="26"/>
              </w:rPr>
              <w:t>：二氧化碳点阵激光用于治疗各种疤痕</w:t>
            </w:r>
            <w:r>
              <w:rPr>
                <w:rFonts w:ascii="仿宋_GB2312" w:hAnsi="仿宋_GB2312" w:cs="仿宋_GB2312" w:eastAsia="仿宋_GB2312"/>
                <w:sz w:val="26"/>
              </w:rPr>
              <w:t>，</w:t>
            </w:r>
            <w:r>
              <w:rPr>
                <w:rFonts w:ascii="仿宋_GB2312" w:hAnsi="仿宋_GB2312" w:cs="仿宋_GB2312" w:eastAsia="仿宋_GB2312"/>
                <w:sz w:val="26"/>
              </w:rPr>
              <w:t>植皮术后色泽不一，眼睑成形术，去眼袋，拉皮手术同时可以对各种皱纹，色斑等进行皮肤重建，用于人体组织的汽化、碳化、凝固和照射和各种外科手术治疗</w:t>
            </w:r>
            <w:r>
              <w:rPr>
                <w:rFonts w:ascii="仿宋_GB2312" w:hAnsi="仿宋_GB2312" w:cs="仿宋_GB2312" w:eastAsia="仿宋_GB2312"/>
                <w:sz w:val="26"/>
              </w:rPr>
              <w:t>，</w:t>
            </w:r>
            <w:r>
              <w:rPr>
                <w:rFonts w:ascii="仿宋_GB2312" w:hAnsi="仿宋_GB2312" w:cs="仿宋_GB2312" w:eastAsia="仿宋_GB2312"/>
                <w:sz w:val="26"/>
              </w:rPr>
              <w:t>可以覆盖身体的任何部位。</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6"/>
              </w:rPr>
              <w:t>二、</w:t>
            </w:r>
            <w:r>
              <w:rPr>
                <w:rFonts w:ascii="仿宋_GB2312" w:hAnsi="仿宋_GB2312" w:cs="仿宋_GB2312" w:eastAsia="仿宋_GB2312"/>
                <w:sz w:val="26"/>
                <w:b/>
              </w:rPr>
              <w:t>技术参数：</w:t>
            </w:r>
          </w:p>
          <w:p>
            <w:pPr>
              <w:pStyle w:val="null3"/>
            </w:pPr>
            <w:r>
              <w:rPr>
                <w:rFonts w:ascii="仿宋_GB2312" w:hAnsi="仿宋_GB2312" w:cs="仿宋_GB2312" w:eastAsia="仿宋_GB2312"/>
                <w:sz w:val="26"/>
              </w:rPr>
              <w:t>1、波长：10600nm</w:t>
            </w:r>
            <w:r>
              <w:rPr>
                <w:rFonts w:ascii="仿宋_GB2312" w:hAnsi="仿宋_GB2312" w:cs="仿宋_GB2312" w:eastAsia="仿宋_GB2312"/>
                <w:sz w:val="26"/>
              </w:rPr>
              <w:t>±100nm</w:t>
            </w:r>
          </w:p>
          <w:p>
            <w:pPr>
              <w:pStyle w:val="null3"/>
            </w:pPr>
            <w:r>
              <w:rPr>
                <w:rFonts w:ascii="仿宋_GB2312" w:hAnsi="仿宋_GB2312" w:cs="仿宋_GB2312" w:eastAsia="仿宋_GB2312"/>
                <w:sz w:val="26"/>
              </w:rPr>
              <w:t>2、激光管： 密封二氧化碳激光器射频激发，金属陶瓷激光管。</w:t>
            </w:r>
          </w:p>
          <w:p>
            <w:pPr>
              <w:pStyle w:val="null3"/>
              <w:jc w:val="left"/>
            </w:pPr>
            <w:r>
              <w:rPr>
                <w:rFonts w:ascii="仿宋_GB2312" w:hAnsi="仿宋_GB2312" w:cs="仿宋_GB2312" w:eastAsia="仿宋_GB2312"/>
                <w:sz w:val="26"/>
              </w:rPr>
              <w:t>▲3、平均功率：≥60W</w:t>
            </w:r>
          </w:p>
          <w:p>
            <w:pPr>
              <w:pStyle w:val="null3"/>
            </w:pPr>
            <w:r>
              <w:rPr>
                <w:rFonts w:ascii="仿宋_GB2312" w:hAnsi="仿宋_GB2312" w:cs="仿宋_GB2312" w:eastAsia="仿宋_GB2312"/>
                <w:sz w:val="26"/>
              </w:rPr>
              <w:t>4、峰值功率：≥220W</w:t>
            </w:r>
          </w:p>
          <w:p>
            <w:pPr>
              <w:pStyle w:val="null3"/>
            </w:pPr>
            <w:r>
              <w:rPr>
                <w:rFonts w:ascii="仿宋_GB2312" w:hAnsi="仿宋_GB2312" w:cs="仿宋_GB2312" w:eastAsia="仿宋_GB2312"/>
                <w:sz w:val="26"/>
              </w:rPr>
              <w:t>▲</w:t>
            </w:r>
            <w:r>
              <w:rPr>
                <w:rFonts w:ascii="仿宋_GB2312" w:hAnsi="仿宋_GB2312" w:cs="仿宋_GB2312" w:eastAsia="仿宋_GB2312"/>
                <w:sz w:val="26"/>
              </w:rPr>
              <w:t>5、脉冲能量：≥200mJ</w:t>
            </w:r>
          </w:p>
          <w:p>
            <w:pPr>
              <w:pStyle w:val="null3"/>
            </w:pPr>
            <w:r>
              <w:rPr>
                <w:rFonts w:ascii="仿宋_GB2312" w:hAnsi="仿宋_GB2312" w:cs="仿宋_GB2312" w:eastAsia="仿宋_GB2312"/>
                <w:sz w:val="26"/>
              </w:rPr>
              <w:t>6、激光模式：TEMoo</w:t>
            </w:r>
          </w:p>
          <w:p>
            <w:pPr>
              <w:pStyle w:val="null3"/>
            </w:pPr>
            <w:r>
              <w:rPr>
                <w:rFonts w:ascii="仿宋_GB2312" w:hAnsi="仿宋_GB2312" w:cs="仿宋_GB2312" w:eastAsia="仿宋_GB2312"/>
                <w:sz w:val="26"/>
              </w:rPr>
              <w:t>▲</w:t>
            </w:r>
            <w:r>
              <w:rPr>
                <w:rFonts w:ascii="仿宋_GB2312" w:hAnsi="仿宋_GB2312" w:cs="仿宋_GB2312" w:eastAsia="仿宋_GB2312"/>
                <w:sz w:val="26"/>
              </w:rPr>
              <w:t>7、最小光斑尺寸：≤0.1</w:t>
            </w:r>
            <w:r>
              <w:rPr>
                <w:rFonts w:ascii="仿宋_GB2312" w:hAnsi="仿宋_GB2312" w:cs="仿宋_GB2312" w:eastAsia="仿宋_GB2312"/>
                <w:sz w:val="26"/>
              </w:rPr>
              <w:t>5</w:t>
            </w:r>
            <w:r>
              <w:rPr>
                <w:rFonts w:ascii="仿宋_GB2312" w:hAnsi="仿宋_GB2312" w:cs="仿宋_GB2312" w:eastAsia="仿宋_GB2312"/>
                <w:sz w:val="26"/>
              </w:rPr>
              <w:t>mm</w:t>
            </w:r>
          </w:p>
          <w:p>
            <w:pPr>
              <w:pStyle w:val="null3"/>
            </w:pPr>
            <w:r>
              <w:rPr>
                <w:rFonts w:ascii="仿宋_GB2312" w:hAnsi="仿宋_GB2312" w:cs="仿宋_GB2312" w:eastAsia="仿宋_GB2312"/>
                <w:sz w:val="26"/>
              </w:rPr>
              <w:t>8、最大扫描面积：≥1</w:t>
            </w:r>
            <w:r>
              <w:rPr>
                <w:rFonts w:ascii="仿宋_GB2312" w:hAnsi="仿宋_GB2312" w:cs="仿宋_GB2312" w:eastAsia="仿宋_GB2312"/>
                <w:sz w:val="26"/>
              </w:rPr>
              <w:t>0</w:t>
            </w:r>
            <w:r>
              <w:rPr>
                <w:rFonts w:ascii="仿宋_GB2312" w:hAnsi="仿宋_GB2312" w:cs="仿宋_GB2312" w:eastAsia="仿宋_GB2312"/>
                <w:sz w:val="26"/>
              </w:rPr>
              <w:t>x1</w:t>
            </w:r>
            <w:r>
              <w:rPr>
                <w:rFonts w:ascii="仿宋_GB2312" w:hAnsi="仿宋_GB2312" w:cs="仿宋_GB2312" w:eastAsia="仿宋_GB2312"/>
                <w:sz w:val="26"/>
              </w:rPr>
              <w:t>0</w:t>
            </w:r>
            <w:r>
              <w:rPr>
                <w:rFonts w:ascii="仿宋_GB2312" w:hAnsi="仿宋_GB2312" w:cs="仿宋_GB2312" w:eastAsia="仿宋_GB2312"/>
                <w:sz w:val="26"/>
              </w:rPr>
              <w:t>mm</w:t>
            </w:r>
          </w:p>
          <w:p>
            <w:pPr>
              <w:pStyle w:val="null3"/>
            </w:pPr>
            <w:r>
              <w:rPr>
                <w:rFonts w:ascii="仿宋_GB2312" w:hAnsi="仿宋_GB2312" w:cs="仿宋_GB2312" w:eastAsia="仿宋_GB2312"/>
                <w:sz w:val="26"/>
              </w:rPr>
              <w:t>▲</w:t>
            </w:r>
            <w:r>
              <w:rPr>
                <w:rFonts w:ascii="仿宋_GB2312" w:hAnsi="仿宋_GB2312" w:cs="仿宋_GB2312" w:eastAsia="仿宋_GB2312"/>
                <w:sz w:val="26"/>
              </w:rPr>
              <w:t>9、点阵扫描密度：≥80%</w:t>
            </w:r>
          </w:p>
          <w:p>
            <w:pPr>
              <w:pStyle w:val="null3"/>
            </w:pPr>
            <w:r>
              <w:rPr>
                <w:rFonts w:ascii="仿宋_GB2312" w:hAnsi="仿宋_GB2312" w:cs="仿宋_GB2312" w:eastAsia="仿宋_GB2312"/>
                <w:sz w:val="26"/>
              </w:rPr>
              <w:t>10、输出模式：超脉冲模式</w:t>
            </w:r>
            <w:r>
              <w:rPr>
                <w:rFonts w:ascii="仿宋_GB2312" w:hAnsi="仿宋_GB2312" w:cs="仿宋_GB2312" w:eastAsia="仿宋_GB2312"/>
                <w:sz w:val="26"/>
              </w:rPr>
              <w:t>、</w:t>
            </w:r>
            <w:r>
              <w:rPr>
                <w:rFonts w:ascii="仿宋_GB2312" w:hAnsi="仿宋_GB2312" w:cs="仿宋_GB2312" w:eastAsia="仿宋_GB2312"/>
                <w:sz w:val="26"/>
              </w:rPr>
              <w:t>连续脉冲模式</w:t>
            </w:r>
            <w:r>
              <w:rPr>
                <w:rFonts w:ascii="仿宋_GB2312" w:hAnsi="仿宋_GB2312" w:cs="仿宋_GB2312" w:eastAsia="仿宋_GB2312"/>
                <w:sz w:val="26"/>
              </w:rPr>
              <w:t>、</w:t>
            </w:r>
            <w:r>
              <w:rPr>
                <w:rFonts w:ascii="仿宋_GB2312" w:hAnsi="仿宋_GB2312" w:cs="仿宋_GB2312" w:eastAsia="仿宋_GB2312"/>
                <w:sz w:val="26"/>
              </w:rPr>
              <w:t>单脉冲模式</w:t>
            </w:r>
          </w:p>
          <w:p>
            <w:pPr>
              <w:pStyle w:val="null3"/>
            </w:pPr>
            <w:r>
              <w:rPr>
                <w:rFonts w:ascii="仿宋_GB2312" w:hAnsi="仿宋_GB2312" w:cs="仿宋_GB2312" w:eastAsia="仿宋_GB2312"/>
                <w:sz w:val="26"/>
              </w:rPr>
              <w:t>11、手具：</w:t>
            </w:r>
            <w:r>
              <w:rPr>
                <w:rFonts w:ascii="仿宋_GB2312" w:hAnsi="仿宋_GB2312" w:cs="仿宋_GB2312" w:eastAsia="仿宋_GB2312"/>
                <w:sz w:val="26"/>
              </w:rPr>
              <w:t>≥2种，至少具备</w:t>
            </w:r>
            <w:r>
              <w:rPr>
                <w:rFonts w:ascii="仿宋_GB2312" w:hAnsi="仿宋_GB2312" w:cs="仿宋_GB2312" w:eastAsia="仿宋_GB2312"/>
                <w:sz w:val="26"/>
              </w:rPr>
              <w:t>切割手具、</w:t>
            </w:r>
            <w:r>
              <w:rPr>
                <w:rFonts w:ascii="仿宋_GB2312" w:hAnsi="仿宋_GB2312" w:cs="仿宋_GB2312" w:eastAsia="仿宋_GB2312"/>
                <w:sz w:val="26"/>
              </w:rPr>
              <w:t>点阵扫描手具</w:t>
            </w:r>
          </w:p>
          <w:p>
            <w:pPr>
              <w:pStyle w:val="null3"/>
            </w:pPr>
            <w:r>
              <w:rPr>
                <w:rFonts w:ascii="仿宋_GB2312" w:hAnsi="仿宋_GB2312" w:cs="仿宋_GB2312" w:eastAsia="仿宋_GB2312"/>
                <w:sz w:val="26"/>
              </w:rPr>
              <w:t>▲</w:t>
            </w:r>
            <w:r>
              <w:rPr>
                <w:rFonts w:ascii="仿宋_GB2312" w:hAnsi="仿宋_GB2312" w:cs="仿宋_GB2312" w:eastAsia="仿宋_GB2312"/>
                <w:sz w:val="26"/>
              </w:rPr>
              <w:t>12、具备外置扫描器</w:t>
            </w:r>
          </w:p>
          <w:p>
            <w:pPr>
              <w:pStyle w:val="null3"/>
            </w:pPr>
            <w:r>
              <w:rPr>
                <w:rFonts w:ascii="仿宋_GB2312" w:hAnsi="仿宋_GB2312" w:cs="仿宋_GB2312" w:eastAsia="仿宋_GB2312"/>
                <w:sz w:val="26"/>
              </w:rPr>
              <w:t>▲</w:t>
            </w:r>
            <w:r>
              <w:rPr>
                <w:rFonts w:ascii="仿宋_GB2312" w:hAnsi="仿宋_GB2312" w:cs="仿宋_GB2312" w:eastAsia="仿宋_GB2312"/>
                <w:sz w:val="26"/>
              </w:rPr>
              <w:t>1</w:t>
            </w:r>
            <w:r>
              <w:rPr>
                <w:rFonts w:ascii="仿宋_GB2312" w:hAnsi="仿宋_GB2312" w:cs="仿宋_GB2312" w:eastAsia="仿宋_GB2312"/>
                <w:sz w:val="26"/>
              </w:rPr>
              <w:t>3</w:t>
            </w:r>
            <w:r>
              <w:rPr>
                <w:rFonts w:ascii="仿宋_GB2312" w:hAnsi="仿宋_GB2312" w:cs="仿宋_GB2312" w:eastAsia="仿宋_GB2312"/>
                <w:sz w:val="26"/>
              </w:rPr>
              <w:t>、穿透深度：</w:t>
            </w:r>
            <w:r>
              <w:rPr>
                <w:rFonts w:ascii="仿宋_GB2312" w:hAnsi="仿宋_GB2312" w:cs="仿宋_GB2312" w:eastAsia="仿宋_GB2312"/>
                <w:sz w:val="26"/>
              </w:rPr>
              <w:t>≥3</w:t>
            </w:r>
            <w:r>
              <w:rPr>
                <w:rFonts w:ascii="仿宋_GB2312" w:hAnsi="仿宋_GB2312" w:cs="仿宋_GB2312" w:eastAsia="仿宋_GB2312"/>
                <w:sz w:val="26"/>
              </w:rPr>
              <w:t>mm</w:t>
            </w:r>
          </w:p>
          <w:p>
            <w:pPr>
              <w:pStyle w:val="null3"/>
            </w:pPr>
            <w:r>
              <w:rPr>
                <w:rFonts w:ascii="仿宋_GB2312" w:hAnsi="仿宋_GB2312" w:cs="仿宋_GB2312" w:eastAsia="仿宋_GB2312"/>
                <w:sz w:val="26"/>
              </w:rPr>
              <w:t>1</w:t>
            </w:r>
            <w:r>
              <w:rPr>
                <w:rFonts w:ascii="仿宋_GB2312" w:hAnsi="仿宋_GB2312" w:cs="仿宋_GB2312" w:eastAsia="仿宋_GB2312"/>
                <w:sz w:val="26"/>
              </w:rPr>
              <w:t>4</w:t>
            </w:r>
            <w:r>
              <w:rPr>
                <w:rFonts w:ascii="仿宋_GB2312" w:hAnsi="仿宋_GB2312" w:cs="仿宋_GB2312" w:eastAsia="仿宋_GB2312"/>
                <w:sz w:val="26"/>
              </w:rPr>
              <w:t>、激光脉冲宽度：</w:t>
            </w:r>
            <w:r>
              <w:rPr>
                <w:rFonts w:ascii="仿宋_GB2312" w:hAnsi="仿宋_GB2312" w:cs="仿宋_GB2312" w:eastAsia="仿宋_GB2312"/>
                <w:sz w:val="26"/>
              </w:rPr>
              <w:t>≤</w:t>
            </w:r>
            <w:r>
              <w:rPr>
                <w:rFonts w:ascii="仿宋_GB2312" w:hAnsi="仿宋_GB2312" w:cs="仿宋_GB2312" w:eastAsia="仿宋_GB2312"/>
                <w:sz w:val="26"/>
              </w:rPr>
              <w:t>2ms</w:t>
            </w:r>
          </w:p>
          <w:p>
            <w:pPr>
              <w:pStyle w:val="null3"/>
            </w:pPr>
            <w:r>
              <w:rPr>
                <w:rFonts w:ascii="仿宋_GB2312" w:hAnsi="仿宋_GB2312" w:cs="仿宋_GB2312" w:eastAsia="仿宋_GB2312"/>
                <w:sz w:val="26"/>
              </w:rPr>
              <w:t>1</w:t>
            </w:r>
            <w:r>
              <w:rPr>
                <w:rFonts w:ascii="仿宋_GB2312" w:hAnsi="仿宋_GB2312" w:cs="仿宋_GB2312" w:eastAsia="仿宋_GB2312"/>
                <w:sz w:val="26"/>
              </w:rPr>
              <w:t>5</w:t>
            </w:r>
            <w:r>
              <w:rPr>
                <w:rFonts w:ascii="仿宋_GB2312" w:hAnsi="仿宋_GB2312" w:cs="仿宋_GB2312" w:eastAsia="仿宋_GB2312"/>
                <w:sz w:val="26"/>
              </w:rPr>
              <w:t>、光束传输方式：</w:t>
            </w:r>
            <w:r>
              <w:rPr>
                <w:rFonts w:ascii="仿宋_GB2312" w:hAnsi="仿宋_GB2312" w:cs="仿宋_GB2312" w:eastAsia="仿宋_GB2312"/>
                <w:sz w:val="26"/>
              </w:rPr>
              <w:t xml:space="preserve"> 导光臂</w:t>
            </w:r>
            <w:r>
              <w:rPr>
                <w:rFonts w:ascii="仿宋_GB2312" w:hAnsi="仿宋_GB2312" w:cs="仿宋_GB2312" w:eastAsia="仿宋_GB2312"/>
                <w:sz w:val="26"/>
              </w:rPr>
              <w:t>≥7</w:t>
            </w:r>
            <w:r>
              <w:rPr>
                <w:rFonts w:ascii="仿宋_GB2312" w:hAnsi="仿宋_GB2312" w:cs="仿宋_GB2312" w:eastAsia="仿宋_GB2312"/>
                <w:sz w:val="26"/>
              </w:rPr>
              <w:t>关节，</w:t>
            </w:r>
            <w:r>
              <w:rPr>
                <w:rFonts w:ascii="仿宋_GB2312" w:hAnsi="仿宋_GB2312" w:cs="仿宋_GB2312" w:eastAsia="仿宋_GB2312"/>
                <w:sz w:val="26"/>
              </w:rPr>
              <w:t>360°旋转</w:t>
            </w:r>
          </w:p>
          <w:p>
            <w:pPr>
              <w:pStyle w:val="null3"/>
            </w:pPr>
            <w:r>
              <w:rPr>
                <w:rFonts w:ascii="仿宋_GB2312" w:hAnsi="仿宋_GB2312" w:cs="仿宋_GB2312" w:eastAsia="仿宋_GB2312"/>
                <w:sz w:val="26"/>
              </w:rPr>
              <w:t>▲</w:t>
            </w:r>
            <w:r>
              <w:rPr>
                <w:rFonts w:ascii="仿宋_GB2312" w:hAnsi="仿宋_GB2312" w:cs="仿宋_GB2312" w:eastAsia="仿宋_GB2312"/>
                <w:sz w:val="26"/>
              </w:rPr>
              <w:t>1</w:t>
            </w:r>
            <w:r>
              <w:rPr>
                <w:rFonts w:ascii="仿宋_GB2312" w:hAnsi="仿宋_GB2312" w:cs="仿宋_GB2312" w:eastAsia="仿宋_GB2312"/>
                <w:sz w:val="26"/>
              </w:rPr>
              <w:t>6</w:t>
            </w:r>
            <w:r>
              <w:rPr>
                <w:rFonts w:ascii="仿宋_GB2312" w:hAnsi="仿宋_GB2312" w:cs="仿宋_GB2312" w:eastAsia="仿宋_GB2312"/>
                <w:sz w:val="26"/>
              </w:rPr>
              <w:t>、光斑扫描方式：具备顺序</w:t>
            </w:r>
            <w:r>
              <w:rPr>
                <w:rFonts w:ascii="仿宋_GB2312" w:hAnsi="仿宋_GB2312" w:cs="仿宋_GB2312" w:eastAsia="仿宋_GB2312"/>
                <w:sz w:val="26"/>
              </w:rPr>
              <w:t>/非顺序扫描</w:t>
            </w:r>
            <w:r>
              <w:rPr>
                <w:rFonts w:ascii="仿宋_GB2312" w:hAnsi="仿宋_GB2312" w:cs="仿宋_GB2312" w:eastAsia="仿宋_GB2312"/>
                <w:sz w:val="26"/>
              </w:rPr>
              <w:t>方式</w:t>
            </w:r>
          </w:p>
          <w:p>
            <w:pPr>
              <w:pStyle w:val="null3"/>
            </w:pPr>
            <w:r>
              <w:rPr>
                <w:rFonts w:ascii="仿宋_GB2312" w:hAnsi="仿宋_GB2312" w:cs="仿宋_GB2312" w:eastAsia="仿宋_GB2312"/>
                <w:sz w:val="26"/>
              </w:rPr>
              <w:t>▲</w:t>
            </w:r>
            <w:r>
              <w:rPr>
                <w:rFonts w:ascii="仿宋_GB2312" w:hAnsi="仿宋_GB2312" w:cs="仿宋_GB2312" w:eastAsia="仿宋_GB2312"/>
                <w:sz w:val="26"/>
              </w:rPr>
              <w:t>17、</w:t>
            </w:r>
            <w:r>
              <w:rPr>
                <w:rFonts w:ascii="仿宋_GB2312" w:hAnsi="仿宋_GB2312" w:cs="仿宋_GB2312" w:eastAsia="仿宋_GB2312"/>
                <w:sz w:val="26"/>
              </w:rPr>
              <w:t>非像束激光</w:t>
            </w:r>
          </w:p>
          <w:p>
            <w:pPr>
              <w:pStyle w:val="null3"/>
              <w:jc w:val="left"/>
            </w:pPr>
            <w:r>
              <w:rPr>
                <w:rFonts w:ascii="仿宋_GB2312" w:hAnsi="仿宋_GB2312" w:cs="仿宋_GB2312" w:eastAsia="仿宋_GB2312"/>
                <w:sz w:val="26"/>
              </w:rPr>
              <w:t>18、光斑扫描图形：≥7种光斑图形可选</w:t>
            </w:r>
          </w:p>
          <w:p>
            <w:pPr>
              <w:pStyle w:val="null3"/>
            </w:pPr>
            <w:r>
              <w:rPr>
                <w:rFonts w:ascii="仿宋_GB2312" w:hAnsi="仿宋_GB2312" w:cs="仿宋_GB2312" w:eastAsia="仿宋_GB2312"/>
                <w:sz w:val="26"/>
              </w:rPr>
              <w:t>1</w:t>
            </w:r>
            <w:r>
              <w:rPr>
                <w:rFonts w:ascii="仿宋_GB2312" w:hAnsi="仿宋_GB2312" w:cs="仿宋_GB2312" w:eastAsia="仿宋_GB2312"/>
                <w:sz w:val="26"/>
              </w:rPr>
              <w:t>9</w:t>
            </w:r>
            <w:r>
              <w:rPr>
                <w:rFonts w:ascii="仿宋_GB2312" w:hAnsi="仿宋_GB2312" w:cs="仿宋_GB2312" w:eastAsia="仿宋_GB2312"/>
                <w:sz w:val="26"/>
              </w:rPr>
              <w:t>、激光发射持续时间：</w:t>
            </w:r>
            <w:r>
              <w:rPr>
                <w:rFonts w:ascii="仿宋_GB2312" w:hAnsi="仿宋_GB2312" w:cs="仿宋_GB2312" w:eastAsia="仿宋_GB2312"/>
                <w:sz w:val="26"/>
              </w:rPr>
              <w:t>10ms-1s</w:t>
            </w:r>
          </w:p>
          <w:p>
            <w:pPr>
              <w:pStyle w:val="null3"/>
            </w:pPr>
            <w:r>
              <w:rPr>
                <w:rFonts w:ascii="仿宋_GB2312" w:hAnsi="仿宋_GB2312" w:cs="仿宋_GB2312" w:eastAsia="仿宋_GB2312"/>
                <w:sz w:val="26"/>
              </w:rPr>
              <w:t>20</w:t>
            </w:r>
            <w:r>
              <w:rPr>
                <w:rFonts w:ascii="仿宋_GB2312" w:hAnsi="仿宋_GB2312" w:cs="仿宋_GB2312" w:eastAsia="仿宋_GB2312"/>
                <w:sz w:val="26"/>
              </w:rPr>
              <w:t>、激光发射间隔：</w:t>
            </w:r>
            <w:r>
              <w:rPr>
                <w:rFonts w:ascii="仿宋_GB2312" w:hAnsi="仿宋_GB2312" w:cs="仿宋_GB2312" w:eastAsia="仿宋_GB2312"/>
                <w:sz w:val="26"/>
              </w:rPr>
              <w:t>0.1s-5s</w:t>
            </w:r>
          </w:p>
          <w:p>
            <w:pPr>
              <w:pStyle w:val="null3"/>
            </w:pPr>
            <w:r>
              <w:rPr>
                <w:rFonts w:ascii="仿宋_GB2312" w:hAnsi="仿宋_GB2312" w:cs="仿宋_GB2312" w:eastAsia="仿宋_GB2312"/>
                <w:sz w:val="26"/>
              </w:rPr>
              <w:t>21</w:t>
            </w:r>
            <w:r>
              <w:rPr>
                <w:rFonts w:ascii="仿宋_GB2312" w:hAnsi="仿宋_GB2312" w:cs="仿宋_GB2312" w:eastAsia="仿宋_GB2312"/>
                <w:sz w:val="26"/>
              </w:rPr>
              <w:t>、</w:t>
            </w:r>
            <w:r>
              <w:rPr>
                <w:rFonts w:ascii="仿宋_GB2312" w:hAnsi="仿宋_GB2312" w:cs="仿宋_GB2312" w:eastAsia="仿宋_GB2312"/>
                <w:sz w:val="26"/>
              </w:rPr>
              <w:t>治疗</w:t>
            </w:r>
            <w:r>
              <w:rPr>
                <w:rFonts w:ascii="仿宋_GB2312" w:hAnsi="仿宋_GB2312" w:cs="仿宋_GB2312" w:eastAsia="仿宋_GB2312"/>
                <w:sz w:val="26"/>
              </w:rPr>
              <w:t>功能：</w:t>
            </w:r>
            <w:r>
              <w:rPr>
                <w:rFonts w:ascii="仿宋_GB2312" w:hAnsi="仿宋_GB2312" w:cs="仿宋_GB2312" w:eastAsia="仿宋_GB2312"/>
                <w:sz w:val="26"/>
              </w:rPr>
              <w:t>≥4种</w:t>
            </w:r>
          </w:p>
          <w:p>
            <w:pPr>
              <w:pStyle w:val="null3"/>
            </w:pPr>
            <w:r>
              <w:rPr>
                <w:rFonts w:ascii="仿宋_GB2312" w:hAnsi="仿宋_GB2312" w:cs="仿宋_GB2312" w:eastAsia="仿宋_GB2312"/>
                <w:sz w:val="26"/>
              </w:rPr>
              <w:t>2</w:t>
            </w:r>
            <w:r>
              <w:rPr>
                <w:rFonts w:ascii="仿宋_GB2312" w:hAnsi="仿宋_GB2312" w:cs="仿宋_GB2312" w:eastAsia="仿宋_GB2312"/>
                <w:sz w:val="26"/>
              </w:rPr>
              <w:t>2</w:t>
            </w:r>
            <w:r>
              <w:rPr>
                <w:rFonts w:ascii="仿宋_GB2312" w:hAnsi="仿宋_GB2312" w:cs="仿宋_GB2312" w:eastAsia="仿宋_GB2312"/>
                <w:sz w:val="26"/>
              </w:rPr>
              <w:t>、激光脉冲频率：</w:t>
            </w:r>
            <w:r>
              <w:rPr>
                <w:rFonts w:ascii="仿宋_GB2312" w:hAnsi="仿宋_GB2312" w:cs="仿宋_GB2312" w:eastAsia="仿宋_GB2312"/>
                <w:sz w:val="26"/>
              </w:rPr>
              <w:t>≥</w:t>
            </w:r>
            <w:r>
              <w:rPr>
                <w:rFonts w:ascii="仿宋_GB2312" w:hAnsi="仿宋_GB2312" w:cs="仿宋_GB2312" w:eastAsia="仿宋_GB2312"/>
                <w:sz w:val="26"/>
              </w:rPr>
              <w:t>1000Hz</w:t>
            </w:r>
          </w:p>
          <w:p>
            <w:pPr>
              <w:pStyle w:val="null3"/>
            </w:pPr>
            <w:r>
              <w:rPr>
                <w:rFonts w:ascii="仿宋_GB2312" w:hAnsi="仿宋_GB2312" w:cs="仿宋_GB2312" w:eastAsia="仿宋_GB2312"/>
                <w:sz w:val="26"/>
              </w:rPr>
              <w:t>2</w:t>
            </w:r>
            <w:r>
              <w:rPr>
                <w:rFonts w:ascii="仿宋_GB2312" w:hAnsi="仿宋_GB2312" w:cs="仿宋_GB2312" w:eastAsia="仿宋_GB2312"/>
                <w:sz w:val="26"/>
              </w:rPr>
              <w:t>3</w:t>
            </w:r>
            <w:r>
              <w:rPr>
                <w:rFonts w:ascii="仿宋_GB2312" w:hAnsi="仿宋_GB2312" w:cs="仿宋_GB2312" w:eastAsia="仿宋_GB2312"/>
                <w:sz w:val="26"/>
              </w:rPr>
              <w:t>、瞄准光波长：</w:t>
            </w:r>
            <w:r>
              <w:rPr>
                <w:rFonts w:ascii="仿宋_GB2312" w:hAnsi="仿宋_GB2312" w:cs="仿宋_GB2312" w:eastAsia="仿宋_GB2312"/>
                <w:sz w:val="26"/>
              </w:rPr>
              <w:t>635nm</w:t>
            </w:r>
            <w:r>
              <w:rPr>
                <w:rFonts w:ascii="仿宋_GB2312" w:hAnsi="仿宋_GB2312" w:cs="仿宋_GB2312" w:eastAsia="仿宋_GB2312"/>
                <w:sz w:val="26"/>
              </w:rPr>
              <w:t>±10nm</w:t>
            </w:r>
            <w:r>
              <w:rPr>
                <w:rFonts w:ascii="仿宋_GB2312" w:hAnsi="仿宋_GB2312" w:cs="仿宋_GB2312" w:eastAsia="仿宋_GB2312"/>
                <w:sz w:val="26"/>
              </w:rPr>
              <w:t>，功率</w:t>
            </w:r>
            <w:r>
              <w:rPr>
                <w:rFonts w:ascii="仿宋_GB2312" w:hAnsi="仿宋_GB2312" w:cs="仿宋_GB2312" w:eastAsia="仿宋_GB2312"/>
                <w:sz w:val="26"/>
              </w:rPr>
              <w:t>≤5mw</w:t>
            </w:r>
          </w:p>
          <w:p>
            <w:pPr>
              <w:pStyle w:val="null3"/>
            </w:pPr>
            <w:r>
              <w:rPr>
                <w:rFonts w:ascii="仿宋_GB2312" w:hAnsi="仿宋_GB2312" w:cs="仿宋_GB2312" w:eastAsia="仿宋_GB2312"/>
                <w:sz w:val="26"/>
              </w:rPr>
              <w:t>2</w:t>
            </w:r>
            <w:r>
              <w:rPr>
                <w:rFonts w:ascii="仿宋_GB2312" w:hAnsi="仿宋_GB2312" w:cs="仿宋_GB2312" w:eastAsia="仿宋_GB2312"/>
                <w:sz w:val="26"/>
              </w:rPr>
              <w:t>4</w:t>
            </w:r>
            <w:r>
              <w:rPr>
                <w:rFonts w:ascii="仿宋_GB2312" w:hAnsi="仿宋_GB2312" w:cs="仿宋_GB2312" w:eastAsia="仿宋_GB2312"/>
                <w:sz w:val="26"/>
              </w:rPr>
              <w:t>、具备脚踏开关</w:t>
            </w:r>
          </w:p>
          <w:p>
            <w:pPr>
              <w:pStyle w:val="null3"/>
            </w:pPr>
            <w:r>
              <w:rPr>
                <w:rFonts w:ascii="仿宋_GB2312" w:hAnsi="仿宋_GB2312" w:cs="仿宋_GB2312" w:eastAsia="仿宋_GB2312"/>
                <w:sz w:val="26"/>
              </w:rPr>
              <w:t>2</w:t>
            </w:r>
            <w:r>
              <w:rPr>
                <w:rFonts w:ascii="仿宋_GB2312" w:hAnsi="仿宋_GB2312" w:cs="仿宋_GB2312" w:eastAsia="仿宋_GB2312"/>
                <w:sz w:val="26"/>
              </w:rPr>
              <w:t>5</w:t>
            </w:r>
            <w:r>
              <w:rPr>
                <w:rFonts w:ascii="仿宋_GB2312" w:hAnsi="仿宋_GB2312" w:cs="仿宋_GB2312" w:eastAsia="仿宋_GB2312"/>
                <w:sz w:val="26"/>
              </w:rPr>
              <w:t>、冷却：封闭式</w:t>
            </w:r>
            <w:r>
              <w:rPr>
                <w:rFonts w:ascii="仿宋_GB2312" w:hAnsi="仿宋_GB2312" w:cs="仿宋_GB2312" w:eastAsia="仿宋_GB2312"/>
                <w:sz w:val="26"/>
              </w:rPr>
              <w:t>内部闭</w:t>
            </w:r>
            <w:r>
              <w:rPr>
                <w:rFonts w:ascii="仿宋_GB2312" w:hAnsi="仿宋_GB2312" w:cs="仿宋_GB2312" w:eastAsia="仿宋_GB2312"/>
                <w:sz w:val="26"/>
              </w:rPr>
              <w:t>循环液体冷却</w:t>
            </w:r>
          </w:p>
          <w:p>
            <w:pPr>
              <w:pStyle w:val="null3"/>
            </w:pPr>
            <w:r>
              <w:rPr>
                <w:rFonts w:ascii="仿宋_GB2312" w:hAnsi="仿宋_GB2312" w:cs="仿宋_GB2312" w:eastAsia="仿宋_GB2312"/>
                <w:sz w:val="26"/>
              </w:rPr>
              <w:t>2</w:t>
            </w:r>
            <w:r>
              <w:rPr>
                <w:rFonts w:ascii="仿宋_GB2312" w:hAnsi="仿宋_GB2312" w:cs="仿宋_GB2312" w:eastAsia="仿宋_GB2312"/>
                <w:sz w:val="26"/>
              </w:rPr>
              <w:t>6</w:t>
            </w:r>
            <w:r>
              <w:rPr>
                <w:rFonts w:ascii="仿宋_GB2312" w:hAnsi="仿宋_GB2312" w:cs="仿宋_GB2312" w:eastAsia="仿宋_GB2312"/>
                <w:sz w:val="26"/>
              </w:rPr>
              <w:t>、认证：具备</w:t>
            </w:r>
            <w:r>
              <w:rPr>
                <w:rFonts w:ascii="仿宋_GB2312" w:hAnsi="仿宋_GB2312" w:cs="仿宋_GB2312" w:eastAsia="仿宋_GB2312"/>
                <w:sz w:val="26"/>
              </w:rPr>
              <w:t xml:space="preserve"> IS</w:t>
            </w:r>
            <w:r>
              <w:rPr>
                <w:rFonts w:ascii="仿宋_GB2312" w:hAnsi="仿宋_GB2312" w:cs="仿宋_GB2312" w:eastAsia="仿宋_GB2312"/>
                <w:sz w:val="26"/>
              </w:rPr>
              <w:t>O</w:t>
            </w:r>
            <w:r>
              <w:rPr>
                <w:rFonts w:ascii="仿宋_GB2312" w:hAnsi="仿宋_GB2312" w:cs="仿宋_GB2312" w:eastAsia="仿宋_GB2312"/>
                <w:sz w:val="26"/>
              </w:rPr>
              <w:t xml:space="preserve">13485 </w:t>
            </w:r>
            <w:r>
              <w:rPr>
                <w:rFonts w:ascii="仿宋_GB2312" w:hAnsi="仿宋_GB2312" w:cs="仿宋_GB2312" w:eastAsia="仿宋_GB2312"/>
                <w:sz w:val="26"/>
              </w:rPr>
              <w:t>认证</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合同签订后60个工作日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全部安装、调试完成，初步验收合格交付使用后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一年后最终验收完成</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交付使用后整机质保3年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详见拟签订采购合同文本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详见拟签订采购合同文本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7.汉中市政府采购供应商资格承诺函.docx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7.汉中市政府采购供应商资格承诺函.docx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1投标人合法注册的法人或其他组织的营业执照等证明文件。 2投标人在递交投标文件截止时间前被“信用中国”网站（www.creditchina.gov.cn）和中国政府采购网（www.ccgp.gov.cn）上被列入失信被执行人、重大税收违法失信主体、政府采购严重违法失信行为记录名单的，不得参加投标。 3投标人参加本项目的合法授权人授权委托书； 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提供授权代表在本单位养老保险缴纳证明）。 4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 5投标产品属于医疗器械管理范围的须提供医疗器械注册证。 6提供盖章的《汉中市政府采购供应商资格承诺函》。 7投标产品属于进口产品须提供制造商授权书及相应的完整授权链。</w:t>
            </w:r>
          </w:p>
        </w:tc>
        <w:tc>
          <w:tcPr>
            <w:tcW w:type="dxa" w:w="1661"/>
          </w:tcPr>
          <w:p>
            <w:pPr>
              <w:pStyle w:val="null3"/>
            </w:pPr>
            <w:r>
              <w:rPr>
                <w:rFonts w:ascii="仿宋_GB2312" w:hAnsi="仿宋_GB2312" w:cs="仿宋_GB2312" w:eastAsia="仿宋_GB2312"/>
              </w:rPr>
              <w:t>8.特定资格证明文件.docx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11.投标分项报价表.docx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11.投标分项报价表.docx 中小企业声明函 13.商务条款偏离表.docx 8.特定资格证明文件.docx 6.关于符合本国产品标准的声明函.docx 7.汉中市政府采购供应商资格承诺函.docx 投标函 残疾人福利性单位声明函 16.投标方案或技术方案.docx 17.业绩一览表.docx 标的清单 投标文件封面 12.投标保证金支付凭证或保函.docx 14.技术偏离表.docx 监狱企业的证明文件 15.技术证明材料.docx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11.投标分项报价表.docx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12.投标保证金支付凭证或保函.docx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投标内容满足招标文件中商务要求和技术实质性要求、不存在漏项或数量与要求不符</w:t>
            </w:r>
          </w:p>
        </w:tc>
        <w:tc>
          <w:tcPr>
            <w:tcW w:type="dxa" w:w="1661"/>
          </w:tcPr>
          <w:p>
            <w:pPr>
              <w:pStyle w:val="null3"/>
            </w:pPr>
            <w:r>
              <w:rPr>
                <w:rFonts w:ascii="仿宋_GB2312" w:hAnsi="仿宋_GB2312" w:cs="仿宋_GB2312" w:eastAsia="仿宋_GB2312"/>
              </w:rPr>
              <w:t>11.投标分项报价表.docx 13.商务条款偏离表.docx 14.技术偏离表.docx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开标一览表 11.投标分项报价表.docx 中小企业声明函 13.商务条款偏离表.docx 8.特定资格证明文件.docx 6.关于符合本国产品标准的声明函.docx 7.汉中市政府采购供应商资格承诺函.docx 投标函 残疾人福利性单位声明函 16.投标方案或技术方案.docx 17.业绩一览表.docx 标的清单 投标文件封面 12.投标保证金支付凭证或保函.docx 14.技术偏离表.docx 监狱企业的证明文件 15.技术证明材料.docx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11.投标分项报价表.docx 中小企业声明函 13.商务条款偏离表.docx 8.特定资格证明文件.docx 6.关于符合本国产品标准的声明函.docx 7.汉中市政府采购供应商资格承诺函.docx 投标函 残疾人福利性单位声明函 16.投标方案或技术方案.docx 17.业绩一览表.docx 标的清单 投标文件封面 12.投标保证金支付凭证或保函.docx 14.技术偏离表.docx 监狱企业的证明文件 15.技术证明材料.docx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一、节能环保产品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号）要求提供国家确定的认证机构出具的、处于有效期之内的节能产品或环境标志产品认证证书，每提供一个得0.25分，满分1分。政府强制采购产品不予加分。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11.投标分项报价表.docx</w:t>
            </w:r>
          </w:p>
        </w:tc>
      </w:tr>
      <w:tr>
        <w:tc>
          <w:tcPr>
            <w:tcW w:type="dxa" w:w="831"/>
            <w:vMerge/>
          </w:tcPr>
          <w:p/>
        </w:tc>
        <w:tc>
          <w:tcPr>
            <w:tcW w:type="dxa" w:w="1661"/>
          </w:tcPr>
          <w:p>
            <w:pPr>
              <w:pStyle w:val="null3"/>
            </w:pPr>
            <w:r>
              <w:rPr>
                <w:rFonts w:ascii="仿宋_GB2312" w:hAnsi="仿宋_GB2312" w:cs="仿宋_GB2312" w:eastAsia="仿宋_GB2312"/>
              </w:rPr>
              <w:t>二、 投标产品技术指标评审内容</w:t>
            </w:r>
          </w:p>
        </w:tc>
        <w:tc>
          <w:tcPr>
            <w:tcW w:type="dxa" w:w="2492"/>
          </w:tcPr>
          <w:p>
            <w:pPr>
              <w:pStyle w:val="null3"/>
            </w:pPr>
            <w:r>
              <w:rPr>
                <w:rFonts w:ascii="仿宋_GB2312" w:hAnsi="仿宋_GB2312" w:cs="仿宋_GB2312" w:eastAsia="仿宋_GB2312"/>
              </w:rPr>
              <w:t>投标产品的技术指标评审：完全响应得34分。“▲”号技术指标参数一项不满足扣2分，一般技术指标参数一项不满足扣1.5分，扣完为止。 评审依据：按照技术参数要求提供相应的证明文件（包括不限于检测报告、技术白皮书、厂家产品说明等），在技术偏离表“说明”栏中标明证明材料的页码；无技术材料支持视为负偏离。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14.技术偏离表.docx</w:t>
            </w:r>
          </w:p>
          <w:p>
            <w:pPr>
              <w:pStyle w:val="null3"/>
            </w:pPr>
            <w:r>
              <w:rPr>
                <w:rFonts w:ascii="仿宋_GB2312" w:hAnsi="仿宋_GB2312" w:cs="仿宋_GB2312" w:eastAsia="仿宋_GB2312"/>
              </w:rPr>
              <w:t>15.技术证明材料.docx</w:t>
            </w:r>
          </w:p>
        </w:tc>
      </w:tr>
      <w:tr>
        <w:tc>
          <w:tcPr>
            <w:tcW w:type="dxa" w:w="831"/>
            <w:vMerge/>
          </w:tcPr>
          <w:p/>
        </w:tc>
        <w:tc>
          <w:tcPr>
            <w:tcW w:type="dxa" w:w="1661"/>
          </w:tcPr>
          <w:p>
            <w:pPr>
              <w:pStyle w:val="null3"/>
            </w:pPr>
            <w:r>
              <w:rPr>
                <w:rFonts w:ascii="仿宋_GB2312" w:hAnsi="仿宋_GB2312" w:cs="仿宋_GB2312" w:eastAsia="仿宋_GB2312"/>
              </w:rPr>
              <w:t>三、投标产品的可靠性</w:t>
            </w:r>
          </w:p>
        </w:tc>
        <w:tc>
          <w:tcPr>
            <w:tcW w:type="dxa" w:w="2492"/>
          </w:tcPr>
          <w:p>
            <w:pPr>
              <w:pStyle w:val="null3"/>
            </w:pPr>
            <w:r>
              <w:rPr>
                <w:rFonts w:ascii="仿宋_GB2312" w:hAnsi="仿宋_GB2312" w:cs="仿宋_GB2312" w:eastAsia="仿宋_GB2312"/>
              </w:rPr>
              <w:t>①所投设备技术先进、可靠性强、成熟度高，满足用户需求，得5分； ②所投设备技术成熟、性能稳定，基本满足用户需求，得3分； ③所投设备技术成熟、性能满足、影响用户使用效果，得1分。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16.投标方案或技术方案.docx</w:t>
            </w:r>
          </w:p>
        </w:tc>
      </w:tr>
      <w:tr>
        <w:tc>
          <w:tcPr>
            <w:tcW w:type="dxa" w:w="831"/>
            <w:vMerge/>
          </w:tcPr>
          <w:p/>
        </w:tc>
        <w:tc>
          <w:tcPr>
            <w:tcW w:type="dxa" w:w="1661"/>
          </w:tcPr>
          <w:p>
            <w:pPr>
              <w:pStyle w:val="null3"/>
            </w:pPr>
            <w:r>
              <w:rPr>
                <w:rFonts w:ascii="仿宋_GB2312" w:hAnsi="仿宋_GB2312" w:cs="仿宋_GB2312" w:eastAsia="仿宋_GB2312"/>
              </w:rPr>
              <w:t>1、供货方案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16.投标方案或技术方案.docx</w:t>
            </w:r>
          </w:p>
        </w:tc>
      </w:tr>
      <w:tr>
        <w:tc>
          <w:tcPr>
            <w:tcW w:type="dxa" w:w="831"/>
            <w:vMerge/>
          </w:tcPr>
          <w:p/>
        </w:tc>
        <w:tc>
          <w:tcPr>
            <w:tcW w:type="dxa" w:w="1661"/>
          </w:tcPr>
          <w:p>
            <w:pPr>
              <w:pStyle w:val="null3"/>
            </w:pPr>
            <w:r>
              <w:rPr>
                <w:rFonts w:ascii="仿宋_GB2312" w:hAnsi="仿宋_GB2312" w:cs="仿宋_GB2312" w:eastAsia="仿宋_GB2312"/>
              </w:rPr>
              <w:t>2、安装调试方案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16.投标方案或技术方案.docx</w:t>
            </w:r>
          </w:p>
        </w:tc>
      </w:tr>
      <w:tr>
        <w:tc>
          <w:tcPr>
            <w:tcW w:type="dxa" w:w="831"/>
            <w:vMerge/>
          </w:tcPr>
          <w:p/>
        </w:tc>
        <w:tc>
          <w:tcPr>
            <w:tcW w:type="dxa" w:w="1661"/>
          </w:tcPr>
          <w:p>
            <w:pPr>
              <w:pStyle w:val="null3"/>
            </w:pPr>
            <w:r>
              <w:rPr>
                <w:rFonts w:ascii="仿宋_GB2312" w:hAnsi="仿宋_GB2312" w:cs="仿宋_GB2312" w:eastAsia="仿宋_GB2312"/>
              </w:rPr>
              <w:t>3、技术支持方案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16.投标方案或技术方案.docx</w:t>
            </w:r>
          </w:p>
        </w:tc>
      </w:tr>
      <w:tr>
        <w:tc>
          <w:tcPr>
            <w:tcW w:type="dxa" w:w="831"/>
            <w:vMerge/>
          </w:tcPr>
          <w:p/>
        </w:tc>
        <w:tc>
          <w:tcPr>
            <w:tcW w:type="dxa" w:w="1661"/>
          </w:tcPr>
          <w:p>
            <w:pPr>
              <w:pStyle w:val="null3"/>
            </w:pPr>
            <w:r>
              <w:rPr>
                <w:rFonts w:ascii="仿宋_GB2312" w:hAnsi="仿宋_GB2312" w:cs="仿宋_GB2312" w:eastAsia="仿宋_GB2312"/>
              </w:rPr>
              <w:t>4、验收方案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16.投标方案或技术方案.docx</w:t>
            </w:r>
          </w:p>
        </w:tc>
      </w:tr>
      <w:tr>
        <w:tc>
          <w:tcPr>
            <w:tcW w:type="dxa" w:w="831"/>
            <w:vMerge/>
          </w:tcPr>
          <w:p/>
        </w:tc>
        <w:tc>
          <w:tcPr>
            <w:tcW w:type="dxa" w:w="1661"/>
          </w:tcPr>
          <w:p>
            <w:pPr>
              <w:pStyle w:val="null3"/>
            </w:pPr>
            <w:r>
              <w:rPr>
                <w:rFonts w:ascii="仿宋_GB2312" w:hAnsi="仿宋_GB2312" w:cs="仿宋_GB2312" w:eastAsia="仿宋_GB2312"/>
              </w:rPr>
              <w:t>1、售后服务范围及保障措施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16.投标方案或技术方案.docx</w:t>
            </w:r>
          </w:p>
        </w:tc>
      </w:tr>
      <w:tr>
        <w:tc>
          <w:tcPr>
            <w:tcW w:type="dxa" w:w="831"/>
            <w:vMerge/>
          </w:tcPr>
          <w:p/>
        </w:tc>
        <w:tc>
          <w:tcPr>
            <w:tcW w:type="dxa" w:w="1661"/>
          </w:tcPr>
          <w:p>
            <w:pPr>
              <w:pStyle w:val="null3"/>
            </w:pPr>
            <w:r>
              <w:rPr>
                <w:rFonts w:ascii="仿宋_GB2312" w:hAnsi="仿宋_GB2312" w:cs="仿宋_GB2312" w:eastAsia="仿宋_GB2312"/>
              </w:rPr>
              <w:t>2、培训方案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16.投标方案或技术方案.docx</w:t>
            </w:r>
          </w:p>
        </w:tc>
      </w:tr>
      <w:tr>
        <w:tc>
          <w:tcPr>
            <w:tcW w:type="dxa" w:w="831"/>
            <w:vMerge/>
          </w:tcPr>
          <w:p/>
        </w:tc>
        <w:tc>
          <w:tcPr>
            <w:tcW w:type="dxa" w:w="1661"/>
          </w:tcPr>
          <w:p>
            <w:pPr>
              <w:pStyle w:val="null3"/>
            </w:pPr>
            <w:r>
              <w:rPr>
                <w:rFonts w:ascii="仿宋_GB2312" w:hAnsi="仿宋_GB2312" w:cs="仿宋_GB2312" w:eastAsia="仿宋_GB2312"/>
              </w:rPr>
              <w:t>3、故障处理及补救措施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16.投标方案或技术方案.docx</w:t>
            </w:r>
          </w:p>
        </w:tc>
      </w:tr>
      <w:tr>
        <w:tc>
          <w:tcPr>
            <w:tcW w:type="dxa" w:w="831"/>
            <w:vMerge/>
          </w:tcPr>
          <w:p/>
        </w:tc>
        <w:tc>
          <w:tcPr>
            <w:tcW w:type="dxa" w:w="1661"/>
          </w:tcPr>
          <w:p>
            <w:pPr>
              <w:pStyle w:val="null3"/>
            </w:pPr>
            <w:r>
              <w:rPr>
                <w:rFonts w:ascii="仿宋_GB2312" w:hAnsi="仿宋_GB2312" w:cs="仿宋_GB2312" w:eastAsia="仿宋_GB2312"/>
              </w:rPr>
              <w:t>4、备品配件服务承诺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16.投标方案或技术方案.docx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提供2023年1月1日至投标截止时间（以合同签订时间为准）所投“二氧化碳点阵激光皮肤治疗系统”品牌同类产品业绩，每提供一个业绩得1.5分，满分6分。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17.业绩一览表.docx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（小微企业、监狱企业或残疾人福利性单位用投标报价扣除后的价格参加评审。专门面向中小企业采购的项目不进行价格扣除。） （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11.投标分项报价表.docx</w:t>
            </w:r>
          </w:p>
          <w:p>
            <w:pPr>
              <w:pStyle w:val="null3"/>
            </w:pPr>
            <w:r>
              <w:rPr>
                <w:rFonts w:ascii="仿宋_GB2312" w:hAnsi="仿宋_GB2312" w:cs="仿宋_GB2312" w:eastAsia="仿宋_GB2312"/>
              </w:rPr>
              <w:t>6.关于符合本国产品标准的声明函.docx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11.投标分项报价表.docx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详见附件：6.关于符合本国产品标准的声明函.docx</w:t>
      </w:r>
    </w:p>
    <w:p>
      <w:pPr>
        <w:pStyle w:val="null3"/>
        <w:ind w:firstLine="960"/>
      </w:pPr>
      <w:r>
        <w:rPr>
          <w:rFonts w:ascii="仿宋_GB2312" w:hAnsi="仿宋_GB2312" w:cs="仿宋_GB2312" w:eastAsia="仿宋_GB2312"/>
        </w:rPr>
        <w:t>详见附件：7.汉中市政府采购供应商资格承诺函.docx</w:t>
      </w:r>
    </w:p>
    <w:p>
      <w:pPr>
        <w:pStyle w:val="null3"/>
        <w:ind w:firstLine="960"/>
      </w:pPr>
      <w:r>
        <w:rPr>
          <w:rFonts w:ascii="仿宋_GB2312" w:hAnsi="仿宋_GB2312" w:cs="仿宋_GB2312" w:eastAsia="仿宋_GB2312"/>
        </w:rPr>
        <w:t>详见附件：8.特定资格证明文件.docx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详见附件：11.投标分项报价表.docx</w:t>
      </w:r>
    </w:p>
    <w:p>
      <w:pPr>
        <w:pStyle w:val="null3"/>
        <w:ind w:firstLine="960"/>
      </w:pPr>
      <w:r>
        <w:rPr>
          <w:rFonts w:ascii="仿宋_GB2312" w:hAnsi="仿宋_GB2312" w:cs="仿宋_GB2312" w:eastAsia="仿宋_GB2312"/>
        </w:rPr>
        <w:t>详见附件：12.投标保证金支付凭证或保函.docx</w:t>
      </w:r>
    </w:p>
    <w:p>
      <w:pPr>
        <w:pStyle w:val="null3"/>
        <w:ind w:firstLine="960"/>
      </w:pPr>
      <w:r>
        <w:rPr>
          <w:rFonts w:ascii="仿宋_GB2312" w:hAnsi="仿宋_GB2312" w:cs="仿宋_GB2312" w:eastAsia="仿宋_GB2312"/>
        </w:rPr>
        <w:t>详见附件：13.商务条款偏离表.docx</w:t>
      </w:r>
    </w:p>
    <w:p>
      <w:pPr>
        <w:pStyle w:val="null3"/>
        <w:ind w:firstLine="960"/>
      </w:pPr>
      <w:r>
        <w:rPr>
          <w:rFonts w:ascii="仿宋_GB2312" w:hAnsi="仿宋_GB2312" w:cs="仿宋_GB2312" w:eastAsia="仿宋_GB2312"/>
        </w:rPr>
        <w:t>详见附件：14.技术偏离表.docx</w:t>
      </w:r>
    </w:p>
    <w:p>
      <w:pPr>
        <w:pStyle w:val="null3"/>
        <w:ind w:firstLine="960"/>
      </w:pPr>
      <w:r>
        <w:rPr>
          <w:rFonts w:ascii="仿宋_GB2312" w:hAnsi="仿宋_GB2312" w:cs="仿宋_GB2312" w:eastAsia="仿宋_GB2312"/>
        </w:rPr>
        <w:t>详见附件：15.技术证明材料.docx</w:t>
      </w:r>
    </w:p>
    <w:p>
      <w:pPr>
        <w:pStyle w:val="null3"/>
        <w:ind w:firstLine="960"/>
      </w:pPr>
      <w:r>
        <w:rPr>
          <w:rFonts w:ascii="仿宋_GB2312" w:hAnsi="仿宋_GB2312" w:cs="仿宋_GB2312" w:eastAsia="仿宋_GB2312"/>
        </w:rPr>
        <w:t>详见附件：16.投标方案或技术方案.docx</w:t>
      </w:r>
    </w:p>
    <w:p>
      <w:pPr>
        <w:pStyle w:val="null3"/>
        <w:ind w:firstLine="960"/>
      </w:pPr>
      <w:r>
        <w:rPr>
          <w:rFonts w:ascii="仿宋_GB2312" w:hAnsi="仿宋_GB2312" w:cs="仿宋_GB2312" w:eastAsia="仿宋_GB2312"/>
        </w:rPr>
        <w:t>详见附件：17.业绩一览表.docx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详见附件：第七章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