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版本号：MT-2026-0120260314002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2026汉中文旅川渝主客源地市场形象广告宣传项目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MT-2026-01</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陕西名泰旭诚项目管理有限公司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陕西名泰旭诚项目管理有限公司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2026汉中文旅川渝主客源地市场形象广告宣传项目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MT-2026-01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2026汉中文旅川渝主客源地市场形象广告宣传项目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推动汉中文化旅游产业高质量发展，进一步扩大汉中知名度和美誉度，汉中市文化和旅游局拟通过重庆和成都高铁站开展汉中文旅形象宣传，深度覆盖从重庆和成都来汉的游客，吸引全国各地游客来汉中旅游观光，将汉中建设成为国内知名旅游目的地和世界旅游目的地城市之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采购包1（2026汉中文旅川渝主客源地市场形象广告宣传项目）：属于专门面向小微企业采购。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2、签署人身份证明：法定代表人身份证明及身份证复印件或授权委托书（法定代表人对投标函签署人的授权委托书）及被授权人身份证复印件；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4、企业关系关联承诺书：提供直接控股和管理关系清单。若与其他供应商存在单位负责人为同一人或者存在直接控股、管理关系的，则响应无效。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5、非联合体投标声明：本项目不接受联合体响应，不允许分包。供应商提供《非联合体不分包投标声明》。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陕西名泰旭诚项目管理有限公司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陕西省汉中市汉台区陕西省汉中市汉台区东大街街道办事处劳动东路33号汉航集团办公楼221室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0916-2381996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开户名称：陕西名泰旭诚项目管理有限公司</w:t>
            </w:r>
          </w:p>
          <w:p>
            <w:pPr>
              <w:pStyle w:val="null3"/>
            </w:pPr>
            <w:r>
              <w:rPr>
                <w:rFonts w:ascii="仿宋_GB2312" w:hAnsi="仿宋_GB2312" w:cs="仿宋_GB2312" w:eastAsia="仿宋_GB2312"/>
              </w:rPr>
              <w:t>开户银行：建行汉中天汉东路支行</w:t>
            </w:r>
          </w:p>
          <w:p>
            <w:pPr>
              <w:pStyle w:val="null3"/>
            </w:pPr>
            <w:r>
              <w:rPr>
                <w:rFonts w:ascii="仿宋_GB2312" w:hAnsi="仿宋_GB2312" w:cs="仿宋_GB2312" w:eastAsia="仿宋_GB2312"/>
              </w:rPr>
              <w:t>银行账号：61050165380000000577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陕西名泰旭诚项目管理有限公司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陕西名泰旭诚项目管理有限公司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陕西名泰旭诚项目管理有限公司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陕西名泰旭诚项目管理有限公司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陕西名泰旭诚项目管理有限公司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陕西名泰旭诚项目管理有限公司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 0916-2381996</w:t>
      </w:r>
    </w:p>
    <w:p>
      <w:pPr>
        <w:pStyle w:val="null3"/>
      </w:pPr>
      <w:r>
        <w:rPr>
          <w:rFonts w:ascii="仿宋_GB2312" w:hAnsi="仿宋_GB2312" w:cs="仿宋_GB2312" w:eastAsia="仿宋_GB2312"/>
        </w:rPr>
        <w:t>地址： 陕西省汉中市汉台区陕西省汉中市汉台区东大街街道办事处劳动东路33号汉航集团办公楼221室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推动汉中文化旅游产业高质量发展，进一步扩大汉中知名度和美誉度，汉中市文化和旅游局拟通过重庆和成都高铁站开展汉中文旅形象宣传，深度覆盖从重庆和成都来汉的游客，吸引全国各地游客来汉中旅游观光，将汉中建设成为国内知名旅游目的地和世界旅游目的地城市之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2026汉中文旅川渝主客源地市场形象广告宣传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标的名称：2026汉中文旅川渝主客源地市场形象广告宣传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川渝为汉中文旅宣传的重要客源地，重庆和成都高铁站是川渝客流乘坐的重点交通枢纽，通过LED视频宣传，生动形象的展示汉中文旅的旅游特色。宣传期为2个月。一是重庆北站到达出口2块LED屏尺寸6.08m*1.92m和5.88m*1.92m，频次10秒480次/日；二是成都东站到达出站口2块LED屏尺寸8m*2.5m和6m*2m，频次10秒480次/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成都高铁站、重庆高铁站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广告发布后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履约期满经验收合格后</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甲乙双方合同中自行约定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签署人身份证明</w:t>
            </w:r>
          </w:p>
        </w:tc>
        <w:tc>
          <w:tcPr>
            <w:tcW w:type="dxa" w:w="3322"/>
          </w:tcPr>
          <w:p>
            <w:pPr>
              <w:pStyle w:val="null3"/>
            </w:pPr>
            <w:r>
              <w:rPr>
                <w:rFonts w:ascii="仿宋_GB2312" w:hAnsi="仿宋_GB2312" w:cs="仿宋_GB2312" w:eastAsia="仿宋_GB2312"/>
              </w:rPr>
              <w:t>法定代表人身份证明及身份证复印件或授权委托书（法定代表人对投标函签署人的授权委托书）及被授权人身份证复印件；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 等非实质性的格式、形式问题限制和影响供应 商响应)</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响应文件封面 中小企业声明函 残疾人福利性单位声明函 服务响应方案.docx 标的清单 报价表 响应函 资格证明文件.docx 监狱企业的证明文件 技术服务偏差表.docx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情况就服务内容编写服务方案：需提供整体详细、合理、可行的推广服务方案，包括但不限于（整体推广策略、媒体形式和展示效果等）能充分体现工作效率及工作效果，方案合理且科学，根据其响应程度进行综合评审。 1、整体服务方案详细、合理、可行性强得20分；2、整体服务方案详细、合理、可行性一般得14分； 3、整体服务方案详细、合理、可行性差得7分；4、未提供不得分。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实施进度保证措施</w:t>
            </w:r>
          </w:p>
        </w:tc>
        <w:tc>
          <w:tcPr>
            <w:tcW w:type="dxa" w:w="2492"/>
          </w:tcPr>
          <w:p>
            <w:pPr>
              <w:pStyle w:val="null3"/>
            </w:pPr>
            <w:r>
              <w:rPr>
                <w:rFonts w:ascii="仿宋_GB2312" w:hAnsi="仿宋_GB2312" w:cs="仿宋_GB2312" w:eastAsia="仿宋_GB2312"/>
              </w:rPr>
              <w:t>1、服务期限满足磋商文件要求，保障体系完整，节点细节详细得15分；2、服务期限满足磋商文件要求，保障体系较完整，节点细节一般得10分；3、服务期限满足磋商文件要求，保障体系较差，节点细节不清晰得5分。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针对本项目重点难点等关键工作的分析及应急方案：1、应急方案合理、可行性高得15分；2、应急方案较合理、可行性一般得10分；3、应急方案一般、可行性差得5分。4、未提供不得分。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1、服务质量保障体系完整，节点细节详细得10分；2、服务质量保障体系较完整，节点细节一般得7分；3、服务质量保障体系较差，节点细节不清晰得4分。4、未提供不得分。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依据对本项目的理解，切合项目实际情况，为采购人提供有利于项目实施的合理化建议，按其内容综合评审。 1、合理化建议内容完整全面、详尽合理、具备较强的可操作性，得10分； 2、合理化建议内容条款有针对性，但表述简单，可操作性欠缺的得7分； 3、合理化建议空泛，不具备项目针对性、表述不合理的得4分。4、未提供不得分。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供应商提供企业管理能力、经营状况、信誉荣誉证书、人员素质学历等体现企业综合实力的相关说明。 1、管理能力完善，经营状况良好，企业行业信誉良好的计6分； 2、内容有缺项或说明资料不充分、组织管理及经营状况行业信誉等综合实力一般计4分；3、内容有欠缺或综合实力较差的计2分；4、未提供不得分。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针对本项目的人员管理制度及相关技术人员配备情况：1、人员管理制度完善，相关技术人员配备齐全得10分；2、人员管理制度较完善，相关技术人员配备基本满足得7分；3、人员管理制度一般，相关技术人员配备一般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类似业绩：供应商须提供2023年03月至今已完成的类似项目业绩，每提供一项得4分，最多得4分。 审查标准：以响应文件中所附业绩合同或中标通知书复印件或扫描件加盖公章为准。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 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详见附件：技术服务偏差表.docx</w:t>
      </w:r>
    </w:p>
    <w:p>
      <w:pPr>
        <w:pStyle w:val="null3"/>
        <w:ind w:firstLine="960"/>
      </w:pPr>
      <w:r>
        <w:rPr>
          <w:rFonts w:ascii="仿宋_GB2312" w:hAnsi="仿宋_GB2312" w:cs="仿宋_GB2312" w:eastAsia="仿宋_GB2312"/>
        </w:rPr>
        <w:t>详见附件：服务响应方案.docx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