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版本号：MT-2026-0120260316003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2026汉中文旅川渝主客源地市场形象广告宣传项目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MT-2026-01</w:t>
      </w:r>
      <w:r>
        <w:br/>
      </w:r>
      <w:r>
        <w:br/>
      </w:r>
      <w:r>
        <w:br/>
      </w:r>
    </w:p>
    <w:p>
      <w:pPr>
        <w:pStyle w:val="null3"/>
        <w:jc w:val="center"/>
        <w:outlineLvl w:val="2"/>
      </w:pPr>
      <w:r>
        <w:rPr>
          <w:rFonts w:ascii="仿宋_GB2312" w:hAnsi="仿宋_GB2312" w:cs="仿宋_GB2312" w:eastAsia="仿宋_GB2312"/>
          <w:sz w:val="28"/>
          <w:b/>
        </w:rPr>
        <w:t>汉中市文化和旅游局（汉中市文物广电局）</w:t>
      </w:r>
    </w:p>
    <w:p>
      <w:pPr>
        <w:pStyle w:val="null3"/>
        <w:jc w:val="center"/>
        <w:outlineLvl w:val="2"/>
      </w:pPr>
      <w:r>
        <w:rPr>
          <w:rFonts w:ascii="仿宋_GB2312" w:hAnsi="仿宋_GB2312" w:cs="仿宋_GB2312" w:eastAsia="仿宋_GB2312"/>
          <w:sz w:val="28"/>
          <w:b/>
        </w:rPr>
        <w:t>陕西名泰旭诚项目管理有限公司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陕西名泰旭诚项目管理有限公司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汉中市文化和旅游局（汉中市文物广电局）</w:t>
      </w:r>
      <w:r>
        <w:rPr>
          <w:rFonts w:ascii="仿宋_GB2312" w:hAnsi="仿宋_GB2312" w:cs="仿宋_GB2312" w:eastAsia="仿宋_GB2312"/>
        </w:rPr>
        <w:t>委托，拟对</w:t>
      </w:r>
      <w:r>
        <w:rPr>
          <w:rFonts w:ascii="仿宋_GB2312" w:hAnsi="仿宋_GB2312" w:cs="仿宋_GB2312" w:eastAsia="仿宋_GB2312"/>
        </w:rPr>
        <w:t>2026汉中文旅川渝主客源地市场形象广告宣传项目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MT-2026-01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2026汉中文旅川渝主客源地市场形象广告宣传项目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推动汉中文化旅游产业高质量发展，进一步扩大汉中知名度和美誉度，汉中市文化和旅游局拟通过重庆和成都高铁站开展汉中文旅形象宣传，深度覆盖从重庆和成都来汉的游客，吸引全国各地游客来汉中旅游观光，将汉中建设成为国内知名旅游目的地和世界旅游目的地城市之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采购包1（2026汉中文旅川渝主客源地市场形象广告宣传项目）：属于专门面向小微企业采购。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2、签署人身份证明：法定代表人身份证明及身份证复印件或授权委托书（法定代表人对投标函签署人的授权委托书）及被授权人身份证复印件；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4、企业关系关联承诺书：提供直接控股和管理关系清单。若与其他供应商存在单位负责人为同一人或者存在直接控股、管理关系的，则响应无效。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5、非联合体投标声明：本项目不接受联合体响应，不允许分包。供应商提供《非联合体不分包投标声明》。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汉中市文化和旅游局（汉中市文物广电局）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汉中市汉台区前进西路1567号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0916-2996580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陕西名泰旭诚项目管理有限公司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陕西省汉中市汉台区陕西省汉中市汉台区东大街街道办事处劳动东路33号汉航集团办公楼221室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0916-2381996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开户名称：陕西名泰旭诚项目管理有限公司</w:t>
            </w:r>
          </w:p>
          <w:p>
            <w:pPr>
              <w:pStyle w:val="null3"/>
            </w:pPr>
            <w:r>
              <w:rPr>
                <w:rFonts w:ascii="仿宋_GB2312" w:hAnsi="仿宋_GB2312" w:cs="仿宋_GB2312" w:eastAsia="仿宋_GB2312"/>
              </w:rPr>
              <w:t>开户银行：建行汉中天汉东路支行</w:t>
            </w:r>
          </w:p>
          <w:p>
            <w:pPr>
              <w:pStyle w:val="null3"/>
            </w:pPr>
            <w:r>
              <w:rPr>
                <w:rFonts w:ascii="仿宋_GB2312" w:hAnsi="仿宋_GB2312" w:cs="仿宋_GB2312" w:eastAsia="仿宋_GB2312"/>
              </w:rPr>
              <w:t>银行账号：61050165380000000577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汉中市文化和旅游局（汉中市文物广电局）</w:t>
      </w:r>
      <w:r>
        <w:rPr>
          <w:rFonts w:ascii="仿宋_GB2312" w:hAnsi="仿宋_GB2312" w:cs="仿宋_GB2312" w:eastAsia="仿宋_GB2312"/>
        </w:rPr>
        <w:t>和</w:t>
      </w:r>
      <w:r>
        <w:rPr>
          <w:rFonts w:ascii="仿宋_GB2312" w:hAnsi="仿宋_GB2312" w:cs="仿宋_GB2312" w:eastAsia="仿宋_GB2312"/>
        </w:rPr>
        <w:t>陕西名泰旭诚项目管理有限公司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汉中市文化和旅游局（汉中市文物广电局）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陕西名泰旭诚项目管理有限公司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汉中市文化和旅游局（汉中市文物广电局）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陕西名泰旭诚项目管理有限公司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陕西名泰旭诚项目管理有限公司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陕西名泰旭诚项目管理有限公司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陕西名泰旭诚项目管理有限公司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 0916-2381996</w:t>
      </w:r>
    </w:p>
    <w:p>
      <w:pPr>
        <w:pStyle w:val="null3"/>
      </w:pPr>
      <w:r>
        <w:rPr>
          <w:rFonts w:ascii="仿宋_GB2312" w:hAnsi="仿宋_GB2312" w:cs="仿宋_GB2312" w:eastAsia="仿宋_GB2312"/>
        </w:rPr>
        <w:t>地址： 陕西省汉中市汉台区陕西省汉中市汉台区东大街街道办事处劳动东路33号汉航集团办公楼221室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推动汉中文化旅游产业高质量发展，进一步扩大汉中知名度和美誉度，汉中市文化和旅游局拟通过重庆和成都高铁站开展汉中文旅形象宣传，深度覆盖从重庆和成都来汉的游客，吸引全国各地游客来汉中旅游观光，将汉中建设成为国内知名旅游目的地和世界旅游目的地城市之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2026汉中文旅川渝主客源地市场形象广告宣传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标的名称：2026汉中文旅川渝主客源地市场形象广告宣传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川渝为汉中文旅宣传的重要客源地，重庆和成都高铁站是川渝客流乘坐的重点交通枢纽，通过LED视频宣传，生动形象的展示汉中文旅的旅游特色。宣传期为2个月。一是重庆北站到达出口2块LED屏尺寸6.08m*1.92m和5.88m*1.92m，频次10秒480次/日；二是成都东站到达出站口2块LED屏尺寸8m*2.5m和6m*2m，频次10秒480次/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成都高铁站、重庆高铁站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广告发布后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履约期满经验收合格后</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甲乙双方合同中自行约定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签署人身份证明</w:t>
            </w:r>
          </w:p>
        </w:tc>
        <w:tc>
          <w:tcPr>
            <w:tcW w:type="dxa" w:w="3322"/>
          </w:tcPr>
          <w:p>
            <w:pPr>
              <w:pStyle w:val="null3"/>
            </w:pPr>
            <w:r>
              <w:rPr>
                <w:rFonts w:ascii="仿宋_GB2312" w:hAnsi="仿宋_GB2312" w:cs="仿宋_GB2312" w:eastAsia="仿宋_GB2312"/>
              </w:rPr>
              <w:t>法定代表人身份证明及身份证复印件或授权委托书（法定代表人对投标函签署人的授权委托书）及被授权人身份证复印件；</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w:t>
            </w:r>
          </w:p>
        </w:tc>
        <w:tc>
          <w:tcPr>
            <w:tcW w:type="dxa" w:w="1661"/>
          </w:tcPr>
          <w:p>
            <w:pPr>
              <w:pStyle w:val="null3"/>
            </w:pPr>
            <w:r>
              <w:rPr>
                <w:rFonts w:ascii="仿宋_GB2312" w:hAnsi="仿宋_GB2312" w:cs="仿宋_GB2312" w:eastAsia="仿宋_GB2312"/>
              </w:rPr>
              <w:t>资格证明文件1.docx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服务响应方案.docx 标的清单 报价表 响应函 监狱企业的证明文件 技术服务偏差表.docx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 等非实质性的格式、形式问题限制和影响供应 商响应)</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服务响应方案.docx 标的清单 报价表 响应函 监狱企业的证明文件 技术服务偏差表.docx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服务响应方案.docx 标的清单 报价表 响应函 监狱企业的证明文件 技术服务偏差表.docx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实际情况就服务内容编写服务方案：需提供整体详细、合理、可行的推广服务方案，包括但不限于（整体推广策略、媒体形式和展示效果等）能充分体现工作效率及工作效果，方案合理且科学，根据其响应程度进行综合评审。 1、整体服务方案详细、合理、可行性强得20分；2、整体服务方案详细、合理、可行性一般得14分； 3、整体服务方案详细、合理、可行性差得7分；4、未提供不得分。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1、服务期限满足磋商文件要求，保障体系完整，节点细节详细得15分；2、服务期限满足磋商文件要求，保障体系较完整，节点细节一般得10分；3、服务期限满足磋商文件要求，保障体系较差，节点细节不清晰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针对本项目重点难点等关键工作的分析及应急方案：1、应急方案合理、可行性高得15分；2、应急方案较合理、可行性一般得10分；3、应急方案一般、可行性差得5分。4、未提供不得分。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1、服务质量保障体系完整，节点细节详细得10分；2、服务质量保障体系较完整，节点细节一般得7分；3、服务质量保障体系较差，节点细节不清晰得4分。4、未提供不得分。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依据对本项目的理解，切合项目实际情况，为采购人提供有利于项目实施的合理化建议，按其内容综合评审。 1、合理化建议内容完整全面、详尽合理、具备较强的可操作性，得10分； 2、合理化建议内容条款有针对性，但表述简单，可操作性欠缺的得7分； 3、合理化建议空泛，不具备项目针对性、表述不合理的得4分。4、未提供不得分。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供应商提供企业管理能力、经营状况、信誉荣誉证书、人员素质学历等体现企业综合实力的相关说明。 1、管理能力完善，经营状况良好，企业行业信誉良好的计6分； 2、内容有缺项或说明资料不充分、组织管理及经营状况行业信誉等综合实力一般计4分；3、内容有欠缺或综合实力较差的计2分；4、未提供不得分。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针对本项目的人员管理制度及相关技术人员配备情况：1、人员管理制度完善，相关技术人员配备齐全得10分；2、人员管理制度较完善，相关技术人员配备基本满足得7分；3、人员管理制度一般，相关技术人员配备一般得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类似业绩：供应商须提供2023年03月至今已完成的类似项目业绩，每提供一项得4分，最多得4分。 审查标准：以响应文件中所附业绩合同或中标通知书复印件或扫描件加盖公章为准。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技术服务偏差表.docx</w:t>
            </w:r>
          </w:p>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 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详见附件：服务响应方案.docx</w:t>
      </w:r>
    </w:p>
    <w:p>
      <w:pPr>
        <w:pStyle w:val="null3"/>
        <w:ind w:firstLine="960"/>
      </w:pPr>
      <w:r>
        <w:rPr>
          <w:rFonts w:ascii="仿宋_GB2312" w:hAnsi="仿宋_GB2312" w:cs="仿宋_GB2312" w:eastAsia="仿宋_GB2312"/>
        </w:rPr>
        <w:t>详见附件：资格证明文件1.docx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