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版本号：FHGJ-HZ-202605220260319002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2026油菜花廊道标识标牌体系（综合导视系统）建设宣传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FHGJ-HZ-2026052</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2026油菜花廊道标识标牌体系（综合导视系统）建设宣传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FHGJ-HZ-2026052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2026油菜花廊道标识标牌体系（综合导视系统）建设宣传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提升汉中油菜花海旅游廊道品质和服务水平，围绕提升游客体验感，完善旅游服务设施，健全交通导览标识，项目以“串珠成链、全域共美”为总体发展思路，融合汉中本地生态文化特色与旅游服务功能，构建统一、美观、实用的汉中油菜花导视及美陈标识标牌体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采购包1（2026油菜花廊道标识标牌体系（综合导视系统）建设宣传）：属于专门面向中小企业采购。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 《法定代表人身份证明》及身份证复印件；法定代表人授权他人参加投标，须提供《法定代表人授权委托书》、被授权人身份证复印件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4、非联合体声明：本项目不接受联合体投标，需提供非联合体书面声明。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汉中市汉台区兴汉路中段自强大厦东二楼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18146861209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开户名称：丰汇国际项目管理有限公司汉中分公司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银行账号：102490275472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联系电话：18146861209</w:t>
      </w:r>
    </w:p>
    <w:p>
      <w:pPr>
        <w:pStyle w:val="null3"/>
      </w:pPr>
      <w:r>
        <w:rPr>
          <w:rFonts w:ascii="仿宋_GB2312" w:hAnsi="仿宋_GB2312" w:cs="仿宋_GB2312" w:eastAsia="仿宋_GB2312"/>
        </w:rPr>
        <w:t>地址：汉中市汉台区兴汉路中段自强大厦东二楼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提升汉中油菜花海旅游廊道品质和服务水平，围绕提升游客体验感，完善旅游服务设施，健全交通导览标识，项目以“串珠成链、全域共美”为总体发展思路，融合汉中本地生态文化特色与旅游服务功能，构建统一、美观、实用的汉中油菜花导视及美陈标识标牌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2026油菜花廊道标识标牌体系（综合导视系统）建设宣传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标的名称：2026油菜花廊道标识标牌体系（综合导视系统）建设宣传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b/>
              </w:rPr>
              <w:t>一、</w:t>
            </w:r>
            <w:r>
              <w:rPr>
                <w:rFonts w:ascii="仿宋_GB2312" w:hAnsi="仿宋_GB2312" w:cs="仿宋_GB2312" w:eastAsia="仿宋_GB2312"/>
                <w:sz w:val="32"/>
                <w:b/>
              </w:rPr>
              <w:t>整体</w:t>
            </w:r>
            <w:r>
              <w:rPr>
                <w:rFonts w:ascii="仿宋_GB2312" w:hAnsi="仿宋_GB2312" w:cs="仿宋_GB2312" w:eastAsia="仿宋_GB2312"/>
                <w:sz w:val="32"/>
                <w:b/>
              </w:rPr>
              <w:t>要求</w:t>
            </w:r>
          </w:p>
          <w:p>
            <w:pPr>
              <w:pStyle w:val="null3"/>
              <w:spacing w:before="120" w:after="120"/>
            </w:pPr>
            <w:r>
              <w:rPr>
                <w:rFonts w:ascii="仿宋_GB2312" w:hAnsi="仿宋_GB2312" w:cs="仿宋_GB2312" w:eastAsia="仿宋_GB2312"/>
                <w:sz w:val="22"/>
              </w:rPr>
              <w:t xml:space="preserve">1.  </w:t>
            </w:r>
            <w:r>
              <w:rPr>
                <w:rFonts w:ascii="仿宋_GB2312" w:hAnsi="仿宋_GB2312" w:cs="仿宋_GB2312" w:eastAsia="仿宋_GB2312"/>
                <w:sz w:val="22"/>
              </w:rPr>
              <w:t>所有设施设计样式统一，主题突出、导向清晰，符合油菜花廊道整体视觉形象。</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所有户外设施材质需具备抗风、防雨、防晒、耐磨损、防腐防潮性能</w:t>
            </w:r>
            <w:r>
              <w:rPr>
                <w:rFonts w:ascii="仿宋_GB2312" w:hAnsi="仿宋_GB2312" w:cs="仿宋_GB2312" w:eastAsia="仿宋_GB2312"/>
                <w:sz w:val="22"/>
              </w:rPr>
              <w:t>。</w:t>
            </w:r>
          </w:p>
          <w:p>
            <w:pPr>
              <w:pStyle w:val="null3"/>
              <w:spacing w:before="120" w:after="120"/>
            </w:pPr>
            <w:r>
              <w:rPr>
                <w:rFonts w:ascii="仿宋_GB2312" w:hAnsi="仿宋_GB2312" w:cs="仿宋_GB2312" w:eastAsia="仿宋_GB2312"/>
                <w:sz w:val="22"/>
              </w:rPr>
              <w:t xml:space="preserve">3.  </w:t>
            </w:r>
            <w:r>
              <w:rPr>
                <w:rFonts w:ascii="仿宋_GB2312" w:hAnsi="仿宋_GB2312" w:cs="仿宋_GB2312" w:eastAsia="仿宋_GB2312"/>
                <w:sz w:val="22"/>
              </w:rPr>
              <w:t>施工及安装需符合户外设施安全规范，不破坏原有道路、绿化及场地环境，安装完成后需通过安全验收。</w:t>
            </w:r>
          </w:p>
          <w:p>
            <w:pPr>
              <w:pStyle w:val="null3"/>
              <w:spacing w:before="315" w:after="120"/>
            </w:pPr>
            <w:r>
              <w:rPr>
                <w:rFonts w:ascii="仿宋_GB2312" w:hAnsi="仿宋_GB2312" w:cs="仿宋_GB2312" w:eastAsia="仿宋_GB2312"/>
                <w:sz w:val="32"/>
                <w:b/>
              </w:rPr>
              <w:t>二、具体技术参数及要求</w:t>
            </w:r>
          </w:p>
          <w:p>
            <w:pPr>
              <w:pStyle w:val="null3"/>
              <w:spacing w:before="300" w:after="120"/>
            </w:pPr>
            <w:r>
              <w:rPr>
                <w:rFonts w:ascii="仿宋_GB2312" w:hAnsi="仿宋_GB2312" w:cs="仿宋_GB2312" w:eastAsia="仿宋_GB2312"/>
                <w:sz w:val="30"/>
                <w:b/>
              </w:rPr>
              <w:t>（一）油菜花廊道精神堡垒式导视装置</w:t>
            </w:r>
          </w:p>
          <w:p>
            <w:pPr>
              <w:pStyle w:val="null3"/>
              <w:spacing w:before="120" w:after="120"/>
            </w:pPr>
            <w:r>
              <w:rPr>
                <w:rFonts w:ascii="仿宋_GB2312" w:hAnsi="仿宋_GB2312" w:cs="仿宋_GB2312" w:eastAsia="仿宋_GB2312"/>
                <w:sz w:val="22"/>
              </w:rPr>
              <w:t>1.  ★</w:t>
            </w:r>
            <w:r>
              <w:rPr>
                <w:rFonts w:ascii="仿宋_GB2312" w:hAnsi="仿宋_GB2312" w:cs="仿宋_GB2312" w:eastAsia="仿宋_GB2312"/>
                <w:sz w:val="22"/>
              </w:rPr>
              <w:t>设置数量及区域：共计</w:t>
            </w:r>
            <w:r>
              <w:rPr>
                <w:rFonts w:ascii="仿宋_GB2312" w:hAnsi="仿宋_GB2312" w:cs="仿宋_GB2312" w:eastAsia="仿宋_GB2312"/>
                <w:sz w:val="22"/>
              </w:rPr>
              <w:t>4</w:t>
            </w:r>
            <w:r>
              <w:rPr>
                <w:rFonts w:ascii="仿宋_GB2312" w:hAnsi="仿宋_GB2312" w:cs="仿宋_GB2312" w:eastAsia="仿宋_GB2312"/>
                <w:sz w:val="22"/>
              </w:rPr>
              <w:t>组，汉台区、南郑区、勉县、城固县各设置</w:t>
            </w:r>
            <w:r>
              <w:rPr>
                <w:rFonts w:ascii="仿宋_GB2312" w:hAnsi="仿宋_GB2312" w:cs="仿宋_GB2312" w:eastAsia="仿宋_GB2312"/>
                <w:sz w:val="22"/>
              </w:rPr>
              <w:t>1</w:t>
            </w:r>
            <w:r>
              <w:rPr>
                <w:rFonts w:ascii="仿宋_GB2312" w:hAnsi="仿宋_GB2312" w:cs="仿宋_GB2312" w:eastAsia="仿宋_GB2312"/>
                <w:sz w:val="22"/>
              </w:rPr>
              <w:t>组。</w:t>
            </w:r>
          </w:p>
          <w:p>
            <w:pPr>
              <w:pStyle w:val="null3"/>
              <w:spacing w:before="120" w:after="120"/>
            </w:pPr>
            <w:r>
              <w:rPr>
                <w:rFonts w:ascii="仿宋_GB2312" w:hAnsi="仿宋_GB2312" w:cs="仿宋_GB2312" w:eastAsia="仿宋_GB2312"/>
                <w:sz w:val="22"/>
              </w:rPr>
              <w:t>2.  ★</w:t>
            </w:r>
            <w:r>
              <w:rPr>
                <w:rFonts w:ascii="仿宋_GB2312" w:hAnsi="仿宋_GB2312" w:cs="仿宋_GB2312" w:eastAsia="仿宋_GB2312"/>
                <w:sz w:val="22"/>
              </w:rPr>
              <w:t>设计尺寸：高度</w:t>
            </w:r>
            <w:r>
              <w:rPr>
                <w:rFonts w:ascii="仿宋_GB2312" w:hAnsi="仿宋_GB2312" w:cs="仿宋_GB2312" w:eastAsia="仿宋_GB2312"/>
                <w:sz w:val="22"/>
              </w:rPr>
              <w:t>≥4</w:t>
            </w:r>
            <w:r>
              <w:rPr>
                <w:rFonts w:ascii="仿宋_GB2312" w:hAnsi="仿宋_GB2312" w:cs="仿宋_GB2312" w:eastAsia="仿宋_GB2312"/>
                <w:sz w:val="22"/>
              </w:rPr>
              <w:t>米（误差</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cm</w:t>
            </w:r>
            <w:r>
              <w:rPr>
                <w:rFonts w:ascii="仿宋_GB2312" w:hAnsi="仿宋_GB2312" w:cs="仿宋_GB2312" w:eastAsia="仿宋_GB2312"/>
                <w:sz w:val="22"/>
              </w:rPr>
              <w:t>），整体比例协调，具体宽度、厚度结合设计方案确定，需满足户外安装稳定性要求。</w:t>
            </w:r>
          </w:p>
          <w:p>
            <w:pPr>
              <w:pStyle w:val="null3"/>
              <w:spacing w:before="120" w:after="120"/>
            </w:pPr>
            <w:r>
              <w:rPr>
                <w:rFonts w:ascii="仿宋_GB2312" w:hAnsi="仿宋_GB2312" w:cs="仿宋_GB2312" w:eastAsia="仿宋_GB2312"/>
                <w:sz w:val="22"/>
              </w:rPr>
              <w:t xml:space="preserve">3.  </w:t>
            </w:r>
            <w:r>
              <w:rPr>
                <w:rFonts w:ascii="仿宋_GB2312" w:hAnsi="仿宋_GB2312" w:cs="仿宋_GB2312" w:eastAsia="仿宋_GB2312"/>
                <w:sz w:val="22"/>
              </w:rPr>
              <w:t>设计要求：</w:t>
            </w:r>
            <w:r>
              <w:rPr>
                <w:rFonts w:ascii="仿宋_GB2312" w:hAnsi="仿宋_GB2312" w:cs="仿宋_GB2312" w:eastAsia="仿宋_GB2312"/>
                <w:sz w:val="22"/>
              </w:rPr>
              <w:t>4</w:t>
            </w:r>
            <w:r>
              <w:rPr>
                <w:rFonts w:ascii="仿宋_GB2312" w:hAnsi="仿宋_GB2312" w:cs="仿宋_GB2312" w:eastAsia="仿宋_GB2312"/>
                <w:sz w:val="22"/>
              </w:rPr>
              <w:t>组样式统一，主题契合油菜花廊道文旅特色，辨识度高，包含主题</w:t>
            </w:r>
            <w:r>
              <w:rPr>
                <w:rFonts w:ascii="仿宋_GB2312" w:hAnsi="仿宋_GB2312" w:cs="仿宋_GB2312" w:eastAsia="仿宋_GB2312"/>
                <w:sz w:val="22"/>
              </w:rPr>
              <w:t>LOGO</w:t>
            </w:r>
            <w:r>
              <w:rPr>
                <w:rFonts w:ascii="仿宋_GB2312" w:hAnsi="仿宋_GB2312" w:cs="仿宋_GB2312" w:eastAsia="仿宋_GB2312"/>
                <w:sz w:val="22"/>
              </w:rPr>
              <w:t>、宣传语、区域名称等核心信息，色彩搭配协调，视觉效果醒目。</w:t>
            </w:r>
          </w:p>
          <w:p>
            <w:pPr>
              <w:pStyle w:val="null3"/>
              <w:spacing w:before="300" w:after="120"/>
            </w:pPr>
            <w:r>
              <w:rPr>
                <w:rFonts w:ascii="仿宋_GB2312" w:hAnsi="仿宋_GB2312" w:cs="仿宋_GB2312" w:eastAsia="仿宋_GB2312"/>
                <w:sz w:val="30"/>
                <w:b/>
              </w:rPr>
              <w:t>（二）油菜花廊道全线地图导览装置</w:t>
            </w:r>
          </w:p>
          <w:p>
            <w:pPr>
              <w:pStyle w:val="null3"/>
              <w:spacing w:before="120" w:after="120"/>
            </w:pPr>
            <w:r>
              <w:rPr>
                <w:rFonts w:ascii="仿宋_GB2312" w:hAnsi="仿宋_GB2312" w:cs="仿宋_GB2312" w:eastAsia="仿宋_GB2312"/>
                <w:sz w:val="22"/>
              </w:rPr>
              <w:t>1.  ★</w:t>
            </w:r>
            <w:r>
              <w:rPr>
                <w:rFonts w:ascii="仿宋_GB2312" w:hAnsi="仿宋_GB2312" w:cs="仿宋_GB2312" w:eastAsia="仿宋_GB2312"/>
                <w:sz w:val="22"/>
              </w:rPr>
              <w:t>设置数量及区域：共计</w:t>
            </w:r>
            <w:r>
              <w:rPr>
                <w:rFonts w:ascii="仿宋_GB2312" w:hAnsi="仿宋_GB2312" w:cs="仿宋_GB2312" w:eastAsia="仿宋_GB2312"/>
                <w:sz w:val="22"/>
              </w:rPr>
              <w:t>4</w:t>
            </w:r>
            <w:r>
              <w:rPr>
                <w:rFonts w:ascii="仿宋_GB2312" w:hAnsi="仿宋_GB2312" w:cs="仿宋_GB2312" w:eastAsia="仿宋_GB2312"/>
                <w:sz w:val="22"/>
              </w:rPr>
              <w:t>组，汉台区、南郑区、勉县、城固县各设置</w:t>
            </w:r>
            <w:r>
              <w:rPr>
                <w:rFonts w:ascii="仿宋_GB2312" w:hAnsi="仿宋_GB2312" w:cs="仿宋_GB2312" w:eastAsia="仿宋_GB2312"/>
                <w:sz w:val="22"/>
              </w:rPr>
              <w:t>1</w:t>
            </w:r>
            <w:r>
              <w:rPr>
                <w:rFonts w:ascii="仿宋_GB2312" w:hAnsi="仿宋_GB2312" w:cs="仿宋_GB2312" w:eastAsia="仿宋_GB2312"/>
                <w:sz w:val="22"/>
              </w:rPr>
              <w:t>组。</w:t>
            </w:r>
          </w:p>
          <w:p>
            <w:pPr>
              <w:pStyle w:val="null3"/>
              <w:spacing w:before="120" w:after="120"/>
            </w:pPr>
            <w:r>
              <w:rPr>
                <w:rFonts w:ascii="仿宋_GB2312" w:hAnsi="仿宋_GB2312" w:cs="仿宋_GB2312" w:eastAsia="仿宋_GB2312"/>
                <w:sz w:val="22"/>
              </w:rPr>
              <w:t>2.  ★</w:t>
            </w:r>
            <w:r>
              <w:rPr>
                <w:rFonts w:ascii="仿宋_GB2312" w:hAnsi="仿宋_GB2312" w:cs="仿宋_GB2312" w:eastAsia="仿宋_GB2312"/>
                <w:sz w:val="22"/>
              </w:rPr>
              <w:t>设计尺寸：宽度</w:t>
            </w:r>
            <w:r>
              <w:rPr>
                <w:rFonts w:ascii="仿宋_GB2312" w:hAnsi="仿宋_GB2312" w:cs="仿宋_GB2312" w:eastAsia="仿宋_GB2312"/>
                <w:sz w:val="22"/>
              </w:rPr>
              <w:t>≥5.5</w:t>
            </w:r>
            <w:r>
              <w:rPr>
                <w:rFonts w:ascii="仿宋_GB2312" w:hAnsi="仿宋_GB2312" w:cs="仿宋_GB2312" w:eastAsia="仿宋_GB2312"/>
                <w:sz w:val="22"/>
              </w:rPr>
              <w:t>米、高度</w:t>
            </w:r>
            <w:r>
              <w:rPr>
                <w:rFonts w:ascii="仿宋_GB2312" w:hAnsi="仿宋_GB2312" w:cs="仿宋_GB2312" w:eastAsia="仿宋_GB2312"/>
                <w:sz w:val="22"/>
              </w:rPr>
              <w:t>≥2.8</w:t>
            </w:r>
            <w:r>
              <w:rPr>
                <w:rFonts w:ascii="仿宋_GB2312" w:hAnsi="仿宋_GB2312" w:cs="仿宋_GB2312" w:eastAsia="仿宋_GB2312"/>
                <w:sz w:val="22"/>
              </w:rPr>
              <w:t>米（误差</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cm</w:t>
            </w:r>
            <w:r>
              <w:rPr>
                <w:rFonts w:ascii="仿宋_GB2312" w:hAnsi="仿宋_GB2312" w:cs="仿宋_GB2312" w:eastAsia="仿宋_GB2312"/>
                <w:sz w:val="22"/>
              </w:rPr>
              <w:t>），整体结构稳固，适配户外安装场景。</w:t>
            </w:r>
          </w:p>
          <w:p>
            <w:pPr>
              <w:pStyle w:val="null3"/>
              <w:spacing w:before="120" w:after="120"/>
            </w:pPr>
            <w:r>
              <w:rPr>
                <w:rFonts w:ascii="仿宋_GB2312" w:hAnsi="仿宋_GB2312" w:cs="仿宋_GB2312" w:eastAsia="仿宋_GB2312"/>
                <w:sz w:val="22"/>
              </w:rPr>
              <w:t xml:space="preserve">3.  </w:t>
            </w:r>
            <w:r>
              <w:rPr>
                <w:rFonts w:ascii="仿宋_GB2312" w:hAnsi="仿宋_GB2312" w:cs="仿宋_GB2312" w:eastAsia="仿宋_GB2312"/>
                <w:sz w:val="22"/>
              </w:rPr>
              <w:t>设计要求：</w:t>
            </w:r>
            <w:r>
              <w:rPr>
                <w:rFonts w:ascii="仿宋_GB2312" w:hAnsi="仿宋_GB2312" w:cs="仿宋_GB2312" w:eastAsia="仿宋_GB2312"/>
                <w:sz w:val="22"/>
              </w:rPr>
              <w:t>4</w:t>
            </w:r>
            <w:r>
              <w:rPr>
                <w:rFonts w:ascii="仿宋_GB2312" w:hAnsi="仿宋_GB2312" w:cs="仿宋_GB2312" w:eastAsia="仿宋_GB2312"/>
                <w:sz w:val="22"/>
              </w:rPr>
              <w:t>组样式统一，地图信息准确无误，清晰标注油菜花廊道全线分布、</w:t>
            </w:r>
            <w:r>
              <w:rPr>
                <w:rFonts w:ascii="仿宋_GB2312" w:hAnsi="仿宋_GB2312" w:cs="仿宋_GB2312" w:eastAsia="仿宋_GB2312"/>
                <w:sz w:val="22"/>
              </w:rPr>
              <w:t>重点景区、观花点</w:t>
            </w:r>
            <w:r>
              <w:rPr>
                <w:rFonts w:ascii="仿宋_GB2312" w:hAnsi="仿宋_GB2312" w:cs="仿宋_GB2312" w:eastAsia="仿宋_GB2312"/>
                <w:sz w:val="22"/>
              </w:rPr>
              <w:t>等核心信息，导览逻辑清晰，便于游客快速获取信息；地图采用高清喷绘或丝印工艺，色彩还原度高，不易褪色。</w:t>
            </w:r>
          </w:p>
          <w:p>
            <w:pPr>
              <w:pStyle w:val="null3"/>
              <w:spacing w:before="300" w:after="120"/>
            </w:pPr>
            <w:r>
              <w:rPr>
                <w:rFonts w:ascii="仿宋_GB2312" w:hAnsi="仿宋_GB2312" w:cs="仿宋_GB2312" w:eastAsia="仿宋_GB2312"/>
                <w:sz w:val="30"/>
                <w:b/>
              </w:rPr>
              <w:t>（三）重点观花点导引牌</w:t>
            </w:r>
          </w:p>
          <w:p>
            <w:pPr>
              <w:pStyle w:val="null3"/>
              <w:spacing w:before="120" w:after="120"/>
            </w:pPr>
            <w:r>
              <w:rPr>
                <w:rFonts w:ascii="仿宋_GB2312" w:hAnsi="仿宋_GB2312" w:cs="仿宋_GB2312" w:eastAsia="仿宋_GB2312"/>
                <w:sz w:val="22"/>
              </w:rPr>
              <w:t>1.  ★</w:t>
            </w:r>
            <w:r>
              <w:rPr>
                <w:rFonts w:ascii="仿宋_GB2312" w:hAnsi="仿宋_GB2312" w:cs="仿宋_GB2312" w:eastAsia="仿宋_GB2312"/>
                <w:sz w:val="22"/>
              </w:rPr>
              <w:t>设置数量：共计</w:t>
            </w:r>
            <w:r>
              <w:rPr>
                <w:rFonts w:ascii="仿宋_GB2312" w:hAnsi="仿宋_GB2312" w:cs="仿宋_GB2312" w:eastAsia="仿宋_GB2312"/>
                <w:sz w:val="22"/>
              </w:rPr>
              <w:t>20</w:t>
            </w:r>
            <w:r>
              <w:rPr>
                <w:rFonts w:ascii="仿宋_GB2312" w:hAnsi="仿宋_GB2312" w:cs="仿宋_GB2312" w:eastAsia="仿宋_GB2312"/>
                <w:sz w:val="22"/>
              </w:rPr>
              <w:t>组，汉台区、南郑区、勉县、城固县按实际需求合理分布</w:t>
            </w:r>
            <w:r>
              <w:rPr>
                <w:rFonts w:ascii="仿宋_GB2312" w:hAnsi="仿宋_GB2312" w:cs="仿宋_GB2312" w:eastAsia="仿宋_GB2312"/>
                <w:sz w:val="22"/>
              </w:rPr>
              <w:t>。</w:t>
            </w:r>
          </w:p>
          <w:p>
            <w:pPr>
              <w:pStyle w:val="null3"/>
              <w:spacing w:before="120" w:after="120"/>
            </w:pPr>
            <w:r>
              <w:rPr>
                <w:rFonts w:ascii="仿宋_GB2312" w:hAnsi="仿宋_GB2312" w:cs="仿宋_GB2312" w:eastAsia="仿宋_GB2312"/>
                <w:sz w:val="22"/>
              </w:rPr>
              <w:t>2.  ★</w:t>
            </w:r>
            <w:r>
              <w:rPr>
                <w:rFonts w:ascii="仿宋_GB2312" w:hAnsi="仿宋_GB2312" w:cs="仿宋_GB2312" w:eastAsia="仿宋_GB2312"/>
                <w:sz w:val="22"/>
              </w:rPr>
              <w:t>设计尺寸：宽度</w:t>
            </w:r>
            <w:r>
              <w:rPr>
                <w:rFonts w:ascii="仿宋_GB2312" w:hAnsi="仿宋_GB2312" w:cs="仿宋_GB2312" w:eastAsia="仿宋_GB2312"/>
                <w:sz w:val="22"/>
              </w:rPr>
              <w:t>≥0.75</w:t>
            </w:r>
            <w:r>
              <w:rPr>
                <w:rFonts w:ascii="仿宋_GB2312" w:hAnsi="仿宋_GB2312" w:cs="仿宋_GB2312" w:eastAsia="仿宋_GB2312"/>
                <w:sz w:val="22"/>
              </w:rPr>
              <w:t>米、高度</w:t>
            </w:r>
            <w:r>
              <w:rPr>
                <w:rFonts w:ascii="仿宋_GB2312" w:hAnsi="仿宋_GB2312" w:cs="仿宋_GB2312" w:eastAsia="仿宋_GB2312"/>
                <w:sz w:val="22"/>
              </w:rPr>
              <w:t>≥3</w:t>
            </w:r>
            <w:r>
              <w:rPr>
                <w:rFonts w:ascii="仿宋_GB2312" w:hAnsi="仿宋_GB2312" w:cs="仿宋_GB2312" w:eastAsia="仿宋_GB2312"/>
                <w:sz w:val="22"/>
              </w:rPr>
              <w:t>米（误差</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cm</w:t>
            </w:r>
            <w:r>
              <w:rPr>
                <w:rFonts w:ascii="仿宋_GB2312" w:hAnsi="仿宋_GB2312" w:cs="仿宋_GB2312" w:eastAsia="仿宋_GB2312"/>
                <w:sz w:val="22"/>
              </w:rPr>
              <w:t>），导向牌面板尺寸适配整体比例，便于游客远距离识别。</w:t>
            </w:r>
          </w:p>
          <w:p>
            <w:pPr>
              <w:pStyle w:val="null3"/>
              <w:spacing w:before="120" w:after="120"/>
            </w:pPr>
            <w:r>
              <w:rPr>
                <w:rFonts w:ascii="仿宋_GB2312" w:hAnsi="仿宋_GB2312" w:cs="仿宋_GB2312" w:eastAsia="仿宋_GB2312"/>
                <w:sz w:val="22"/>
              </w:rPr>
              <w:t xml:space="preserve">3.  </w:t>
            </w:r>
            <w:r>
              <w:rPr>
                <w:rFonts w:ascii="仿宋_GB2312" w:hAnsi="仿宋_GB2312" w:cs="仿宋_GB2312" w:eastAsia="仿宋_GB2312"/>
                <w:sz w:val="22"/>
              </w:rPr>
              <w:t>设计要求：</w:t>
            </w:r>
            <w:r>
              <w:rPr>
                <w:rFonts w:ascii="仿宋_GB2312" w:hAnsi="仿宋_GB2312" w:cs="仿宋_GB2312" w:eastAsia="仿宋_GB2312"/>
                <w:sz w:val="22"/>
              </w:rPr>
              <w:t>20</w:t>
            </w:r>
            <w:r>
              <w:rPr>
                <w:rFonts w:ascii="仿宋_GB2312" w:hAnsi="仿宋_GB2312" w:cs="仿宋_GB2312" w:eastAsia="仿宋_GB2312"/>
                <w:sz w:val="22"/>
              </w:rPr>
              <w:t>组样式统一，导向清晰，包含观花点名称、方向指引、距离标识、等内容；采用醒目色彩搭配，字体清晰、易识别，反光效果良好。</w:t>
            </w:r>
          </w:p>
          <w:p>
            <w:pPr>
              <w:pStyle w:val="null3"/>
              <w:spacing w:before="300" w:after="120"/>
            </w:pPr>
            <w:r>
              <w:rPr>
                <w:rFonts w:ascii="仿宋_GB2312" w:hAnsi="仿宋_GB2312" w:cs="仿宋_GB2312" w:eastAsia="仿宋_GB2312"/>
                <w:sz w:val="30"/>
                <w:b/>
              </w:rPr>
              <w:t>（四）路面彩绘</w:t>
            </w:r>
          </w:p>
          <w:p>
            <w:pPr>
              <w:pStyle w:val="null3"/>
              <w:spacing w:before="120" w:after="120"/>
            </w:pPr>
            <w:r>
              <w:rPr>
                <w:rFonts w:ascii="仿宋_GB2312" w:hAnsi="仿宋_GB2312" w:cs="仿宋_GB2312" w:eastAsia="仿宋_GB2312"/>
                <w:sz w:val="22"/>
              </w:rPr>
              <w:t>1.  ★</w:t>
            </w:r>
            <w:r>
              <w:rPr>
                <w:rFonts w:ascii="仿宋_GB2312" w:hAnsi="仿宋_GB2312" w:cs="仿宋_GB2312" w:eastAsia="仿宋_GB2312"/>
                <w:sz w:val="22"/>
              </w:rPr>
              <w:t>设置数量及区域：共计</w:t>
            </w:r>
            <w:r>
              <w:rPr>
                <w:rFonts w:ascii="仿宋_GB2312" w:hAnsi="仿宋_GB2312" w:cs="仿宋_GB2312" w:eastAsia="仿宋_GB2312"/>
                <w:sz w:val="22"/>
              </w:rPr>
              <w:t>4</w:t>
            </w:r>
            <w:r>
              <w:rPr>
                <w:rFonts w:ascii="仿宋_GB2312" w:hAnsi="仿宋_GB2312" w:cs="仿宋_GB2312" w:eastAsia="仿宋_GB2312"/>
                <w:sz w:val="22"/>
              </w:rPr>
              <w:t>处，汉台区、南郑区、勉县、城固县各绘制</w:t>
            </w:r>
            <w:r>
              <w:rPr>
                <w:rFonts w:ascii="仿宋_GB2312" w:hAnsi="仿宋_GB2312" w:cs="仿宋_GB2312" w:eastAsia="仿宋_GB2312"/>
                <w:sz w:val="22"/>
              </w:rPr>
              <w:t>1</w:t>
            </w:r>
            <w:r>
              <w:rPr>
                <w:rFonts w:ascii="仿宋_GB2312" w:hAnsi="仿宋_GB2312" w:cs="仿宋_GB2312" w:eastAsia="仿宋_GB2312"/>
                <w:sz w:val="22"/>
              </w:rPr>
              <w:t>处。</w:t>
            </w:r>
          </w:p>
          <w:p>
            <w:pPr>
              <w:pStyle w:val="null3"/>
              <w:spacing w:before="120" w:after="120"/>
            </w:pPr>
            <w:r>
              <w:rPr>
                <w:rFonts w:ascii="仿宋_GB2312" w:hAnsi="仿宋_GB2312" w:cs="仿宋_GB2312" w:eastAsia="仿宋_GB2312"/>
                <w:sz w:val="22"/>
              </w:rPr>
              <w:t>2.  ★</w:t>
            </w:r>
            <w:r>
              <w:rPr>
                <w:rFonts w:ascii="仿宋_GB2312" w:hAnsi="仿宋_GB2312" w:cs="仿宋_GB2312" w:eastAsia="仿宋_GB2312"/>
                <w:sz w:val="22"/>
              </w:rPr>
              <w:t>设计尺寸：单处长度</w:t>
            </w:r>
            <w:r>
              <w:rPr>
                <w:rFonts w:ascii="仿宋_GB2312" w:hAnsi="仿宋_GB2312" w:cs="仿宋_GB2312" w:eastAsia="仿宋_GB2312"/>
                <w:sz w:val="22"/>
              </w:rPr>
              <w:t>≥20</w:t>
            </w:r>
            <w:r>
              <w:rPr>
                <w:rFonts w:ascii="仿宋_GB2312" w:hAnsi="仿宋_GB2312" w:cs="仿宋_GB2312" w:eastAsia="仿宋_GB2312"/>
                <w:sz w:val="22"/>
              </w:rPr>
              <w:t>米，宽度结合现场道路实际宽度确定（不影响道路通行），彩绘整体比例协调。</w:t>
            </w:r>
          </w:p>
          <w:p>
            <w:pPr>
              <w:pStyle w:val="null3"/>
              <w:spacing w:before="120" w:after="120"/>
            </w:pPr>
            <w:r>
              <w:rPr>
                <w:rFonts w:ascii="仿宋_GB2312" w:hAnsi="仿宋_GB2312" w:cs="仿宋_GB2312" w:eastAsia="仿宋_GB2312"/>
                <w:sz w:val="22"/>
              </w:rPr>
              <w:t xml:space="preserve">3.  </w:t>
            </w:r>
            <w:r>
              <w:rPr>
                <w:rFonts w:ascii="仿宋_GB2312" w:hAnsi="仿宋_GB2312" w:cs="仿宋_GB2312" w:eastAsia="仿宋_GB2312"/>
                <w:sz w:val="22"/>
              </w:rPr>
              <w:t>设计要求：</w:t>
            </w:r>
            <w:r>
              <w:rPr>
                <w:rFonts w:ascii="仿宋_GB2312" w:hAnsi="仿宋_GB2312" w:cs="仿宋_GB2312" w:eastAsia="仿宋_GB2312"/>
                <w:sz w:val="22"/>
              </w:rPr>
              <w:t>4</w:t>
            </w:r>
            <w:r>
              <w:rPr>
                <w:rFonts w:ascii="仿宋_GB2312" w:hAnsi="仿宋_GB2312" w:cs="仿宋_GB2312" w:eastAsia="仿宋_GB2312"/>
                <w:sz w:val="22"/>
              </w:rPr>
              <w:t>处样式统一，主题围绕油菜花及地方文旅特色设计，图案简洁、美观、醒目，色彩搭配协调，不影响道路通行视线；彩绘需具备防滑、耐磨、防水、抗紫外线性能，不易褪色、不易脱落，使用寿命</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年。</w:t>
            </w:r>
          </w:p>
          <w:p>
            <w:pPr>
              <w:pStyle w:val="null3"/>
              <w:spacing w:before="300" w:after="120"/>
            </w:pPr>
            <w:r>
              <w:rPr>
                <w:rFonts w:ascii="仿宋_GB2312" w:hAnsi="仿宋_GB2312" w:cs="仿宋_GB2312" w:eastAsia="仿宋_GB2312"/>
                <w:sz w:val="30"/>
                <w:b/>
              </w:rPr>
              <w:t>（五）游客服务设施（休息座椅）</w:t>
            </w:r>
          </w:p>
          <w:p>
            <w:pPr>
              <w:pStyle w:val="null3"/>
              <w:spacing w:before="120" w:after="120"/>
            </w:pPr>
            <w:r>
              <w:rPr>
                <w:rFonts w:ascii="仿宋_GB2312" w:hAnsi="仿宋_GB2312" w:cs="仿宋_GB2312" w:eastAsia="仿宋_GB2312"/>
                <w:sz w:val="22"/>
              </w:rPr>
              <w:t>1.  ★</w:t>
            </w:r>
            <w:r>
              <w:rPr>
                <w:rFonts w:ascii="仿宋_GB2312" w:hAnsi="仿宋_GB2312" w:cs="仿宋_GB2312" w:eastAsia="仿宋_GB2312"/>
                <w:sz w:val="22"/>
              </w:rPr>
              <w:t>设置数量及区域：共计</w:t>
            </w:r>
            <w:r>
              <w:rPr>
                <w:rFonts w:ascii="仿宋_GB2312" w:hAnsi="仿宋_GB2312" w:cs="仿宋_GB2312" w:eastAsia="仿宋_GB2312"/>
                <w:sz w:val="22"/>
              </w:rPr>
              <w:t>6</w:t>
            </w:r>
            <w:r>
              <w:rPr>
                <w:rFonts w:ascii="仿宋_GB2312" w:hAnsi="仿宋_GB2312" w:cs="仿宋_GB2312" w:eastAsia="仿宋_GB2312"/>
                <w:sz w:val="22"/>
              </w:rPr>
              <w:t>处，设置于油菜花廊道重点观花节点及游客停留区域，分布合理，便于游客休息。</w:t>
            </w:r>
          </w:p>
          <w:p>
            <w:pPr>
              <w:pStyle w:val="null3"/>
              <w:spacing w:before="120" w:after="120"/>
            </w:pPr>
            <w:r>
              <w:rPr>
                <w:rFonts w:ascii="仿宋_GB2312" w:hAnsi="仿宋_GB2312" w:cs="仿宋_GB2312" w:eastAsia="仿宋_GB2312"/>
                <w:sz w:val="22"/>
              </w:rPr>
              <w:t xml:space="preserve">2.  </w:t>
            </w:r>
            <w:r>
              <w:rPr>
                <w:rFonts w:ascii="仿宋_GB2312" w:hAnsi="仿宋_GB2312" w:cs="仿宋_GB2312" w:eastAsia="仿宋_GB2312"/>
                <w:sz w:val="22"/>
              </w:rPr>
              <w:t>设计要求：风格与整体导视系统协调统一，契合油菜花廊道文旅形象，造型简洁、美观、舒适，具备防滑、防腐、耐用性能；座椅表面无尖锐棱角</w:t>
            </w:r>
            <w:r>
              <w:rPr>
                <w:rFonts w:ascii="仿宋_GB2312" w:hAnsi="仿宋_GB2312" w:cs="仿宋_GB2312" w:eastAsia="仿宋_GB2312"/>
                <w:sz w:val="22"/>
              </w:rPr>
              <w:t>，</w:t>
            </w:r>
            <w:r>
              <w:rPr>
                <w:rFonts w:ascii="仿宋_GB2312" w:hAnsi="仿宋_GB2312" w:cs="仿宋_GB2312" w:eastAsia="仿宋_GB2312"/>
                <w:sz w:val="22"/>
              </w:rPr>
              <w:t>避免安全隐患。</w:t>
            </w:r>
          </w:p>
          <w:p>
            <w:pPr>
              <w:pStyle w:val="null3"/>
              <w:spacing w:before="120" w:after="120"/>
            </w:pPr>
            <w:r>
              <w:rPr>
                <w:rFonts w:ascii="仿宋_GB2312" w:hAnsi="仿宋_GB2312" w:cs="仿宋_GB2312" w:eastAsia="仿宋_GB2312"/>
                <w:sz w:val="22"/>
              </w:rPr>
              <w:t xml:space="preserve">3.  </w:t>
            </w:r>
            <w:r>
              <w:rPr>
                <w:rFonts w:ascii="仿宋_GB2312" w:hAnsi="仿宋_GB2312" w:cs="仿宋_GB2312" w:eastAsia="仿宋_GB2312"/>
                <w:sz w:val="22"/>
              </w:rPr>
              <w:t>尺寸要求：根据现场布局及设计方案合理确定，单组座椅长度</w:t>
            </w:r>
            <w:r>
              <w:rPr>
                <w:rFonts w:ascii="仿宋_GB2312" w:hAnsi="仿宋_GB2312" w:cs="仿宋_GB2312" w:eastAsia="仿宋_GB2312"/>
                <w:sz w:val="22"/>
              </w:rPr>
              <w:t>≥1.5</w:t>
            </w:r>
            <w:r>
              <w:rPr>
                <w:rFonts w:ascii="仿宋_GB2312" w:hAnsi="仿宋_GB2312" w:cs="仿宋_GB2312" w:eastAsia="仿宋_GB2312"/>
                <w:sz w:val="22"/>
              </w:rPr>
              <w:t>米，宽度</w:t>
            </w:r>
            <w:r>
              <w:rPr>
                <w:rFonts w:ascii="仿宋_GB2312" w:hAnsi="仿宋_GB2312" w:cs="仿宋_GB2312" w:eastAsia="仿宋_GB2312"/>
                <w:sz w:val="22"/>
              </w:rPr>
              <w:t>≥0.5</w:t>
            </w:r>
            <w:r>
              <w:rPr>
                <w:rFonts w:ascii="仿宋_GB2312" w:hAnsi="仿宋_GB2312" w:cs="仿宋_GB2312" w:eastAsia="仿宋_GB2312"/>
                <w:sz w:val="22"/>
              </w:rPr>
              <w:t>米，高度</w:t>
            </w:r>
            <w:r>
              <w:rPr>
                <w:rFonts w:ascii="仿宋_GB2312" w:hAnsi="仿宋_GB2312" w:cs="仿宋_GB2312" w:eastAsia="仿宋_GB2312"/>
                <w:sz w:val="22"/>
              </w:rPr>
              <w:t>≥0.45</w:t>
            </w:r>
            <w:r>
              <w:rPr>
                <w:rFonts w:ascii="仿宋_GB2312" w:hAnsi="仿宋_GB2312" w:cs="仿宋_GB2312" w:eastAsia="仿宋_GB2312"/>
                <w:sz w:val="22"/>
              </w:rPr>
              <w:t>米，座椅间距合理，可满足</w:t>
            </w:r>
            <w:r>
              <w:rPr>
                <w:rFonts w:ascii="仿宋_GB2312" w:hAnsi="仿宋_GB2312" w:cs="仿宋_GB2312" w:eastAsia="仿宋_GB2312"/>
                <w:sz w:val="22"/>
              </w:rPr>
              <w:t>2-3</w:t>
            </w:r>
            <w:r>
              <w:rPr>
                <w:rFonts w:ascii="仿宋_GB2312" w:hAnsi="仿宋_GB2312" w:cs="仿宋_GB2312" w:eastAsia="仿宋_GB2312"/>
                <w:sz w:val="22"/>
              </w:rPr>
              <w:t>人同时休息。</w:t>
            </w:r>
          </w:p>
          <w:p>
            <w:pPr>
              <w:pStyle w:val="null3"/>
              <w:spacing w:before="120" w:after="12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项目整体提交验收报告，我方验收合格后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项目实施完成后1年，质保合格</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 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 《法定代表人身份证明》及身份证复印件；法定代表人授权他人参加投标，须提供《法定代表人授权委托书》、被授权人身份证复印件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非联合体声明.docx 残疾人福利性单位声明函 服务方案 标的清单 法定代表人证明书及法定代表人授权书.docx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非联合体声明.docx 残疾人福利性单位声明函 服务方案 标的清单 法定代表人证明书及法定代表人授权书.docx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供应商近三年（即2023年1月至今）拥有执行类似项目。（以合同签订时间为准），每提供一个得2.5分，最高得5.0分。 备注：以合同协议书或中标通知书的复印件为准，如合同中无法体现合同签订时间、项目类型等评审因素的，须另提供业主单位证明等相关证明材料复印件。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拟配备的项目人员每提供1人得1分，最高得5分。评审依据：身份证。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提供整体服务方案，包括但不限于 ①项目整体定位与目标②广告点位与物料规划③主题设计方案④执行流程规划等。以上方案中每有一项内容未提供扣5分；每项内容中每有一处瑕疵扣2分，扣完为止。“瑕疵”是指内容不完整或缺少关键点 ；非专门针对本项目或不适用本项目特性；套用其他项目内容；对同一问题前后表述矛盾；存在逻辑漏洞、科学原理或常识错误；不利于本项目目标的实现、现有技术条件下不可能出现的情形等任意一种情形。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服务岗位及工作职责</w:t>
            </w:r>
          </w:p>
        </w:tc>
        <w:tc>
          <w:tcPr>
            <w:tcW w:type="dxa" w:w="2492"/>
          </w:tcPr>
          <w:p>
            <w:pPr>
              <w:pStyle w:val="null3"/>
            </w:pPr>
            <w:r>
              <w:rPr>
                <w:rFonts w:ascii="仿宋_GB2312" w:hAnsi="仿宋_GB2312" w:cs="仿宋_GB2312" w:eastAsia="仿宋_GB2312"/>
              </w:rPr>
              <w:t>针对项目提供岗位方案，包含但不限于：①岗位分布计划②岗位职责分工③岗位协作机制等。以上方案中每有一项内容未提供扣5分；每项内容中每有一处瑕疵扣2分，扣完为止。“瑕疵”是指内容不完整或缺少关键点；非专门针对本项目或不适用本项目特性；套用其他项目内容；对同一问题前后表述矛盾； 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项目实施进度及交付保障措施</w:t>
            </w:r>
          </w:p>
        </w:tc>
        <w:tc>
          <w:tcPr>
            <w:tcW w:type="dxa" w:w="2492"/>
          </w:tcPr>
          <w:p>
            <w:pPr>
              <w:pStyle w:val="null3"/>
            </w:pPr>
            <w:r>
              <w:rPr>
                <w:rFonts w:ascii="仿宋_GB2312" w:hAnsi="仿宋_GB2312" w:cs="仿宋_GB2312" w:eastAsia="仿宋_GB2312"/>
              </w:rPr>
              <w:t>针对项目提供实施进度及交付保障措施，包括但不限于①进度计划②交付物明细③交付保障措施等。以上方案中每有一项内容未提供扣5分；每项内容中每有一处瑕疵扣2分，扣完为止。“瑕疵”是指内容不完整或缺少关键点；非专门针对本项目或不适用本项目特性；套用其他项目内容；对同一问题前后表述 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应急安全管理措施</w:t>
            </w:r>
          </w:p>
        </w:tc>
        <w:tc>
          <w:tcPr>
            <w:tcW w:type="dxa" w:w="2492"/>
          </w:tcPr>
          <w:p>
            <w:pPr>
              <w:pStyle w:val="null3"/>
            </w:pPr>
            <w:r>
              <w:rPr>
                <w:rFonts w:ascii="仿宋_GB2312" w:hAnsi="仿宋_GB2312" w:cs="仿宋_GB2312" w:eastAsia="仿宋_GB2312"/>
              </w:rPr>
              <w:t>供应商针对本项目制定应急安全管理措施，包含①突发应急事件预案 ②应急保障措施。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服务质量及保障措施</w:t>
            </w:r>
          </w:p>
        </w:tc>
        <w:tc>
          <w:tcPr>
            <w:tcW w:type="dxa" w:w="2492"/>
          </w:tcPr>
          <w:p>
            <w:pPr>
              <w:pStyle w:val="null3"/>
            </w:pPr>
            <w:r>
              <w:rPr>
                <w:rFonts w:ascii="仿宋_GB2312" w:hAnsi="仿宋_GB2312" w:cs="仿宋_GB2312" w:eastAsia="仿宋_GB2312"/>
              </w:rPr>
              <w:t>针对本项目设置的质量保证措施，包括但不限于①质量管理组织架构②各环节质量标准③质量整改机制等。以上方案中每有一项内容未提供扣4分；每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针对本项目作出具有实质性的后期服务方案，包括但不限于：①巡检与维护②售后咨询等。以上方案中每有一项内容未提供扣4分；每项内容中每有一处瑕疵扣2分，扣完为止。“瑕疵”是指内容不完整或缺少关键点；非专门针对本项目或不适用本项目特性；套用其他项目内容；对同一问题前后表述矛盾 ；存在逻辑漏洞、科学原理或常识错误；不利于本项目目标的实现、现有技术条件下不可能出现的情形等任意一种情形。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