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版本号：JQZBX2026-03-1320260314001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镇巴县兴隆镇硫铁矿历史遗留废渣微生物法治理（试点）项目监测与效果评估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JQZBX2026-03-13</w:t>
      </w:r>
      <w:r>
        <w:br/>
      </w:r>
      <w:r>
        <w:br/>
      </w:r>
      <w:r>
        <w:br/>
      </w:r>
    </w:p>
    <w:p>
      <w:pPr>
        <w:pStyle w:val="null3"/>
        <w:jc w:val="center"/>
        <w:outlineLvl w:val="2"/>
      </w:pPr>
      <w:r>
        <w:rPr>
          <w:rFonts w:ascii="仿宋_GB2312" w:hAnsi="仿宋_GB2312" w:cs="仿宋_GB2312" w:eastAsia="仿宋_GB2312"/>
          <w:sz w:val="28"/>
          <w:b/>
        </w:rPr>
        <w:t>汉中市生态环境局镇巴分局</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汉中市生态环境局镇巴分局</w:t>
      </w:r>
      <w:r>
        <w:rPr>
          <w:rFonts w:ascii="仿宋_GB2312" w:hAnsi="仿宋_GB2312" w:cs="仿宋_GB2312" w:eastAsia="仿宋_GB2312"/>
        </w:rPr>
        <w:t>委托，拟对</w:t>
      </w:r>
      <w:r>
        <w:rPr>
          <w:rFonts w:ascii="仿宋_GB2312" w:hAnsi="仿宋_GB2312" w:cs="仿宋_GB2312" w:eastAsia="仿宋_GB2312"/>
        </w:rPr>
        <w:t>镇巴县兴隆镇硫铁矿历史遗留废渣微生物法治理（试点）项目监测与效果评估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JQZBX2026-03-13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镇巴县兴隆镇硫铁矿历史遗留废渣微生物法治理（试点）项目监测与效果评估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镇巴县兴隆镇硫铁矿历史遗留废渣微生物法治理（试点）项目监测与效果评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采购包1（镇巴县兴隆镇硫铁矿历史遗留废渣微生物法治理（试点）项目监测与效果评估）：属于专门面向中小企业采购。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1、统一社会信用代码营业执照或事业单位法人证书：供应商具有独立承担民事责任能力的法人、其他组织或自然人，提供合法有效的统一社会信用代码营业执照或事业单位法人证书（自然人应提供身份证明）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2、法定代表人授权：供应商应授权合法的人员参加投标全过程，其中法定代表人直接参加投标的，须出具法人身份证，法定代表人授权代表参加投标的，须出具法定代表人授权书及授权代表身份证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财务会计制度、依法缴纳税收和社会保障资金的良好记录及参加本项目采购活动前三年内在经营活动中无重大违法活动记录：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4、投标保证金：保证金缴纳凭证（截图加盖公章）</w:t>
      </w:r>
    </w:p>
    <w:p>
      <w:pPr>
        <w:pStyle w:val="null3"/>
      </w:pPr>
      <w:r>
        <w:rPr>
          <w:rFonts w:ascii="仿宋_GB2312" w:hAnsi="仿宋_GB2312" w:cs="仿宋_GB2312" w:eastAsia="仿宋_GB2312"/>
        </w:rPr>
        <w:t>5、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汉中市生态环境局镇巴分局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邱新华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13909167799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汉中市汉台区财富立方写字楼7号14楼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陈西洋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13992608388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开户名称：泾清项目管理有限公司汉台分公司</w:t>
            </w:r>
          </w:p>
          <w:p>
            <w:pPr>
              <w:pStyle w:val="null3"/>
            </w:pPr>
            <w:r>
              <w:rPr>
                <w:rFonts w:ascii="仿宋_GB2312" w:hAnsi="仿宋_GB2312" w:cs="仿宋_GB2312" w:eastAsia="仿宋_GB2312"/>
              </w:rPr>
              <w:t>开户银行：中国农业银行股份有限公司汉中市汉台区支行</w:t>
            </w:r>
          </w:p>
          <w:p>
            <w:pPr>
              <w:pStyle w:val="null3"/>
            </w:pPr>
            <w:r>
              <w:rPr>
                <w:rFonts w:ascii="仿宋_GB2312" w:hAnsi="仿宋_GB2312" w:cs="仿宋_GB2312" w:eastAsia="仿宋_GB2312"/>
              </w:rPr>
              <w:t>银行账号：2660-5401-0400-01173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收取。 招标代理服务费公布方式：代理服务费金额将在成交结果公告中明确，成交单位在领取成交通知书前，须向采购代理机构一次性支付招标代理服务费。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汉中市生态环境局镇巴分局</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汉中市生态环境局镇巴分局</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汉中市生态环境局镇巴分局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联系人：陈西洋</w:t>
      </w:r>
    </w:p>
    <w:p>
      <w:pPr>
        <w:pStyle w:val="null3"/>
      </w:pPr>
      <w:r>
        <w:rPr>
          <w:rFonts w:ascii="仿宋_GB2312" w:hAnsi="仿宋_GB2312" w:cs="仿宋_GB2312" w:eastAsia="仿宋_GB2312"/>
        </w:rPr>
        <w:t>联系电话：13992608388</w:t>
      </w:r>
    </w:p>
    <w:p>
      <w:pPr>
        <w:pStyle w:val="null3"/>
      </w:pPr>
      <w:r>
        <w:rPr>
          <w:rFonts w:ascii="仿宋_GB2312" w:hAnsi="仿宋_GB2312" w:cs="仿宋_GB2312" w:eastAsia="仿宋_GB2312"/>
        </w:rPr>
        <w:t>地址：汉中市汉台区财富立方写字楼7号14楼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镇巴县兴隆镇硫铁矿历史遗留废渣微生物法治理(试点)项目环境监测与效果评估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880,000.00</w:t>
      </w:r>
    </w:p>
    <w:p>
      <w:pPr>
        <w:pStyle w:val="null3"/>
      </w:pPr>
      <w:r>
        <w:rPr>
          <w:rFonts w:ascii="仿宋_GB2312" w:hAnsi="仿宋_GB2312" w:cs="仿宋_GB2312" w:eastAsia="仿宋_GB2312"/>
        </w:rPr>
        <w:t>采购包最高限价（元）: 880,000.00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镇巴县兴隆镇硫铁矿历史遗留废渣微生物法治理（试点）项目监测与效果评估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标的名称：镇巴县兴隆镇硫铁矿历史遗留废渣微生物法治理（试点）项目监测与效果评估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一、环境监测</w:t>
            </w:r>
          </w:p>
          <w:p>
            <w:pPr>
              <w:pStyle w:val="null3"/>
            </w:pPr>
            <w:r>
              <w:rPr>
                <w:rFonts w:ascii="仿宋_GB2312" w:hAnsi="仿宋_GB2312" w:cs="仿宋_GB2312" w:eastAsia="仿宋_GB2312"/>
                <w:sz w:val="26"/>
                <w:b/>
              </w:rPr>
              <w:t>（一）</w:t>
            </w:r>
            <w:r>
              <w:rPr>
                <w:rFonts w:ascii="仿宋_GB2312" w:hAnsi="仿宋_GB2312" w:cs="仿宋_GB2312" w:eastAsia="仿宋_GB2312"/>
                <w:sz w:val="26"/>
                <w:b/>
              </w:rPr>
              <w:t>地表水监测</w:t>
            </w:r>
          </w:p>
          <w:p>
            <w:pPr>
              <w:pStyle w:val="null3"/>
              <w:spacing w:after="195"/>
              <w:ind w:firstLine="480"/>
            </w:pPr>
            <w:r>
              <w:rPr>
                <w:rFonts w:ascii="仿宋_GB2312" w:hAnsi="仿宋_GB2312" w:cs="仿宋_GB2312" w:eastAsia="仿宋_GB2312"/>
                <w:sz w:val="24"/>
              </w:rPr>
              <w:t>本项目微生物原位治理废弃矿渣的目的是源头控制矿渣产酸和重金属溶出，从而阻断氢离子和重金属向地表水的扩散。为此，在项目实施前至项目实施后</w:t>
            </w:r>
            <w:r>
              <w:rPr>
                <w:rFonts w:ascii="仿宋_GB2312" w:hAnsi="仿宋_GB2312" w:cs="仿宋_GB2312" w:eastAsia="仿宋_GB2312"/>
                <w:sz w:val="24"/>
              </w:rPr>
              <w:t>3年内，对矿渣地表水进行监测，以评估地表水pH和铁、锰、镍、汞、砷、铅、硫酸根等治理效果。</w:t>
            </w:r>
          </w:p>
          <w:p>
            <w:pPr>
              <w:pStyle w:val="null3"/>
            </w:pPr>
            <w:r>
              <w:rPr>
                <w:rFonts w:ascii="仿宋_GB2312" w:hAnsi="仿宋_GB2312" w:cs="仿宋_GB2312" w:eastAsia="仿宋_GB2312"/>
                <w:sz w:val="24"/>
                <w:b/>
              </w:rPr>
              <w:t>1、监测点布设</w:t>
            </w:r>
          </w:p>
          <w:p>
            <w:pPr>
              <w:pStyle w:val="null3"/>
            </w:pPr>
            <w:r>
              <w:rPr>
                <w:rFonts w:ascii="仿宋_GB2312" w:hAnsi="仿宋_GB2312" w:cs="仿宋_GB2312" w:eastAsia="仿宋_GB2312"/>
                <w:sz w:val="24"/>
              </w:rPr>
              <w:t>A. 殷家沟矿区：地表水监测断面布设4处。</w:t>
            </w:r>
          </w:p>
          <w:p>
            <w:pPr>
              <w:pStyle w:val="null3"/>
            </w:pPr>
            <w:r>
              <w:rPr>
                <w:rFonts w:ascii="仿宋_GB2312" w:hAnsi="仿宋_GB2312" w:cs="仿宋_GB2312" w:eastAsia="仿宋_GB2312"/>
                <w:sz w:val="24"/>
              </w:rPr>
              <w:t>B. 大深沟矿区：地表水监测断面布设2处。</w:t>
            </w:r>
          </w:p>
          <w:p>
            <w:pPr>
              <w:pStyle w:val="null3"/>
            </w:pPr>
            <w:r>
              <w:rPr>
                <w:rFonts w:ascii="仿宋_GB2312" w:hAnsi="仿宋_GB2312" w:cs="仿宋_GB2312" w:eastAsia="仿宋_GB2312"/>
                <w:sz w:val="24"/>
              </w:rPr>
              <w:t>C. 黑水塘-二杆旗：地表水监测设置水质控制断面2处。</w:t>
            </w:r>
          </w:p>
          <w:p>
            <w:pPr>
              <w:pStyle w:val="null3"/>
            </w:pPr>
            <w:r>
              <w:rPr>
                <w:rFonts w:ascii="仿宋_GB2312" w:hAnsi="仿宋_GB2312" w:cs="仿宋_GB2312" w:eastAsia="仿宋_GB2312"/>
                <w:sz w:val="24"/>
              </w:rPr>
              <w:t>D. 黑水塘-庄房：地表水监测断面布设2处。</w:t>
            </w:r>
          </w:p>
          <w:p>
            <w:pPr>
              <w:pStyle w:val="null3"/>
            </w:pPr>
            <w:r>
              <w:rPr>
                <w:rFonts w:ascii="仿宋_GB2312" w:hAnsi="仿宋_GB2312" w:cs="仿宋_GB2312" w:eastAsia="仿宋_GB2312"/>
                <w:sz w:val="24"/>
              </w:rPr>
              <w:t>E. 竹园村：地表水监测断面布设2处。</w:t>
            </w:r>
          </w:p>
          <w:p>
            <w:pPr>
              <w:pStyle w:val="null3"/>
            </w:pPr>
            <w:r>
              <w:rPr>
                <w:rFonts w:ascii="仿宋_GB2312" w:hAnsi="仿宋_GB2312" w:cs="仿宋_GB2312" w:eastAsia="仿宋_GB2312"/>
                <w:sz w:val="24"/>
                <w:b/>
              </w:rPr>
              <w:t>2、监测频率</w:t>
            </w:r>
          </w:p>
          <w:p>
            <w:pPr>
              <w:pStyle w:val="null3"/>
              <w:spacing w:after="195"/>
              <w:ind w:firstLine="480"/>
            </w:pPr>
            <w:r>
              <w:rPr>
                <w:rFonts w:ascii="仿宋_GB2312" w:hAnsi="仿宋_GB2312" w:cs="仿宋_GB2312" w:eastAsia="仿宋_GB2312"/>
                <w:sz w:val="24"/>
              </w:rPr>
              <w:t>施工前监测</w:t>
            </w:r>
            <w:r>
              <w:rPr>
                <w:rFonts w:ascii="仿宋_GB2312" w:hAnsi="仿宋_GB2312" w:cs="仿宋_GB2312" w:eastAsia="仿宋_GB2312"/>
                <w:sz w:val="24"/>
              </w:rPr>
              <w:t>1次，施工结束后第1年4次（每季度1次），第2-3年每年2次（每半年1次），每次同地点重复采样3件。地表水水样送至具有资质的第三方检测机构进行检测分析。</w:t>
            </w:r>
          </w:p>
          <w:p>
            <w:pPr>
              <w:pStyle w:val="null3"/>
            </w:pPr>
            <w:r>
              <w:rPr>
                <w:rFonts w:ascii="仿宋_GB2312" w:hAnsi="仿宋_GB2312" w:cs="仿宋_GB2312" w:eastAsia="仿宋_GB2312"/>
                <w:sz w:val="24"/>
                <w:b/>
              </w:rPr>
              <w:t>3、监测内容</w:t>
            </w:r>
          </w:p>
          <w:p>
            <w:pPr>
              <w:pStyle w:val="null3"/>
            </w:pPr>
            <w:r>
              <w:rPr>
                <w:rFonts w:ascii="仿宋_GB2312" w:hAnsi="仿宋_GB2312" w:cs="仿宋_GB2312" w:eastAsia="仿宋_GB2312"/>
                <w:sz w:val="24"/>
              </w:rPr>
              <w:t>流量、</w:t>
            </w:r>
            <w:r>
              <w:rPr>
                <w:rFonts w:ascii="仿宋_GB2312" w:hAnsi="仿宋_GB2312" w:cs="仿宋_GB2312" w:eastAsia="仿宋_GB2312"/>
                <w:sz w:val="24"/>
              </w:rPr>
              <w:t>pH、铁、锰、镍、汞、砷、铅、硫酸根。</w:t>
            </w:r>
          </w:p>
          <w:p>
            <w:pPr>
              <w:pStyle w:val="null3"/>
            </w:pPr>
            <w:r>
              <w:rPr>
                <w:rFonts w:ascii="仿宋_GB2312" w:hAnsi="仿宋_GB2312" w:cs="仿宋_GB2312" w:eastAsia="仿宋_GB2312"/>
                <w:sz w:val="26"/>
                <w:b/>
              </w:rPr>
              <w:t>（二）</w:t>
            </w:r>
            <w:r>
              <w:rPr>
                <w:rFonts w:ascii="仿宋_GB2312" w:hAnsi="仿宋_GB2312" w:cs="仿宋_GB2312" w:eastAsia="仿宋_GB2312"/>
                <w:sz w:val="26"/>
                <w:b/>
              </w:rPr>
              <w:t xml:space="preserve"> </w:t>
            </w:r>
            <w:r>
              <w:rPr>
                <w:rFonts w:ascii="仿宋_GB2312" w:hAnsi="仿宋_GB2312" w:cs="仿宋_GB2312" w:eastAsia="仿宋_GB2312"/>
                <w:sz w:val="26"/>
                <w:b/>
              </w:rPr>
              <w:t>矿渣监测</w:t>
            </w:r>
          </w:p>
          <w:p>
            <w:pPr>
              <w:pStyle w:val="null3"/>
              <w:spacing w:after="195"/>
              <w:ind w:firstLine="480"/>
            </w:pPr>
            <w:r>
              <w:rPr>
                <w:rFonts w:ascii="仿宋_GB2312" w:hAnsi="仿宋_GB2312" w:cs="仿宋_GB2312" w:eastAsia="仿宋_GB2312"/>
                <w:sz w:val="24"/>
              </w:rPr>
              <w:t>本项目微生物原位治理废弃矿渣的目的是源头控制矿渣产酸和重金属溶出。为此，在项目实施前至项目实施后</w:t>
            </w:r>
            <w:r>
              <w:rPr>
                <w:rFonts w:ascii="仿宋_GB2312" w:hAnsi="仿宋_GB2312" w:cs="仿宋_GB2312" w:eastAsia="仿宋_GB2312"/>
                <w:sz w:val="24"/>
              </w:rPr>
              <w:t>3年内，对矿渣进行采样监测，以评估矿渣pH和铁、锰水溶态的治理效果，同时评价矿渣有机碳提升效果。</w:t>
            </w:r>
          </w:p>
          <w:p>
            <w:pPr>
              <w:pStyle w:val="null3"/>
            </w:pPr>
            <w:r>
              <w:rPr>
                <w:rFonts w:ascii="仿宋_GB2312" w:hAnsi="仿宋_GB2312" w:cs="仿宋_GB2312" w:eastAsia="仿宋_GB2312"/>
                <w:sz w:val="24"/>
                <w:b/>
              </w:rPr>
              <w:t>1、监测点布设（取样深度表面以下0.5m-1m）</w:t>
            </w:r>
          </w:p>
          <w:p>
            <w:pPr>
              <w:pStyle w:val="null3"/>
            </w:pPr>
            <w:r>
              <w:rPr>
                <w:rFonts w:ascii="仿宋_GB2312" w:hAnsi="仿宋_GB2312" w:cs="仿宋_GB2312" w:eastAsia="仿宋_GB2312"/>
                <w:sz w:val="24"/>
              </w:rPr>
              <w:t>A. 殷家沟矿区：在殷家沟-3渣堆布点进行矿渣跟踪监测，布设5个监测点位。</w:t>
            </w:r>
          </w:p>
          <w:p>
            <w:pPr>
              <w:pStyle w:val="null3"/>
            </w:pPr>
            <w:r>
              <w:rPr>
                <w:rFonts w:ascii="仿宋_GB2312" w:hAnsi="仿宋_GB2312" w:cs="仿宋_GB2312" w:eastAsia="仿宋_GB2312"/>
                <w:sz w:val="24"/>
              </w:rPr>
              <w:t>B. 大深沟矿区：在大深沟-3渣堆布点进行矿渣跟踪监测，布设3个监测点位。</w:t>
            </w:r>
          </w:p>
          <w:p>
            <w:pPr>
              <w:pStyle w:val="null3"/>
            </w:pPr>
            <w:r>
              <w:rPr>
                <w:rFonts w:ascii="仿宋_GB2312" w:hAnsi="仿宋_GB2312" w:cs="仿宋_GB2312" w:eastAsia="仿宋_GB2312"/>
                <w:sz w:val="24"/>
              </w:rPr>
              <w:t>C. 黑水塘-二杆旗：在二杆旗-3渣堆布点进行矿渣跟踪监测，布设3个监测点位。</w:t>
            </w:r>
          </w:p>
          <w:p>
            <w:pPr>
              <w:pStyle w:val="null3"/>
            </w:pPr>
            <w:r>
              <w:rPr>
                <w:rFonts w:ascii="仿宋_GB2312" w:hAnsi="仿宋_GB2312" w:cs="仿宋_GB2312" w:eastAsia="仿宋_GB2312"/>
                <w:sz w:val="24"/>
              </w:rPr>
              <w:t>D. 黑水塘-庄房：在庄房渣堆布点进行矿渣跟踪监测，布设3个监测点位。</w:t>
            </w:r>
          </w:p>
          <w:p>
            <w:pPr>
              <w:pStyle w:val="null3"/>
            </w:pPr>
            <w:r>
              <w:rPr>
                <w:rFonts w:ascii="仿宋_GB2312" w:hAnsi="仿宋_GB2312" w:cs="仿宋_GB2312" w:eastAsia="仿宋_GB2312"/>
                <w:sz w:val="24"/>
                <w:b/>
              </w:rPr>
              <w:t>2、监测频率</w:t>
            </w:r>
          </w:p>
          <w:p>
            <w:pPr>
              <w:pStyle w:val="null3"/>
              <w:spacing w:after="195"/>
              <w:ind w:firstLine="480"/>
            </w:pPr>
            <w:r>
              <w:rPr>
                <w:rFonts w:ascii="仿宋_GB2312" w:hAnsi="仿宋_GB2312" w:cs="仿宋_GB2312" w:eastAsia="仿宋_GB2312"/>
                <w:sz w:val="24"/>
              </w:rPr>
              <w:t>施工前监测</w:t>
            </w:r>
            <w:r>
              <w:rPr>
                <w:rFonts w:ascii="仿宋_GB2312" w:hAnsi="仿宋_GB2312" w:cs="仿宋_GB2312" w:eastAsia="仿宋_GB2312"/>
                <w:sz w:val="24"/>
              </w:rPr>
              <w:t>1次，施工结束后第1年2次（每半年1次），第2~3年每年1次，每次同地点重复采样3件。矿渣样品需要在厌氧或缺氧条件下保存。</w:t>
            </w:r>
          </w:p>
          <w:p>
            <w:pPr>
              <w:pStyle w:val="null3"/>
            </w:pPr>
            <w:r>
              <w:rPr>
                <w:rFonts w:ascii="仿宋_GB2312" w:hAnsi="仿宋_GB2312" w:cs="仿宋_GB2312" w:eastAsia="仿宋_GB2312"/>
                <w:sz w:val="24"/>
                <w:b/>
              </w:rPr>
              <w:t>3、监测内容</w:t>
            </w:r>
          </w:p>
          <w:p>
            <w:pPr>
              <w:pStyle w:val="null3"/>
            </w:pPr>
            <w:r>
              <w:rPr>
                <w:rFonts w:ascii="仿宋_GB2312" w:hAnsi="仿宋_GB2312" w:cs="仿宋_GB2312" w:eastAsia="仿宋_GB2312"/>
                <w:sz w:val="24"/>
              </w:rPr>
              <w:t>pH、总有机碳、水浸态铁、水浸态锰。</w:t>
            </w:r>
          </w:p>
          <w:p>
            <w:pPr>
              <w:pStyle w:val="null3"/>
            </w:pPr>
            <w:r>
              <w:rPr>
                <w:rFonts w:ascii="仿宋_GB2312" w:hAnsi="仿宋_GB2312" w:cs="仿宋_GB2312" w:eastAsia="仿宋_GB2312"/>
                <w:sz w:val="26"/>
                <w:b/>
              </w:rPr>
              <w:t>（三）</w:t>
            </w:r>
            <w:r>
              <w:rPr>
                <w:rFonts w:ascii="仿宋_GB2312" w:hAnsi="仿宋_GB2312" w:cs="仿宋_GB2312" w:eastAsia="仿宋_GB2312"/>
                <w:sz w:val="26"/>
                <w:b/>
              </w:rPr>
              <w:t>渣堆渗滤液监测</w:t>
            </w:r>
          </w:p>
          <w:p>
            <w:pPr>
              <w:pStyle w:val="null3"/>
              <w:spacing w:after="195"/>
              <w:ind w:firstLine="480"/>
            </w:pPr>
            <w:r>
              <w:rPr>
                <w:rFonts w:ascii="仿宋_GB2312" w:hAnsi="仿宋_GB2312" w:cs="仿宋_GB2312" w:eastAsia="仿宋_GB2312"/>
                <w:sz w:val="24"/>
              </w:rPr>
              <w:t>本项目微生物原位治理废弃矿渣的目的是源头控制矿渣产酸和重金属溶出，通过降低渣堆渗滤液重金属含量切断渣堆的污染扩散途径。为此，在项目实施前至项目实施后</w:t>
            </w:r>
            <w:r>
              <w:rPr>
                <w:rFonts w:ascii="仿宋_GB2312" w:hAnsi="仿宋_GB2312" w:cs="仿宋_GB2312" w:eastAsia="仿宋_GB2312"/>
                <w:sz w:val="24"/>
              </w:rPr>
              <w:t>3年内，对矿渣渗滤液采样监测，以评估渣堆渗滤液pH和铁、锰、镍、汞、砷、铅、硫酸根的治理效果。</w:t>
            </w:r>
          </w:p>
          <w:p>
            <w:pPr>
              <w:pStyle w:val="null3"/>
            </w:pPr>
            <w:r>
              <w:rPr>
                <w:rFonts w:ascii="仿宋_GB2312" w:hAnsi="仿宋_GB2312" w:cs="仿宋_GB2312" w:eastAsia="仿宋_GB2312"/>
                <w:sz w:val="24"/>
                <w:b/>
              </w:rPr>
              <w:t>1、监测点布设</w:t>
            </w:r>
          </w:p>
          <w:p>
            <w:pPr>
              <w:pStyle w:val="null3"/>
            </w:pPr>
            <w:r>
              <w:rPr>
                <w:rFonts w:ascii="仿宋_GB2312" w:hAnsi="仿宋_GB2312" w:cs="仿宋_GB2312" w:eastAsia="仿宋_GB2312"/>
                <w:sz w:val="24"/>
              </w:rPr>
              <w:t>在殷家沟</w:t>
            </w:r>
            <w:r>
              <w:rPr>
                <w:rFonts w:ascii="仿宋_GB2312" w:hAnsi="仿宋_GB2312" w:cs="仿宋_GB2312" w:eastAsia="仿宋_GB2312"/>
                <w:sz w:val="24"/>
              </w:rPr>
              <w:t>-3渣堆钻孔3个，采集渗滤液进行监测，布设3个监测点位。</w:t>
            </w:r>
          </w:p>
          <w:p>
            <w:pPr>
              <w:pStyle w:val="null3"/>
            </w:pPr>
            <w:r>
              <w:rPr>
                <w:rFonts w:ascii="仿宋_GB2312" w:hAnsi="仿宋_GB2312" w:cs="仿宋_GB2312" w:eastAsia="仿宋_GB2312"/>
                <w:sz w:val="24"/>
                <w:b/>
              </w:rPr>
              <w:t>2、监测频率</w:t>
            </w:r>
          </w:p>
          <w:p>
            <w:pPr>
              <w:pStyle w:val="null3"/>
              <w:spacing w:after="195"/>
              <w:ind w:firstLine="480"/>
            </w:pPr>
            <w:r>
              <w:rPr>
                <w:rFonts w:ascii="仿宋_GB2312" w:hAnsi="仿宋_GB2312" w:cs="仿宋_GB2312" w:eastAsia="仿宋_GB2312"/>
                <w:sz w:val="24"/>
              </w:rPr>
              <w:t>施工前监测</w:t>
            </w:r>
            <w:r>
              <w:rPr>
                <w:rFonts w:ascii="仿宋_GB2312" w:hAnsi="仿宋_GB2312" w:cs="仿宋_GB2312" w:eastAsia="仿宋_GB2312"/>
                <w:sz w:val="24"/>
              </w:rPr>
              <w:t>1次，施工结束后第1年4次（每季度1次），第2~3年每年2次（每半年1次），渣堆渗滤液水样送至具有资质的第三方检测机构进行检测分析。</w:t>
            </w:r>
          </w:p>
          <w:p>
            <w:pPr>
              <w:pStyle w:val="null3"/>
            </w:pPr>
            <w:r>
              <w:rPr>
                <w:rFonts w:ascii="仿宋_GB2312" w:hAnsi="仿宋_GB2312" w:cs="仿宋_GB2312" w:eastAsia="仿宋_GB2312"/>
                <w:sz w:val="24"/>
                <w:b/>
              </w:rPr>
              <w:t>3、监测内容</w:t>
            </w:r>
          </w:p>
          <w:p>
            <w:pPr>
              <w:pStyle w:val="null3"/>
            </w:pPr>
            <w:r>
              <w:rPr>
                <w:rFonts w:ascii="仿宋_GB2312" w:hAnsi="仿宋_GB2312" w:cs="仿宋_GB2312" w:eastAsia="仿宋_GB2312"/>
                <w:sz w:val="24"/>
              </w:rPr>
              <w:t>pH、硫酸根、铁、锰、镍、汞、砷、铅。</w:t>
            </w:r>
          </w:p>
          <w:p>
            <w:pPr>
              <w:pStyle w:val="null3"/>
            </w:pPr>
            <w:r>
              <w:rPr>
                <w:rFonts w:ascii="仿宋_GB2312" w:hAnsi="仿宋_GB2312" w:cs="仿宋_GB2312" w:eastAsia="仿宋_GB2312"/>
                <w:sz w:val="26"/>
                <w:b/>
              </w:rPr>
              <w:t>（四）</w:t>
            </w:r>
            <w:r>
              <w:rPr>
                <w:rFonts w:ascii="仿宋_GB2312" w:hAnsi="仿宋_GB2312" w:cs="仿宋_GB2312" w:eastAsia="仿宋_GB2312"/>
                <w:sz w:val="26"/>
                <w:b/>
              </w:rPr>
              <w:t xml:space="preserve"> </w:t>
            </w:r>
            <w:r>
              <w:rPr>
                <w:rFonts w:ascii="仿宋_GB2312" w:hAnsi="仿宋_GB2312" w:cs="仿宋_GB2312" w:eastAsia="仿宋_GB2312"/>
                <w:sz w:val="26"/>
                <w:b/>
              </w:rPr>
              <w:t>植被生态监测</w:t>
            </w:r>
          </w:p>
          <w:p>
            <w:pPr>
              <w:pStyle w:val="null3"/>
              <w:spacing w:after="195"/>
              <w:ind w:firstLine="480"/>
            </w:pPr>
            <w:r>
              <w:rPr>
                <w:rFonts w:ascii="仿宋_GB2312" w:hAnsi="仿宋_GB2312" w:cs="仿宋_GB2312" w:eastAsia="仿宋_GB2312"/>
                <w:sz w:val="24"/>
              </w:rPr>
              <w:t>本项目微生物治理技术是污染治理和生态修复相结合，植物和微生物互作维持长期治理效果，因此，在项目实施前至项目实施后</w:t>
            </w:r>
            <w:r>
              <w:rPr>
                <w:rFonts w:ascii="仿宋_GB2312" w:hAnsi="仿宋_GB2312" w:cs="仿宋_GB2312" w:eastAsia="仿宋_GB2312"/>
                <w:sz w:val="24"/>
              </w:rPr>
              <w:t>3年内，对治理区植被生态进行监测，以评估植被生长和物种多样性。</w:t>
            </w:r>
          </w:p>
          <w:p>
            <w:pPr>
              <w:pStyle w:val="null3"/>
              <w:spacing w:after="195"/>
              <w:ind w:firstLine="480"/>
            </w:pPr>
            <w:r>
              <w:rPr>
                <w:rFonts w:ascii="仿宋_GB2312" w:hAnsi="仿宋_GB2312" w:cs="仿宋_GB2312" w:eastAsia="仿宋_GB2312"/>
                <w:sz w:val="24"/>
              </w:rPr>
              <w:t>采用无人机航测手段监测覆盖度，监测频率为施工前</w:t>
            </w:r>
            <w:r>
              <w:rPr>
                <w:rFonts w:ascii="仿宋_GB2312" w:hAnsi="仿宋_GB2312" w:cs="仿宋_GB2312" w:eastAsia="仿宋_GB2312"/>
                <w:sz w:val="24"/>
              </w:rPr>
              <w:t>1次，施工期至施工结束后3年内每年4次（每季度1次）。</w:t>
            </w:r>
          </w:p>
          <w:p>
            <w:pPr>
              <w:pStyle w:val="null3"/>
              <w:spacing w:after="195"/>
              <w:ind w:firstLine="480"/>
            </w:pPr>
            <w:r>
              <w:rPr>
                <w:rFonts w:ascii="仿宋_GB2312" w:hAnsi="仿宋_GB2312" w:cs="仿宋_GB2312" w:eastAsia="仿宋_GB2312"/>
                <w:sz w:val="24"/>
              </w:rPr>
              <w:t>采用样方法监测植被类型和植物物种，监测频率为施工前</w:t>
            </w:r>
            <w:r>
              <w:rPr>
                <w:rFonts w:ascii="仿宋_GB2312" w:hAnsi="仿宋_GB2312" w:cs="仿宋_GB2312" w:eastAsia="仿宋_GB2312"/>
                <w:sz w:val="24"/>
              </w:rPr>
              <w:t>1次，施工期至施工结束后3年内每年4次（每季度1次）。</w:t>
            </w:r>
          </w:p>
          <w:p>
            <w:pPr>
              <w:pStyle w:val="null3"/>
            </w:pPr>
            <w:r>
              <w:rPr>
                <w:rFonts w:ascii="仿宋_GB2312" w:hAnsi="仿宋_GB2312" w:cs="仿宋_GB2312" w:eastAsia="仿宋_GB2312"/>
                <w:sz w:val="28"/>
                <w:b/>
              </w:rPr>
              <w:t>二、效果评估监测</w:t>
            </w:r>
          </w:p>
          <w:p>
            <w:pPr>
              <w:pStyle w:val="null3"/>
            </w:pPr>
            <w:r>
              <w:rPr>
                <w:rFonts w:ascii="仿宋_GB2312" w:hAnsi="仿宋_GB2312" w:cs="仿宋_GB2312" w:eastAsia="仿宋_GB2312"/>
                <w:sz w:val="26"/>
                <w:b/>
              </w:rPr>
              <w:t>（一）</w:t>
            </w:r>
            <w:r>
              <w:rPr>
                <w:rFonts w:ascii="仿宋_GB2312" w:hAnsi="仿宋_GB2312" w:cs="仿宋_GB2312" w:eastAsia="仿宋_GB2312"/>
                <w:sz w:val="26"/>
                <w:b/>
              </w:rPr>
              <w:t>效果评估布点及监测</w:t>
            </w:r>
          </w:p>
          <w:p>
            <w:pPr>
              <w:pStyle w:val="null3"/>
            </w:pPr>
            <w:r>
              <w:rPr>
                <w:rFonts w:ascii="仿宋_GB2312" w:hAnsi="仿宋_GB2312" w:cs="仿宋_GB2312" w:eastAsia="仿宋_GB2312"/>
                <w:sz w:val="24"/>
                <w:b/>
              </w:rPr>
              <w:t>1、地表水监测</w:t>
            </w:r>
          </w:p>
          <w:p>
            <w:pPr>
              <w:pStyle w:val="null3"/>
            </w:pPr>
            <w:r>
              <w:rPr>
                <w:rFonts w:ascii="仿宋_GB2312" w:hAnsi="仿宋_GB2312" w:cs="仿宋_GB2312" w:eastAsia="仿宋_GB2312"/>
                <w:sz w:val="24"/>
              </w:rPr>
              <w:t>监测点布设：与施工过程跟踪监测点位一致。</w:t>
            </w:r>
          </w:p>
          <w:p>
            <w:pPr>
              <w:pStyle w:val="null3"/>
            </w:pPr>
            <w:r>
              <w:rPr>
                <w:rFonts w:ascii="仿宋_GB2312" w:hAnsi="仿宋_GB2312" w:cs="仿宋_GB2312" w:eastAsia="仿宋_GB2312"/>
                <w:sz w:val="24"/>
              </w:rPr>
              <w:t>监测频率：施工结束后第</w:t>
            </w:r>
            <w:r>
              <w:rPr>
                <w:rFonts w:ascii="仿宋_GB2312" w:hAnsi="仿宋_GB2312" w:cs="仿宋_GB2312" w:eastAsia="仿宋_GB2312"/>
                <w:sz w:val="24"/>
              </w:rPr>
              <w:t>1年4次（每季度1次）。</w:t>
            </w:r>
          </w:p>
          <w:p>
            <w:pPr>
              <w:pStyle w:val="null3"/>
            </w:pPr>
            <w:r>
              <w:rPr>
                <w:rFonts w:ascii="仿宋_GB2312" w:hAnsi="仿宋_GB2312" w:cs="仿宋_GB2312" w:eastAsia="仿宋_GB2312"/>
                <w:sz w:val="24"/>
              </w:rPr>
              <w:t>监测内容：与施工过程跟踪监测内容一致。</w:t>
            </w:r>
          </w:p>
          <w:p>
            <w:pPr>
              <w:pStyle w:val="null3"/>
            </w:pPr>
            <w:r>
              <w:rPr>
                <w:rFonts w:ascii="仿宋_GB2312" w:hAnsi="仿宋_GB2312" w:cs="仿宋_GB2312" w:eastAsia="仿宋_GB2312"/>
                <w:sz w:val="24"/>
                <w:b/>
              </w:rPr>
              <w:t>2、矿渣监测</w:t>
            </w:r>
          </w:p>
          <w:p>
            <w:pPr>
              <w:pStyle w:val="null3"/>
            </w:pPr>
            <w:r>
              <w:rPr>
                <w:rFonts w:ascii="仿宋_GB2312" w:hAnsi="仿宋_GB2312" w:cs="仿宋_GB2312" w:eastAsia="仿宋_GB2312"/>
                <w:sz w:val="24"/>
              </w:rPr>
              <w:t>监测点布设：与施工过程跟踪监测点位一致。</w:t>
            </w:r>
          </w:p>
          <w:p>
            <w:pPr>
              <w:pStyle w:val="null3"/>
            </w:pPr>
            <w:r>
              <w:rPr>
                <w:rFonts w:ascii="仿宋_GB2312" w:hAnsi="仿宋_GB2312" w:cs="仿宋_GB2312" w:eastAsia="仿宋_GB2312"/>
                <w:sz w:val="24"/>
              </w:rPr>
              <w:t>监测频率：施工结束后第</w:t>
            </w:r>
            <w:r>
              <w:rPr>
                <w:rFonts w:ascii="仿宋_GB2312" w:hAnsi="仿宋_GB2312" w:cs="仿宋_GB2312" w:eastAsia="仿宋_GB2312"/>
                <w:sz w:val="24"/>
              </w:rPr>
              <w:t>1年4次（每季度1次）。</w:t>
            </w:r>
          </w:p>
          <w:p>
            <w:pPr>
              <w:pStyle w:val="null3"/>
            </w:pPr>
            <w:r>
              <w:rPr>
                <w:rFonts w:ascii="仿宋_GB2312" w:hAnsi="仿宋_GB2312" w:cs="仿宋_GB2312" w:eastAsia="仿宋_GB2312"/>
                <w:sz w:val="24"/>
              </w:rPr>
              <w:t>监测内容：与施工过程跟踪监测内容一致。</w:t>
            </w:r>
          </w:p>
          <w:p>
            <w:pPr>
              <w:pStyle w:val="null3"/>
            </w:pPr>
            <w:r>
              <w:rPr>
                <w:rFonts w:ascii="仿宋_GB2312" w:hAnsi="仿宋_GB2312" w:cs="仿宋_GB2312" w:eastAsia="仿宋_GB2312"/>
                <w:sz w:val="24"/>
                <w:b/>
              </w:rPr>
              <w:t>3、渣堆渗滤液监测</w:t>
            </w:r>
          </w:p>
          <w:p>
            <w:pPr>
              <w:pStyle w:val="null3"/>
            </w:pPr>
            <w:r>
              <w:rPr>
                <w:rFonts w:ascii="仿宋_GB2312" w:hAnsi="仿宋_GB2312" w:cs="仿宋_GB2312" w:eastAsia="仿宋_GB2312"/>
                <w:sz w:val="24"/>
              </w:rPr>
              <w:t>监测点布设：与施工过程跟踪监测点位一致。</w:t>
            </w:r>
          </w:p>
          <w:p>
            <w:pPr>
              <w:pStyle w:val="null3"/>
            </w:pPr>
            <w:r>
              <w:rPr>
                <w:rFonts w:ascii="仿宋_GB2312" w:hAnsi="仿宋_GB2312" w:cs="仿宋_GB2312" w:eastAsia="仿宋_GB2312"/>
                <w:sz w:val="24"/>
              </w:rPr>
              <w:t>监测频率：施工结束后第</w:t>
            </w:r>
            <w:r>
              <w:rPr>
                <w:rFonts w:ascii="仿宋_GB2312" w:hAnsi="仿宋_GB2312" w:cs="仿宋_GB2312" w:eastAsia="仿宋_GB2312"/>
                <w:sz w:val="24"/>
              </w:rPr>
              <w:t>1年2次（每半年1次）。</w:t>
            </w:r>
          </w:p>
          <w:p>
            <w:pPr>
              <w:pStyle w:val="null3"/>
            </w:pPr>
            <w:r>
              <w:rPr>
                <w:rFonts w:ascii="仿宋_GB2312" w:hAnsi="仿宋_GB2312" w:cs="仿宋_GB2312" w:eastAsia="仿宋_GB2312"/>
                <w:sz w:val="24"/>
              </w:rPr>
              <w:t>监测内容：与施工过程跟踪监测内容一致。</w:t>
            </w:r>
          </w:p>
          <w:p>
            <w:pPr>
              <w:pStyle w:val="null3"/>
            </w:pPr>
            <w:r>
              <w:rPr>
                <w:rFonts w:ascii="仿宋_GB2312" w:hAnsi="仿宋_GB2312" w:cs="仿宋_GB2312" w:eastAsia="仿宋_GB2312"/>
                <w:sz w:val="24"/>
                <w:b/>
              </w:rPr>
              <w:t>4、植被生态监测</w:t>
            </w:r>
          </w:p>
          <w:p>
            <w:pPr>
              <w:pStyle w:val="null3"/>
              <w:spacing w:after="195"/>
              <w:ind w:firstLine="480"/>
            </w:pPr>
            <w:r>
              <w:rPr>
                <w:rFonts w:ascii="仿宋_GB2312" w:hAnsi="仿宋_GB2312" w:cs="仿宋_GB2312" w:eastAsia="仿宋_GB2312"/>
                <w:sz w:val="24"/>
              </w:rPr>
              <w:t>采用地面分辨率不小于</w:t>
            </w:r>
            <w:r>
              <w:rPr>
                <w:rFonts w:ascii="仿宋_GB2312" w:hAnsi="仿宋_GB2312" w:cs="仿宋_GB2312" w:eastAsia="仿宋_GB2312"/>
                <w:sz w:val="24"/>
              </w:rPr>
              <w:t>1m的高精度卫星遥感数据解译及无人机航测等手段，对地形地貌、土地利用类型、植被类型及覆盖度进行动态监测，施工期至施工结束后3年内每年4次（每季度1次）。</w:t>
            </w:r>
          </w:p>
          <w:p>
            <w:pPr>
              <w:pStyle w:val="null3"/>
            </w:pPr>
            <w:r>
              <w:rPr>
                <w:rFonts w:ascii="仿宋_GB2312" w:hAnsi="仿宋_GB2312" w:cs="仿宋_GB2312" w:eastAsia="仿宋_GB2312"/>
                <w:sz w:val="26"/>
                <w:b/>
              </w:rPr>
              <w:t>（二）</w:t>
            </w:r>
            <w:r>
              <w:rPr>
                <w:rFonts w:ascii="仿宋_GB2312" w:hAnsi="仿宋_GB2312" w:cs="仿宋_GB2312" w:eastAsia="仿宋_GB2312"/>
                <w:sz w:val="26"/>
                <w:b/>
              </w:rPr>
              <w:t>后续跟踪监测</w:t>
            </w:r>
          </w:p>
          <w:p>
            <w:pPr>
              <w:pStyle w:val="null3"/>
              <w:spacing w:after="195"/>
              <w:ind w:firstLine="480"/>
            </w:pPr>
            <w:r>
              <w:rPr>
                <w:rFonts w:ascii="仿宋_GB2312" w:hAnsi="仿宋_GB2312" w:cs="仿宋_GB2312" w:eastAsia="仿宋_GB2312"/>
                <w:sz w:val="24"/>
              </w:rPr>
              <w:t>在效果评估工作结束后，持续开展</w:t>
            </w:r>
            <w:r>
              <w:rPr>
                <w:rFonts w:ascii="仿宋_GB2312" w:hAnsi="仿宋_GB2312" w:cs="仿宋_GB2312" w:eastAsia="仿宋_GB2312"/>
                <w:sz w:val="24"/>
              </w:rPr>
              <w:t>2年的跟踪监测。</w:t>
            </w:r>
          </w:p>
          <w:p>
            <w:pPr>
              <w:pStyle w:val="null3"/>
            </w:pPr>
            <w:r>
              <w:rPr>
                <w:rFonts w:ascii="仿宋_GB2312" w:hAnsi="仿宋_GB2312" w:cs="仿宋_GB2312" w:eastAsia="仿宋_GB2312"/>
                <w:sz w:val="24"/>
                <w:b/>
              </w:rPr>
              <w:t>1、地表水监测</w:t>
            </w:r>
          </w:p>
          <w:p>
            <w:pPr>
              <w:pStyle w:val="null3"/>
            </w:pPr>
            <w:r>
              <w:rPr>
                <w:rFonts w:ascii="仿宋_GB2312" w:hAnsi="仿宋_GB2312" w:cs="仿宋_GB2312" w:eastAsia="仿宋_GB2312"/>
                <w:sz w:val="24"/>
              </w:rPr>
              <w:t>监测点布设：与施工过程跟踪监测点位一致。</w:t>
            </w:r>
          </w:p>
          <w:p>
            <w:pPr>
              <w:pStyle w:val="null3"/>
            </w:pPr>
            <w:r>
              <w:rPr>
                <w:rFonts w:ascii="仿宋_GB2312" w:hAnsi="仿宋_GB2312" w:cs="仿宋_GB2312" w:eastAsia="仿宋_GB2312"/>
                <w:sz w:val="24"/>
              </w:rPr>
              <w:t>监测频率：第</w:t>
            </w:r>
            <w:r>
              <w:rPr>
                <w:rFonts w:ascii="仿宋_GB2312" w:hAnsi="仿宋_GB2312" w:cs="仿宋_GB2312" w:eastAsia="仿宋_GB2312"/>
                <w:sz w:val="24"/>
              </w:rPr>
              <w:t>2~3年每年2次（每半年1次）。</w:t>
            </w:r>
          </w:p>
          <w:p>
            <w:pPr>
              <w:pStyle w:val="null3"/>
            </w:pPr>
            <w:r>
              <w:rPr>
                <w:rFonts w:ascii="仿宋_GB2312" w:hAnsi="仿宋_GB2312" w:cs="仿宋_GB2312" w:eastAsia="仿宋_GB2312"/>
                <w:sz w:val="24"/>
              </w:rPr>
              <w:t>监测内容：与施工过程跟踪监测内容一致。</w:t>
            </w:r>
          </w:p>
          <w:p>
            <w:pPr>
              <w:pStyle w:val="null3"/>
            </w:pPr>
            <w:r>
              <w:rPr>
                <w:rFonts w:ascii="仿宋_GB2312" w:hAnsi="仿宋_GB2312" w:cs="仿宋_GB2312" w:eastAsia="仿宋_GB2312"/>
                <w:sz w:val="24"/>
                <w:b/>
              </w:rPr>
              <w:t>2、矿渣监测</w:t>
            </w:r>
          </w:p>
          <w:p>
            <w:pPr>
              <w:pStyle w:val="null3"/>
            </w:pPr>
            <w:r>
              <w:rPr>
                <w:rFonts w:ascii="仿宋_GB2312" w:hAnsi="仿宋_GB2312" w:cs="仿宋_GB2312" w:eastAsia="仿宋_GB2312"/>
                <w:sz w:val="24"/>
              </w:rPr>
              <w:t>监测点布设：与施工过程跟踪监测点位一致。</w:t>
            </w:r>
          </w:p>
          <w:p>
            <w:pPr>
              <w:pStyle w:val="null3"/>
            </w:pPr>
            <w:r>
              <w:rPr>
                <w:rFonts w:ascii="仿宋_GB2312" w:hAnsi="仿宋_GB2312" w:cs="仿宋_GB2312" w:eastAsia="仿宋_GB2312"/>
                <w:sz w:val="24"/>
              </w:rPr>
              <w:t>监测频率：第</w:t>
            </w:r>
            <w:r>
              <w:rPr>
                <w:rFonts w:ascii="仿宋_GB2312" w:hAnsi="仿宋_GB2312" w:cs="仿宋_GB2312" w:eastAsia="仿宋_GB2312"/>
                <w:sz w:val="24"/>
              </w:rPr>
              <w:t>2~3年每年2次（每半年1次）。</w:t>
            </w:r>
          </w:p>
          <w:p>
            <w:pPr>
              <w:pStyle w:val="null3"/>
            </w:pPr>
            <w:r>
              <w:rPr>
                <w:rFonts w:ascii="仿宋_GB2312" w:hAnsi="仿宋_GB2312" w:cs="仿宋_GB2312" w:eastAsia="仿宋_GB2312"/>
                <w:sz w:val="24"/>
              </w:rPr>
              <w:t>监测内容：与施工过程跟踪监测内容一致。</w:t>
            </w:r>
          </w:p>
          <w:p>
            <w:pPr>
              <w:pStyle w:val="null3"/>
            </w:pPr>
            <w:r>
              <w:rPr>
                <w:rFonts w:ascii="仿宋_GB2312" w:hAnsi="仿宋_GB2312" w:cs="仿宋_GB2312" w:eastAsia="仿宋_GB2312"/>
                <w:sz w:val="24"/>
                <w:b/>
              </w:rPr>
              <w:t>3、矿渣渗滤液监测</w:t>
            </w:r>
          </w:p>
          <w:p>
            <w:pPr>
              <w:pStyle w:val="null3"/>
            </w:pPr>
            <w:r>
              <w:rPr>
                <w:rFonts w:ascii="仿宋_GB2312" w:hAnsi="仿宋_GB2312" w:cs="仿宋_GB2312" w:eastAsia="仿宋_GB2312"/>
                <w:sz w:val="24"/>
              </w:rPr>
              <w:t>监测点布设：与施工过程跟踪监测点位一致。</w:t>
            </w:r>
          </w:p>
          <w:p>
            <w:pPr>
              <w:pStyle w:val="null3"/>
            </w:pPr>
            <w:r>
              <w:rPr>
                <w:rFonts w:ascii="仿宋_GB2312" w:hAnsi="仿宋_GB2312" w:cs="仿宋_GB2312" w:eastAsia="仿宋_GB2312"/>
                <w:sz w:val="24"/>
              </w:rPr>
              <w:t>监测频率：第</w:t>
            </w:r>
            <w:r>
              <w:rPr>
                <w:rFonts w:ascii="仿宋_GB2312" w:hAnsi="仿宋_GB2312" w:cs="仿宋_GB2312" w:eastAsia="仿宋_GB2312"/>
                <w:sz w:val="24"/>
              </w:rPr>
              <w:t>2-3年每年1次。</w:t>
            </w:r>
          </w:p>
          <w:p>
            <w:pPr>
              <w:pStyle w:val="null3"/>
            </w:pPr>
            <w:r>
              <w:rPr>
                <w:rFonts w:ascii="仿宋_GB2312" w:hAnsi="仿宋_GB2312" w:cs="仿宋_GB2312" w:eastAsia="仿宋_GB2312"/>
                <w:sz w:val="24"/>
              </w:rPr>
              <w:t>监测内容：与施工过程跟踪监测内容一致。</w:t>
            </w:r>
          </w:p>
          <w:p>
            <w:pPr>
              <w:pStyle w:val="null3"/>
            </w:pPr>
            <w:r>
              <w:rPr>
                <w:rFonts w:ascii="仿宋_GB2312" w:hAnsi="仿宋_GB2312" w:cs="仿宋_GB2312" w:eastAsia="仿宋_GB2312"/>
                <w:sz w:val="24"/>
                <w:b/>
              </w:rPr>
              <w:t>4、植被生态监测</w:t>
            </w:r>
          </w:p>
          <w:p>
            <w:pPr>
              <w:pStyle w:val="null3"/>
              <w:spacing w:after="195"/>
              <w:ind w:firstLine="480"/>
            </w:pPr>
            <w:r>
              <w:rPr>
                <w:rFonts w:ascii="仿宋_GB2312" w:hAnsi="仿宋_GB2312" w:cs="仿宋_GB2312" w:eastAsia="仿宋_GB2312"/>
                <w:sz w:val="24"/>
              </w:rPr>
              <w:t>采用地面分辨率不小于</w:t>
            </w:r>
            <w:r>
              <w:rPr>
                <w:rFonts w:ascii="仿宋_GB2312" w:hAnsi="仿宋_GB2312" w:cs="仿宋_GB2312" w:eastAsia="仿宋_GB2312"/>
                <w:sz w:val="24"/>
              </w:rPr>
              <w:t>1m的高精度卫星遥感数据解译及无人机航测等手段，对地形地貌、土地利用类型、植被类型及覆盖度进行动态监测，施工期至施工结束后3年内每年4次（每季度1次）。</w:t>
            </w:r>
          </w:p>
          <w:p>
            <w:pPr>
              <w:pStyle w:val="null3"/>
              <w:spacing w:after="195"/>
              <w:ind w:firstLine="480"/>
            </w:pPr>
            <w:r>
              <w:rPr>
                <w:rFonts w:ascii="仿宋_GB2312" w:hAnsi="仿宋_GB2312" w:cs="仿宋_GB2312" w:eastAsia="仿宋_GB2312"/>
              </w:rPr>
              <w:t xml:space="preserve"> </w:t>
            </w:r>
          </w:p>
          <w:p>
            <w:pPr>
              <w:pStyle w:val="null3"/>
              <w:spacing w:after="195"/>
              <w:ind w:firstLine="480"/>
            </w:pPr>
            <w:r>
              <w:rPr>
                <w:rFonts w:ascii="仿宋_GB2312" w:hAnsi="仿宋_GB2312" w:cs="仿宋_GB2312" w:eastAsia="仿宋_GB2312"/>
                <w:sz w:val="28"/>
                <w:b/>
              </w:rPr>
              <w:t>三、服务期限：三年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签订合同之日起3年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服务期满一年后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完成监测与效果评估后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及时协商解决，协商不成的向所在辖区人民法院诉讼解决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统一社会信用代码营业执照或事业单位法人证书</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财务会计制度、依法缴纳税收和社会保障资金的良好记录及参加本项目采购活动前三年内在经营活动中无重大违法活动记录</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保证金缴纳凭证（截图加盖公章）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2023年1月1日起至本项目投标文件递交截止时间止，每提供一份类似项目业绩得2分，最多得4分。以投标文件中所附业绩合同和中标通知书复印件加盖公章为准。未提供得0分。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针对本项目的人员管理制度及相关技术人员配备情况： 人员管理制度完善，相关技术人员配备齐全得5-6分； 人员管理制度较完善，相关技术人员配备基本满足得3-4分； 人员管理制度一般，相关技术人员配备一般得1-2分。未提供得0分。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对项目实施过程存在的难点、重点分析及应对措施： 分析全面，应对措施完整、合理可行得9-12分； 分析较全面，应对措施较完整，基本保证项目实施得5-8分； 分析一般，应对措施较差，实施困难得1-4分。未提供得0分。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监测方案</w:t>
            </w:r>
          </w:p>
        </w:tc>
        <w:tc>
          <w:tcPr>
            <w:tcW w:type="dxa" w:w="2492"/>
          </w:tcPr>
          <w:p>
            <w:pPr>
              <w:pStyle w:val="null3"/>
            </w:pPr>
            <w:r>
              <w:rPr>
                <w:rFonts w:ascii="仿宋_GB2312" w:hAnsi="仿宋_GB2312" w:cs="仿宋_GB2312" w:eastAsia="仿宋_GB2312"/>
              </w:rPr>
              <w:t>根据采购内容编制环境监测方案： 编制方案合理、可行性高得11-15分； 编制方案较合理、可行性一般得6-10分； 编制方案一般、可行性差得1-5分。未提供得0分。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评估方案</w:t>
            </w:r>
          </w:p>
        </w:tc>
        <w:tc>
          <w:tcPr>
            <w:tcW w:type="dxa" w:w="2492"/>
          </w:tcPr>
          <w:p>
            <w:pPr>
              <w:pStyle w:val="null3"/>
            </w:pPr>
            <w:r>
              <w:rPr>
                <w:rFonts w:ascii="仿宋_GB2312" w:hAnsi="仿宋_GB2312" w:cs="仿宋_GB2312" w:eastAsia="仿宋_GB2312"/>
              </w:rPr>
              <w:t>根据采购内容编制环境评估方案： 编制方案合理、可行性高得11-15分； 编制方案较合理、可行性一般得6-10分； 编制方案一般、可行性差得1-5分。未提供得0分。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根据采购内容编制服务质量保证措施： 服务质量保证措施完整，节点细节详细得7-9分； 服务质量保证措施较完整，节点细节一般得4-6分； 服务质量保证措施较差，节点细节不清晰得1-3分。未提供得0分。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服务周期保证措施</w:t>
            </w:r>
          </w:p>
        </w:tc>
        <w:tc>
          <w:tcPr>
            <w:tcW w:type="dxa" w:w="2492"/>
          </w:tcPr>
          <w:p>
            <w:pPr>
              <w:pStyle w:val="null3"/>
            </w:pPr>
            <w:r>
              <w:rPr>
                <w:rFonts w:ascii="仿宋_GB2312" w:hAnsi="仿宋_GB2312" w:cs="仿宋_GB2312" w:eastAsia="仿宋_GB2312"/>
              </w:rPr>
              <w:t>根据采购内容制定服务周期保证措施： 施服务周期满足磋商文件要求，保证措施完整，节点细节详细得7-9分； 服务周期满足招标文件要求，保证措施较完整，节点细节一般得4-6分； 服务周期满足招标文件要求，保证措施较差，节点细节不清晰得1-3分。未提供得0分。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监测设备</w:t>
            </w:r>
          </w:p>
        </w:tc>
        <w:tc>
          <w:tcPr>
            <w:tcW w:type="dxa" w:w="2492"/>
          </w:tcPr>
          <w:p>
            <w:pPr>
              <w:pStyle w:val="null3"/>
            </w:pPr>
            <w:r>
              <w:rPr>
                <w:rFonts w:ascii="仿宋_GB2312" w:hAnsi="仿宋_GB2312" w:cs="仿宋_GB2312" w:eastAsia="仿宋_GB2312"/>
              </w:rPr>
              <w:t>针对本项目的设备管理制度及相关设备配备情况： 设备管理制度完善，相关设备配备齐全得7-9分； 设备管理制度较完善，相关设备配备基本满足得4-6分； 设备管理制度一般，相关设备配备一般得1-3分。未提供得0分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针对本项目有具体可行的服务承诺 承诺内容可操作性强、细节描述详细、完整优越得5-6； 有相对的操作性、承诺内容良好得3-4分； 描述内容一般的得1-2分；未提供得0分。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1.经资格审查及符合性审查合格的供应商，其磋商总报价为有效报价，以二次（最终）报价为最终评审价格。对符合政策性扣减的有效磋商报价进行政策性扣减，并依据扣减后的价格（评审价格）进行价格评审； 2.有效最低报价为磋商基准价得15分； 3.其他供应商的价格分统一按照下列公式计算：磋商报价得分=（磋商基准价/最后磋商报价）×价格权值×100； 4.磋商报价不完整的，不进入评标标准价的计算，本项得0分； 5.磋商总报价超过采购预算，按无效报价处理。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