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版本号：政采-汉中市-2026-0011020260313001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汉台区黎家河流域生活污水治理项目工程监理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政采-汉中市-2026-00110</w:t>
      </w:r>
      <w:r>
        <w:br/>
      </w:r>
      <w:r>
        <w:br/>
      </w:r>
      <w:r>
        <w:br/>
      </w:r>
    </w:p>
    <w:p>
      <w:pPr>
        <w:pStyle w:val="null3"/>
        <w:jc w:val="center"/>
        <w:outlineLvl w:val="2"/>
      </w:pPr>
      <w:r>
        <w:rPr>
          <w:rFonts w:ascii="仿宋_GB2312" w:hAnsi="仿宋_GB2312" w:cs="仿宋_GB2312" w:eastAsia="仿宋_GB2312"/>
          <w:sz w:val="28"/>
          <w:b/>
        </w:rPr>
        <w:t>汉中市生态环境局汉台分局</w:t>
      </w:r>
    </w:p>
    <w:p>
      <w:pPr>
        <w:pStyle w:val="null3"/>
        <w:jc w:val="center"/>
        <w:outlineLvl w:val="2"/>
      </w:pPr>
      <w:r>
        <w:rPr>
          <w:rFonts w:ascii="仿宋_GB2312" w:hAnsi="仿宋_GB2312" w:cs="仿宋_GB2312" w:eastAsia="仿宋_GB2312"/>
          <w:sz w:val="28"/>
          <w:b/>
        </w:rPr>
        <w:t>河南省恒诚工程管理有限公司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河南省恒诚工程管理有限公司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汉中市生态环境局汉台分局</w:t>
      </w:r>
      <w:r>
        <w:rPr>
          <w:rFonts w:ascii="仿宋_GB2312" w:hAnsi="仿宋_GB2312" w:cs="仿宋_GB2312" w:eastAsia="仿宋_GB2312"/>
        </w:rPr>
        <w:t>委托，拟对</w:t>
      </w:r>
      <w:r>
        <w:rPr>
          <w:rFonts w:ascii="仿宋_GB2312" w:hAnsi="仿宋_GB2312" w:cs="仿宋_GB2312" w:eastAsia="仿宋_GB2312"/>
        </w:rPr>
        <w:t>汉台区黎家河流域生活污水治理项目工程监理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政采-汉中市-2026-00110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汉台区黎家河流域生活污水治理项目工程监理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黎家河流域生活污水治理项目对汉台区七里街道办留马山村、师家坪村，武乡镇肖寨村、毛寨村、王家岭村和老君镇皇塘村、金星村、金光村、金寨村、王家沟村等10个行政村的农村生活污水进行治理。新建集中式污水处理工程17处，污水处理总规模735m3/d，配套建设污水收集管网约20595m，检查井779座。依据施工设计文件、相关建筑规范及法律法规，对工程建设项目进行质量控制，进度控制和资金控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采购包1（汉台区黎家河流域生活污水治理项目工程监理）：属于专门面向中小企业采购。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 自然人应提供身份证明文件；</w:t>
      </w:r>
    </w:p>
    <w:p>
      <w:pPr>
        <w:pStyle w:val="null3"/>
      </w:pPr>
      <w:r>
        <w:rPr>
          <w:rFonts w:ascii="仿宋_GB2312" w:hAnsi="仿宋_GB2312" w:cs="仿宋_GB2312" w:eastAsia="仿宋_GB2312"/>
        </w:rPr>
        <w:t>2、资质要求：供应商须具备建设行政主管部门颁发的工程监理综合资质或市政公用工程监理乙级及以上资质，拟派项目总监须具备建设行政主管部门核发的市政公用工程注册监理工程师执业资格，且未担任其他在监工程项目；供应商基本信息及项目总监的基本信息在“陕西建设网（http://www.shaanxijs.gov.cn/）”可查询，且无不良记录，并登记备案；</w:t>
      </w:r>
    </w:p>
    <w:p>
      <w:pPr>
        <w:pStyle w:val="null3"/>
      </w:pPr>
      <w:r>
        <w:rPr>
          <w:rFonts w:ascii="仿宋_GB2312" w:hAnsi="仿宋_GB2312" w:cs="仿宋_GB2312" w:eastAsia="仿宋_GB2312"/>
        </w:rPr>
        <w:t>3、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4、投标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5、本项目不接受联合体投标。：供应商须提供《非联合体投标书面声明》。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汉中市生态环境局汉台分局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汉台区前进西路与兴元路十字西北角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汉中市生态环境局汉台分局经办岗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0916-2729372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河南省恒诚工程管理有限公司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河南省郑州市中原区河南省郑州高新区技术产业开发区西三环路289号4号楼4单元7层28号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450000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0371-65329639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开户名称：河南省恒诚工程管理有限公司</w:t>
            </w:r>
          </w:p>
          <w:p>
            <w:pPr>
              <w:pStyle w:val="null3"/>
            </w:pPr>
            <w:r>
              <w:rPr>
                <w:rFonts w:ascii="仿宋_GB2312" w:hAnsi="仿宋_GB2312" w:cs="仿宋_GB2312" w:eastAsia="仿宋_GB2312"/>
              </w:rPr>
              <w:t>开户银行：交通银行股份有限公司郑州北环路支行</w:t>
            </w:r>
          </w:p>
          <w:p>
            <w:pPr>
              <w:pStyle w:val="null3"/>
            </w:pPr>
            <w:r>
              <w:rPr>
                <w:rFonts w:ascii="仿宋_GB2312" w:hAnsi="仿宋_GB2312" w:cs="仿宋_GB2312" w:eastAsia="仿宋_GB2312"/>
              </w:rPr>
              <w:t>银行账号：411681999011001260281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代理服务费收费标准：本项目由成交供应商向采购代理机构支付采购代理服务费，采购代理 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汉中市生态环境局汉台分局</w:t>
      </w:r>
      <w:r>
        <w:rPr>
          <w:rFonts w:ascii="仿宋_GB2312" w:hAnsi="仿宋_GB2312" w:cs="仿宋_GB2312" w:eastAsia="仿宋_GB2312"/>
        </w:rPr>
        <w:t>和</w:t>
      </w:r>
      <w:r>
        <w:rPr>
          <w:rFonts w:ascii="仿宋_GB2312" w:hAnsi="仿宋_GB2312" w:cs="仿宋_GB2312" w:eastAsia="仿宋_GB2312"/>
        </w:rPr>
        <w:t>河南省恒诚工程管理有限公司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汉中市生态环境局汉台分局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河南省恒诚工程管理有限公司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汉中市生态环境局汉台分局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河南省恒诚工程管理有限公司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河南省恒诚工程管理有限公司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河南省恒诚工程管理有限公司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河南省恒诚工程管理有限公司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联系人：陶工</w:t>
      </w:r>
    </w:p>
    <w:p>
      <w:pPr>
        <w:pStyle w:val="null3"/>
      </w:pPr>
      <w:r>
        <w:rPr>
          <w:rFonts w:ascii="仿宋_GB2312" w:hAnsi="仿宋_GB2312" w:cs="仿宋_GB2312" w:eastAsia="仿宋_GB2312"/>
        </w:rPr>
        <w:t>联系电话：0371-65329639</w:t>
      </w:r>
    </w:p>
    <w:p>
      <w:pPr>
        <w:pStyle w:val="null3"/>
      </w:pPr>
      <w:r>
        <w:rPr>
          <w:rFonts w:ascii="仿宋_GB2312" w:hAnsi="仿宋_GB2312" w:cs="仿宋_GB2312" w:eastAsia="仿宋_GB2312"/>
        </w:rPr>
        <w:t>地址：河南省郑州市高新技术产业开发区西三环路289号4号楼4单元7层28号</w:t>
      </w:r>
    </w:p>
    <w:p>
      <w:pPr>
        <w:pStyle w:val="null3"/>
      </w:pPr>
      <w:r>
        <w:rPr>
          <w:rFonts w:ascii="仿宋_GB2312" w:hAnsi="仿宋_GB2312" w:cs="仿宋_GB2312" w:eastAsia="仿宋_GB2312"/>
        </w:rPr>
        <w:t>邮编：450001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台区黎家河流域生活污水治理项目对汉台区七里街道办留马山村、师家坪村，武乡镇肖寨村、毛寨村、王家岭村和老君镇皇塘村、金星村、金光村、金寨村、王家沟村等10个行政村的农村生活污水进行治理。新建集中式污水处理工程17处，污水处理总规模735m3/d，配套建设污水收集管网约20595m，检查井779座。依据施工设计文件、相关建筑规范及法律法规，对工程建设项目进行质量控制，进度控制和资金控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469,200.00</w:t>
      </w:r>
    </w:p>
    <w:p>
      <w:pPr>
        <w:pStyle w:val="null3"/>
      </w:pPr>
      <w:r>
        <w:rPr>
          <w:rFonts w:ascii="仿宋_GB2312" w:hAnsi="仿宋_GB2312" w:cs="仿宋_GB2312" w:eastAsia="仿宋_GB2312"/>
        </w:rPr>
        <w:t>采购包最高限价（元）: 469,200.00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汉台区黎家河流域生活污水治理项目 工程监理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469,200.00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标的名称：汉台区黎家河流域生活污水治理项目 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项目名称：汉台区黎家河流域生活污水治理项目工程监理</w:t>
            </w:r>
          </w:p>
          <w:p>
            <w:pPr>
              <w:pStyle w:val="null3"/>
              <w:jc w:val="left"/>
            </w:pPr>
            <w:r>
              <w:rPr>
                <w:rFonts w:ascii="仿宋_GB2312" w:hAnsi="仿宋_GB2312" w:cs="仿宋_GB2312" w:eastAsia="仿宋_GB2312"/>
                <w:sz w:val="21"/>
                <w:color w:val="000000"/>
              </w:rPr>
              <w:t>2、服务内容：对以下项目施工阶段开展监理服务：</w:t>
            </w:r>
            <w:r>
              <w:rPr>
                <w:rFonts w:ascii="仿宋_GB2312" w:hAnsi="仿宋_GB2312" w:cs="仿宋_GB2312" w:eastAsia="仿宋_GB2312"/>
                <w:sz w:val="21"/>
                <w:color w:val="000000"/>
              </w:rPr>
              <w:t>汉台区黎家河流域生活污水治理项目</w:t>
            </w:r>
            <w:r>
              <w:rPr>
                <w:rFonts w:ascii="仿宋_GB2312" w:hAnsi="仿宋_GB2312" w:cs="仿宋_GB2312" w:eastAsia="仿宋_GB2312"/>
                <w:sz w:val="21"/>
                <w:color w:val="000000"/>
              </w:rPr>
              <w:t>对汉台区七里街道办留马山村、师家坪村，武乡镇肖寨村、毛寨村、王家岭村和老君镇皇塘村、金星村、金光村、金寨村、王家沟村等</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个行政村的农村生活污水进行治理。新建集中式污水处理工程</w:t>
            </w:r>
            <w:r>
              <w:rPr>
                <w:rFonts w:ascii="仿宋_GB2312" w:hAnsi="仿宋_GB2312" w:cs="仿宋_GB2312" w:eastAsia="仿宋_GB2312"/>
                <w:sz w:val="21"/>
                <w:color w:val="000000"/>
              </w:rPr>
              <w:t>17</w:t>
            </w:r>
            <w:r>
              <w:rPr>
                <w:rFonts w:ascii="仿宋_GB2312" w:hAnsi="仿宋_GB2312" w:cs="仿宋_GB2312" w:eastAsia="仿宋_GB2312"/>
                <w:sz w:val="21"/>
                <w:color w:val="000000"/>
              </w:rPr>
              <w:t>处，污水处理总规模</w:t>
            </w:r>
            <w:r>
              <w:rPr>
                <w:rFonts w:ascii="仿宋_GB2312" w:hAnsi="仿宋_GB2312" w:cs="仿宋_GB2312" w:eastAsia="仿宋_GB2312"/>
                <w:sz w:val="21"/>
                <w:color w:val="000000"/>
              </w:rPr>
              <w:t>735m3/d</w:t>
            </w:r>
            <w:r>
              <w:rPr>
                <w:rFonts w:ascii="仿宋_GB2312" w:hAnsi="仿宋_GB2312" w:cs="仿宋_GB2312" w:eastAsia="仿宋_GB2312"/>
                <w:sz w:val="21"/>
                <w:color w:val="000000"/>
              </w:rPr>
              <w:t>，配套建设污水收集管网约</w:t>
            </w:r>
            <w:r>
              <w:rPr>
                <w:rFonts w:ascii="仿宋_GB2312" w:hAnsi="仿宋_GB2312" w:cs="仿宋_GB2312" w:eastAsia="仿宋_GB2312"/>
                <w:sz w:val="21"/>
                <w:color w:val="000000"/>
              </w:rPr>
              <w:t>20595m</w:t>
            </w:r>
            <w:r>
              <w:rPr>
                <w:rFonts w:ascii="仿宋_GB2312" w:hAnsi="仿宋_GB2312" w:cs="仿宋_GB2312" w:eastAsia="仿宋_GB2312"/>
                <w:sz w:val="21"/>
                <w:color w:val="000000"/>
              </w:rPr>
              <w:t>，检查井</w:t>
            </w:r>
            <w:r>
              <w:rPr>
                <w:rFonts w:ascii="仿宋_GB2312" w:hAnsi="仿宋_GB2312" w:cs="仿宋_GB2312" w:eastAsia="仿宋_GB2312"/>
                <w:sz w:val="21"/>
                <w:color w:val="000000"/>
              </w:rPr>
              <w:t>779</w:t>
            </w:r>
            <w:r>
              <w:rPr>
                <w:rFonts w:ascii="仿宋_GB2312" w:hAnsi="仿宋_GB2312" w:cs="仿宋_GB2312" w:eastAsia="仿宋_GB2312"/>
                <w:sz w:val="21"/>
                <w:color w:val="000000"/>
              </w:rPr>
              <w:t>座。</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服务要求：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）质量控制：必须严格依照国家有关规定，检查施工单位所施工的项目是否符合预定的质量要求，而且整个监理工作中应强调对工程质量的事前控制、事中监管和事后评估。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）进度控制：在工程实施过程中，监理工程师严格按照招标文件、合同、施工进度计划的要求，对施工进度进行跟进，确保整体施工有序进行。确保工程开、竣工时间进度计划按时完成。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）安全目标：不发生人身安全事故；不发生较大机械设备损坏事故；不发生较大火灾事故；不发生负主要责任的较大交通事故；不发生因工程项目建设而造成的电网停电事故</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不发生重大环境污染事故。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）所有程序必须符合国家相关监理规定和国家工程质量验收合格标准。</w:t>
            </w:r>
          </w:p>
          <w:p>
            <w:pPr>
              <w:pStyle w:val="null3"/>
              <w:jc w:val="left"/>
            </w:pPr>
            <w:r>
              <w:rPr>
                <w:rFonts w:ascii="仿宋_GB2312" w:hAnsi="仿宋_GB2312" w:cs="仿宋_GB2312" w:eastAsia="仿宋_GB2312"/>
                <w:sz w:val="21"/>
                <w:color w:val="000000"/>
              </w:rPr>
              <w:t>4、技术标准：</w:t>
            </w:r>
          </w:p>
          <w:p>
            <w:pPr>
              <w:pStyle w:val="null3"/>
            </w:pPr>
            <w:r>
              <w:rPr>
                <w:rFonts w:ascii="仿宋_GB2312" w:hAnsi="仿宋_GB2312" w:cs="仿宋_GB2312" w:eastAsia="仿宋_GB2312"/>
                <w:sz w:val="21"/>
                <w:color w:val="000000"/>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投标文件、投标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进场后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工程进度达到60%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工程进度达到90%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 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 自然人应提供身份证明文件；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拟派项目总监须具备建设行政主管部门核发的市政公用工程注册监理工程师执业资格，且未担任其他在监工程项目；供应商基本信息及项目总监的基本信息在“陕西建设网（http://www.shaanxijs.gov.cn/）”可查询，且无不良记录，并登记备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供应商须提供《非联合体投标书面声明》。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 制措施；⑨技术重点、难点监理控制措施；⑩监理工作制度；11监理资料的管理及保修阶段的服务工作；12对本项目的合理化建议。 二、评审标准 完整性：内容须全面，对评审内容中的各项要求详细描述；可实施性：切合本项目时间情况，实施步骤清晰、合理； 针对性：内容能够紧扣项目实际情况，科学合理。 三、赋分标准（满分54分）每满足一个评审标准得1.5分，满分4.5分；针对评审标准内容不齐全、存在有不合理处的扣0.5分（12项内容评审标准相同）。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供应商针对本项目特点有明确的组织架构，内容包括：①团队人员配置、组织机构管理制度及方案；②服务团队成员的工作职责及分工。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每满足一个评审标准得3分，满分9分；针对评审标准内容不齐全、存在有不合理处的扣0.5分（2项内容评审标准相同）。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供应商提供（2023年1月至今)已完成业绩，提供1个业绩得 2 分，最多得6分，未提供不得分(注：业绩证明材料为合同或中标(成交)通知书)，以上材料提供齐全为有效业绩，无效业绩不得分。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