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版本号：SXRK-2026-0520260314001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汉中市文化和旅游局微信公众号、官方微博、今日头条号运维技术服务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SXRK-2026-05</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汉中市文化和旅游局微信公众号、官方微博、今日头条号运维技术服务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SXRK-2026-05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汉中市文化和旅游局微信公众号、官方微博、今日头条号运维技术服务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文化和旅游局微信公众号、官方微博、今日头条号是对外宣传展示汉中文化旅游资源的重要平台。本项目需具有专业技术运维能力且充分熟悉、能应对新形势下汉中文旅事业发展的需求，提供为期一年的日常运维管理技术服务，日常需快速、准确、全面发布涉及汉中文化和旅游资讯信息，全方面展示提升汉中文化和旅游对外影响力和知名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采购包1（汉中市文化和旅游局微信公众号、官方微博、今日头条号运维技术服务项目）：属于专门面向小微企业采购。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3、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4、企业关系关联承诺书：提供直接控股和管理关系清单。若与其他供应商存在单位负责人为同一人或者存在直接控股、管理关系的，则响应无效。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5、非联合体投标声明：本项目不接受联合体响应，不允许分包。供应商提供《非联合体不分包投标声明》，视为独立响应，不分包。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地址：陕西省汉中市汉台区五一路红叶酒店后院012基地办公楼211室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文化和旅游局微信公众号、官方微博、今日头条号是对外宣传展示汉中文化旅游资源的重要平台。本项目需具有专业技术运维能力且充分熟悉、能应对新形势下汉中文旅事业发展的需求，提供为期一年的日常运维管理技术服务，日常需快速、准确、全面发布涉及汉中文化和旅游资讯信息，全方面展示提升汉中文化和旅游对外影响力和知名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汉中市文化和旅游局微信公众号及官方微博和今日头条号运维技术服务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标的名称：汉中市文化和旅游局微信公众号及官方微博和今日头条号运维技术服务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21"/>
              </w:rPr>
              <w:t>（1）以满足市民游客旅游公共服务信息需求为目标，按照信息推送+底栏管理+原创文章发布等服务模式，做好汉中市文旅局官方微信、微博、今日头条号的日常运维技术服务和安全监管。不断提高汉中市文旅局官方微信、微博、今日头条等平台的用户粘性、活跃度和忠诚度，不断扩大汉中文旅的传播力与影响力。</w:t>
            </w:r>
          </w:p>
          <w:p>
            <w:pPr>
              <w:pStyle w:val="null3"/>
            </w:pPr>
            <w:r>
              <w:rPr>
                <w:rFonts w:ascii="仿宋_GB2312" w:hAnsi="仿宋_GB2312" w:cs="仿宋_GB2312" w:eastAsia="仿宋_GB2312"/>
                <w:sz w:val="21"/>
              </w:rPr>
              <w:t xml:space="preserve">  （2）保障微信、微博、今日头条号等网络平台不出现严重表述错误，不泄露重要信息，不发布或链接暴力、色情等不良信息, 不刊登商业广告或链接商业广告，不因发布内容不当引发负面评价。</w:t>
            </w:r>
          </w:p>
          <w:p>
            <w:pPr>
              <w:pStyle w:val="null3"/>
            </w:pPr>
            <w:r>
              <w:rPr>
                <w:rFonts w:ascii="仿宋_GB2312" w:hAnsi="仿宋_GB2312" w:cs="仿宋_GB2312" w:eastAsia="仿宋_GB2312"/>
                <w:sz w:val="21"/>
              </w:rPr>
              <w:t>（3）官方微信“汉中市旅游”每天发布图文不少于3篇，原创图文每周不少于1篇，全年图文阅读量不少于200万次，全年无重大负面事件发生。</w:t>
            </w:r>
          </w:p>
          <w:p>
            <w:pPr>
              <w:pStyle w:val="null3"/>
            </w:pPr>
            <w:r>
              <w:rPr>
                <w:rFonts w:ascii="仿宋_GB2312" w:hAnsi="仿宋_GB2312" w:cs="仿宋_GB2312" w:eastAsia="仿宋_GB2312"/>
                <w:sz w:val="21"/>
              </w:rPr>
              <w:t>（4）官方微博“汉中市文化和旅游局”每天发布博文数量不少于8条，全年阅读量不少于4000万次，全年无重大负面事件发生。</w:t>
            </w:r>
          </w:p>
          <w:p>
            <w:pPr>
              <w:pStyle w:val="null3"/>
            </w:pPr>
            <w:r>
              <w:rPr>
                <w:rFonts w:ascii="仿宋_GB2312" w:hAnsi="仿宋_GB2312" w:cs="仿宋_GB2312" w:eastAsia="仿宋_GB2312"/>
                <w:sz w:val="21"/>
              </w:rPr>
              <w:t>（5）今日头条号“汉中旅游”每日更新发布不少于3条优质文旅信息，全年无重大负面事件发生。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全年运维结束，经甲方验收后</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甲乙双方合同中自行约定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就服务内容编写服务方案：需提供整体详细、合理、可行的推广服务方案，包括但不限于（整体推广策略、媒体形式和展示效果等）能充分体现工作效率及工作效果，方案合理且科学，根据其响应程度进行综合评审。 1、整体服务方案详细、合理、可行性强得20分；2、整体服务方案详细、合理、可行性一般得14分； 3、整体服务方案详细、合理、可行性差得7分；4、未提供不得分。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1、服务期限满足磋商文件要求，保障体系完整，节点细节详细得15分；2、服务期限满足磋商文件要求，保障体系较完整，节点细节一般得10分；3、服务期限满足磋商文件要求，保障体系较差，节点细节不清晰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p>
            <w:pPr>
              <w:pStyle w:val="null3"/>
            </w:pPr>
            <w:r>
              <w:rPr>
                <w:rFonts w:ascii="仿宋_GB2312" w:hAnsi="仿宋_GB2312" w:cs="仿宋_GB2312" w:eastAsia="仿宋_GB2312"/>
              </w:rPr>
              <w:t>技术服务偏差表.docx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针对本项目重点难点等关键工作的分析及应急方案：1、应急方案合理、可行性高得15分；2、应急方案较合理、可行性一般得10分；3、应急方案一般、可行性差得5分。4、未提供不得分。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p>
            <w:pPr>
              <w:pStyle w:val="null3"/>
            </w:pPr>
            <w:r>
              <w:rPr>
                <w:rFonts w:ascii="仿宋_GB2312" w:hAnsi="仿宋_GB2312" w:cs="仿宋_GB2312" w:eastAsia="仿宋_GB2312"/>
              </w:rPr>
              <w:t>技术服务偏差表.docx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服务质量保证措施：1、服务质量保障体系完整，节点细节详细得10分；2、服务质量保障体系较完整，节点细节一般得7分；3、服务质量保障体系较差，节点细节不清晰得4分。4、未提供不得分。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p>
            <w:pPr>
              <w:pStyle w:val="null3"/>
            </w:pPr>
            <w:r>
              <w:rPr>
                <w:rFonts w:ascii="仿宋_GB2312" w:hAnsi="仿宋_GB2312" w:cs="仿宋_GB2312" w:eastAsia="仿宋_GB2312"/>
              </w:rPr>
              <w:t>技术服务偏差表.docx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依据对本项目的理解，切合项目实际情况，为采购人提供有利于项目实施的合理化建议，按其内容综合评审。 1、合理化建议内容完整全面、详尽合理、具备较强的可操作性，得10分； 2、合理化建议内容条款有针对性，但表述简单，可操作性欠缺的得7分； 3、合理化建议空泛，不具备项目针对性、表述不合理的得4分。4、未提供不得分。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p>
            <w:pPr>
              <w:pStyle w:val="null3"/>
            </w:pPr>
            <w:r>
              <w:rPr>
                <w:rFonts w:ascii="仿宋_GB2312" w:hAnsi="仿宋_GB2312" w:cs="仿宋_GB2312" w:eastAsia="仿宋_GB2312"/>
              </w:rPr>
              <w:t>技术服务偏差表.docx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综合实力：供应商提供企业管理能力、经营状况、信誉荣誉证书、人员素质学历等体现企业综合实力的相关说明。 1、管理能力完善，经营状况良好，企业行业信誉良好的计6分； 2、内容有缺项或说明资料不充分、组织管理及经营状况行业信誉等综合实力一般计4分；3、内容有欠缺或综合实力较差的计2分；4、未提供不得分。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p>
            <w:pPr>
              <w:pStyle w:val="null3"/>
            </w:pPr>
            <w:r>
              <w:rPr>
                <w:rFonts w:ascii="仿宋_GB2312" w:hAnsi="仿宋_GB2312" w:cs="仿宋_GB2312" w:eastAsia="仿宋_GB2312"/>
              </w:rPr>
              <w:t>技术服务偏差表.docx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针对本项目的人员管理制度及相关技术人员配备情况：1、人员管理制度完善，相关技术人员配备齐全得10分；2、人员管理制度较完善，相关技术人员配备基本满足得7分；3、人员管理制度一般，相关技术人员配备一般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类似业绩：供应商须提供2023年03月至今已完成的类似项目业绩，每提供一项得2分，最多得4分。 审查标准：以响应文件中所附业绩合同或中标通知书复印件或扫描件加盖公章为准。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 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详见附件：服务响应方案.docx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