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版本号：TZZB-HZ-2026042C20260402001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勉西精神病医院急诊科病房提升改造项目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TZZB-HZ-2026042C</w:t>
      </w:r>
      <w:r>
        <w:br/>
      </w:r>
      <w:r>
        <w:br/>
      </w:r>
      <w:r>
        <w:br/>
      </w:r>
    </w:p>
    <w:p>
      <w:pPr>
        <w:pStyle w:val="null3"/>
        <w:jc w:val="center"/>
        <w:outlineLvl w:val="2"/>
      </w:pPr>
      <w:r>
        <w:rPr>
          <w:rFonts w:ascii="仿宋_GB2312" w:hAnsi="仿宋_GB2312" w:cs="仿宋_GB2312" w:eastAsia="仿宋_GB2312"/>
          <w:sz w:val="28"/>
          <w:b/>
        </w:rPr>
        <w:t>汉中市铁路中心医院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汉中市铁路中心医院</w:t>
      </w:r>
      <w:r>
        <w:rPr>
          <w:rFonts w:ascii="仿宋_GB2312" w:hAnsi="仿宋_GB2312" w:cs="仿宋_GB2312" w:eastAsia="仿宋_GB2312"/>
        </w:rPr>
        <w:t>委托，拟对</w:t>
      </w:r>
      <w:r>
        <w:rPr>
          <w:rFonts w:ascii="仿宋_GB2312" w:hAnsi="仿宋_GB2312" w:cs="仿宋_GB2312" w:eastAsia="仿宋_GB2312"/>
        </w:rPr>
        <w:t>勉西精神病医院急诊科病房提升改造项目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TZZB-HZ-2026042C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勉西精神病医院急诊科病房提升改造项目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该项目改造总面积为1363.81㎡，共两层，主要改造内容有：1、建筑公共区域（楼梯间、走廊、墙面、楼梯扶手）的改造。 2、更换外门窗及外立面翻新 。3、一、二层各房间内翻修：地面、墙面、灯具、窗户、门、卫生间重新布局、洗漱间新增做柜子等； 4、所有照明灯具插座及开关按原来位置换新； 5、所有室内给排水管道及五金换新； 6、增加相应消防设施（室内消防栓、防火门、应急灯等）。7、改造无障碍基础设施等。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采购包1（勉西精神病医院急诊科病房提升改造项目）：属于专门面向中小企业采购。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材料应清晰可辨并进行电子签章）</w:t>
      </w:r>
    </w:p>
    <w:p>
      <w:pPr>
        <w:pStyle w:val="null3"/>
      </w:pPr>
      <w:r>
        <w:rPr>
          <w:rFonts w:ascii="仿宋_GB2312" w:hAnsi="仿宋_GB2312" w:cs="仿宋_GB2312" w:eastAsia="仿宋_GB2312"/>
        </w:rPr>
        <w:t>2、授权代表身份证明：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p>
      <w:pPr>
        <w:pStyle w:val="null3"/>
      </w:pPr>
      <w:r>
        <w:rPr>
          <w:rFonts w:ascii="仿宋_GB2312" w:hAnsi="仿宋_GB2312" w:cs="仿宋_GB2312" w:eastAsia="仿宋_GB2312"/>
        </w:rPr>
        <w:t>3、汉中市政府采购供应商资格承诺函：供应商须提供《汉中市政府采购供应商资格承诺函》；（材料应清晰可辨并进行电子签章）</w:t>
      </w:r>
    </w:p>
    <w:p>
      <w:pPr>
        <w:pStyle w:val="null3"/>
      </w:pPr>
      <w:r>
        <w:rPr>
          <w:rFonts w:ascii="仿宋_GB2312" w:hAnsi="仿宋_GB2312" w:cs="仿宋_GB2312" w:eastAsia="仿宋_GB2312"/>
        </w:rPr>
        <w:t>4、企业资质要求：供应商需具备建设行政主管部门核发的建筑装修装饰工程专业承包二级及以上、消防设施工程专业承包二级及以上资质，或建筑工程施工总承包三级及以上资质，并持有有效的安全生产许可证。（材料应清晰可辨并进行电子签章）</w:t>
      </w:r>
    </w:p>
    <w:p>
      <w:pPr>
        <w:pStyle w:val="null3"/>
      </w:pPr>
      <w:r>
        <w:rPr>
          <w:rFonts w:ascii="仿宋_GB2312" w:hAnsi="仿宋_GB2312" w:cs="仿宋_GB2312" w:eastAsia="仿宋_GB2312"/>
        </w:rPr>
        <w:t>5、项目经理资质要求：拟派项目经理须具备建筑工程专业二级及以上注册建造师资格，并具有行业主管部门核发的安全生产考核合格B证，且无在建项目(出具无在建承诺书）;（材料应清晰可辨并进行电子签章）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汉中市铁路中心医院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汉中市汉台区石马路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谢晓东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15877363700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汉中市汉台区西一环路蓝天御苑小区商铺二层门面房南侧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0916-8897702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焦老师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采购包1：1,334,747.07元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连体坐便器、2*18w 双管荧光灯</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面砖200*400、墙面釉面砖、防滑釉面砖600×600、冰火板装饰板（尺寸8mm厚1220mm宽）、成品木门（子母门带观察窗）、双扇套装子母对开实木门(子母门）、钢质防火门、塑钢平开门、高彩色釉面砖、真石漆、防水涂料JS、防霉涂料、预拌混凝土C20、PVC-U排水管 De110、PVC-U排水管 De75、PVC-U排水管 DE50、PP-R DN20、PP-R DN25、PP-R DN32、PP-R DN40、PP-R DN50、PP-R DN63、连体坐便器、2*18w 双管荧光灯</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计取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 2.采购代理服务费以转账形式缴纳至以下账户： 缴纳账户户名：同正项目管理有限公司汉中分公司； 开户行：中国建设银行股份有限公司汉中北环路支行； 账号：6105 0165 5200 0000 0101 ； 汇款备注：项目名称。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汉中市铁路中心医院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汉中市铁路中心医院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汉中市铁路中心医院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联系人：王丽</w:t>
      </w:r>
    </w:p>
    <w:p>
      <w:pPr>
        <w:pStyle w:val="null3"/>
      </w:pPr>
      <w:r>
        <w:rPr>
          <w:rFonts w:ascii="仿宋_GB2312" w:hAnsi="仿宋_GB2312" w:cs="仿宋_GB2312" w:eastAsia="仿宋_GB2312"/>
        </w:rPr>
        <w:t>联系电话：0916-8897702</w:t>
      </w:r>
    </w:p>
    <w:p>
      <w:pPr>
        <w:pStyle w:val="null3"/>
      </w:pPr>
      <w:r>
        <w:rPr>
          <w:rFonts w:ascii="仿宋_GB2312" w:hAnsi="仿宋_GB2312" w:cs="仿宋_GB2312" w:eastAsia="仿宋_GB2312"/>
        </w:rPr>
        <w:t>地址：汉中市汉台区西一环路蓝天御苑小区商铺二层门面房南侧</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1,334,747.07</w:t>
      </w:r>
    </w:p>
    <w:p>
      <w:pPr>
        <w:pStyle w:val="null3"/>
      </w:pPr>
      <w:r>
        <w:rPr>
          <w:rFonts w:ascii="仿宋_GB2312" w:hAnsi="仿宋_GB2312" w:cs="仿宋_GB2312" w:eastAsia="仿宋_GB2312"/>
        </w:rPr>
        <w:t>采购包最高限价（元）: 1,334,747.07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勉西精神病医院急诊科病房改造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1,334,747.07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标的名称：勉西精神病医院急诊科病房改造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rPr>
              <w:t>工程概况：</w:t>
            </w:r>
            <w:r>
              <w:rPr>
                <w:rFonts w:ascii="仿宋_GB2312" w:hAnsi="仿宋_GB2312" w:cs="仿宋_GB2312" w:eastAsia="仿宋_GB2312"/>
                <w:sz w:val="21"/>
              </w:rPr>
              <w:t>该项目改造总面积为</w:t>
            </w:r>
            <w:r>
              <w:rPr>
                <w:rFonts w:ascii="仿宋_GB2312" w:hAnsi="仿宋_GB2312" w:cs="仿宋_GB2312" w:eastAsia="仿宋_GB2312"/>
                <w:sz w:val="21"/>
              </w:rPr>
              <w:t>1363.81㎡，共两层，主要改造内容有：1、建筑公共区域（楼梯间、走廊、墙面、楼梯扶手）的改造。 2、更换外门窗及外立面翻新 。3、一、二层各房间内翻修：地面、墙面、灯具、窗户、门、卫生间重新布局、洗漱间新增做柜子等； 4、所有照明灯具插座及开关按原来位置换新； 5、所有室内给排水管道及五金换新； 6、增加相应消防设施（室内消防栓、防火门、应急灯等）。7、改造无障碍基础设施等</w:t>
            </w:r>
            <w:r>
              <w:rPr>
                <w:rFonts w:ascii="仿宋_GB2312" w:hAnsi="仿宋_GB2312" w:cs="仿宋_GB2312" w:eastAsia="仿宋_GB2312"/>
                <w:sz w:val="21"/>
              </w:rPr>
              <w:t>。（具体详见本项目</w:t>
            </w:r>
            <w:r>
              <w:rPr>
                <w:rFonts w:ascii="仿宋_GB2312" w:hAnsi="仿宋_GB2312" w:cs="仿宋_GB2312" w:eastAsia="仿宋_GB2312"/>
                <w:sz w:val="21"/>
              </w:rPr>
              <w:t>施工图纸及</w:t>
            </w:r>
            <w:r>
              <w:rPr>
                <w:rFonts w:ascii="仿宋_GB2312" w:hAnsi="仿宋_GB2312" w:cs="仿宋_GB2312" w:eastAsia="仿宋_GB2312"/>
                <w:sz w:val="21"/>
              </w:rPr>
              <w:t>工程量清单）</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19"/>
              </w:rPr>
              <w:t>1</w:t>
            </w:r>
            <w:r>
              <w:rPr>
                <w:rFonts w:ascii="仿宋_GB2312" w:hAnsi="仿宋_GB2312" w:cs="仿宋_GB2312" w:eastAsia="仿宋_GB2312"/>
                <w:sz w:val="19"/>
              </w:rPr>
              <w:t>、《陕西省</w:t>
            </w:r>
            <w:r>
              <w:rPr>
                <w:rFonts w:ascii="仿宋_GB2312" w:hAnsi="仿宋_GB2312" w:cs="仿宋_GB2312" w:eastAsia="仿宋_GB2312"/>
                <w:sz w:val="19"/>
              </w:rPr>
              <w:t>建设工程工程量清单计价计算标准（</w:t>
            </w:r>
            <w:r>
              <w:rPr>
                <w:rFonts w:ascii="仿宋_GB2312" w:hAnsi="仿宋_GB2312" w:cs="仿宋_GB2312" w:eastAsia="仿宋_GB2312"/>
                <w:sz w:val="19"/>
              </w:rPr>
              <w:t>2025）</w:t>
            </w:r>
            <w:r>
              <w:rPr>
                <w:rFonts w:ascii="仿宋_GB2312" w:hAnsi="仿宋_GB2312" w:cs="仿宋_GB2312" w:eastAsia="仿宋_GB2312"/>
                <w:sz w:val="19"/>
              </w:rPr>
              <w:t>》、《陕西省</w:t>
            </w:r>
            <w:r>
              <w:rPr>
                <w:rFonts w:ascii="仿宋_GB2312" w:hAnsi="仿宋_GB2312" w:cs="仿宋_GB2312" w:eastAsia="仿宋_GB2312"/>
                <w:sz w:val="19"/>
              </w:rPr>
              <w:t>房屋建筑与装饰工程基价表（</w:t>
            </w:r>
            <w:r>
              <w:rPr>
                <w:rFonts w:ascii="仿宋_GB2312" w:hAnsi="仿宋_GB2312" w:cs="仿宋_GB2312" w:eastAsia="仿宋_GB2312"/>
                <w:sz w:val="19"/>
              </w:rPr>
              <w:t>2025）</w:t>
            </w:r>
            <w:r>
              <w:rPr>
                <w:rFonts w:ascii="仿宋_GB2312" w:hAnsi="仿宋_GB2312" w:cs="仿宋_GB2312" w:eastAsia="仿宋_GB2312"/>
                <w:sz w:val="19"/>
              </w:rPr>
              <w:t>》、《陕西省</w:t>
            </w:r>
            <w:r>
              <w:rPr>
                <w:rFonts w:ascii="仿宋_GB2312" w:hAnsi="仿宋_GB2312" w:cs="仿宋_GB2312" w:eastAsia="仿宋_GB2312"/>
                <w:sz w:val="19"/>
              </w:rPr>
              <w:t>通用安装工程基价表（</w:t>
            </w:r>
            <w:r>
              <w:rPr>
                <w:rFonts w:ascii="仿宋_GB2312" w:hAnsi="仿宋_GB2312" w:cs="仿宋_GB2312" w:eastAsia="仿宋_GB2312"/>
                <w:sz w:val="19"/>
              </w:rPr>
              <w:t>2025</w:t>
            </w:r>
            <w:r>
              <w:rPr>
                <w:rFonts w:ascii="仿宋_GB2312" w:hAnsi="仿宋_GB2312" w:cs="仿宋_GB2312" w:eastAsia="仿宋_GB2312"/>
                <w:sz w:val="19"/>
              </w:rPr>
              <w:t>》、《陕西省</w:t>
            </w:r>
            <w:r>
              <w:rPr>
                <w:rFonts w:ascii="仿宋_GB2312" w:hAnsi="仿宋_GB2312" w:cs="仿宋_GB2312" w:eastAsia="仿宋_GB2312"/>
                <w:sz w:val="19"/>
              </w:rPr>
              <w:t>建设工程工程量清单计价计算标准（</w:t>
            </w:r>
            <w:r>
              <w:rPr>
                <w:rFonts w:ascii="仿宋_GB2312" w:hAnsi="仿宋_GB2312" w:cs="仿宋_GB2312" w:eastAsia="仿宋_GB2312"/>
                <w:sz w:val="19"/>
              </w:rPr>
              <w:t>2025）</w:t>
            </w:r>
            <w:r>
              <w:rPr>
                <w:rFonts w:ascii="仿宋_GB2312" w:hAnsi="仿宋_GB2312" w:cs="仿宋_GB2312" w:eastAsia="仿宋_GB2312"/>
                <w:sz w:val="19"/>
              </w:rPr>
              <w:t>》等及相关取费文件；</w:t>
            </w:r>
          </w:p>
          <w:p>
            <w:pPr>
              <w:pStyle w:val="null3"/>
            </w:pPr>
            <w:r>
              <w:rPr>
                <w:rFonts w:ascii="仿宋_GB2312" w:hAnsi="仿宋_GB2312" w:cs="仿宋_GB2312" w:eastAsia="仿宋_GB2312"/>
                <w:sz w:val="19"/>
              </w:rPr>
              <w:t>2</w:t>
            </w:r>
            <w:r>
              <w:rPr>
                <w:rFonts w:ascii="仿宋_GB2312" w:hAnsi="仿宋_GB2312" w:cs="仿宋_GB2312" w:eastAsia="仿宋_GB2312"/>
                <w:sz w:val="19"/>
              </w:rPr>
              <w:t>、陕建</w:t>
            </w:r>
            <w:r>
              <w:rPr>
                <w:rFonts w:ascii="仿宋_GB2312" w:hAnsi="仿宋_GB2312" w:cs="仿宋_GB2312" w:eastAsia="仿宋_GB2312"/>
                <w:sz w:val="19"/>
              </w:rPr>
              <w:t>管</w:t>
            </w:r>
            <w:r>
              <w:rPr>
                <w:rFonts w:ascii="仿宋_GB2312" w:hAnsi="仿宋_GB2312" w:cs="仿宋_GB2312" w:eastAsia="仿宋_GB2312"/>
                <w:sz w:val="19"/>
              </w:rPr>
              <w:t>发〔</w:t>
            </w:r>
            <w:r>
              <w:rPr>
                <w:rFonts w:ascii="仿宋_GB2312" w:hAnsi="仿宋_GB2312" w:cs="仿宋_GB2312" w:eastAsia="仿宋_GB2312"/>
                <w:sz w:val="19"/>
              </w:rPr>
              <w:t>20</w:t>
            </w:r>
            <w:r>
              <w:rPr>
                <w:rFonts w:ascii="仿宋_GB2312" w:hAnsi="仿宋_GB2312" w:cs="仿宋_GB2312" w:eastAsia="仿宋_GB2312"/>
                <w:sz w:val="19"/>
              </w:rPr>
              <w:t>25</w:t>
            </w:r>
            <w:r>
              <w:rPr>
                <w:rFonts w:ascii="仿宋_GB2312" w:hAnsi="仿宋_GB2312" w:cs="仿宋_GB2312" w:eastAsia="仿宋_GB2312"/>
                <w:sz w:val="19"/>
              </w:rPr>
              <w:t>〕</w:t>
            </w:r>
            <w:r>
              <w:rPr>
                <w:rFonts w:ascii="仿宋_GB2312" w:hAnsi="仿宋_GB2312" w:cs="仿宋_GB2312" w:eastAsia="仿宋_GB2312"/>
                <w:sz w:val="19"/>
              </w:rPr>
              <w:t>10</w:t>
            </w:r>
            <w:r>
              <w:rPr>
                <w:rFonts w:ascii="仿宋_GB2312" w:hAnsi="仿宋_GB2312" w:cs="仿宋_GB2312" w:eastAsia="仿宋_GB2312"/>
                <w:sz w:val="19"/>
              </w:rPr>
              <w:t>号陕西省住房和城乡建设厅</w:t>
            </w:r>
            <w:r>
              <w:rPr>
                <w:rFonts w:ascii="仿宋_GB2312" w:hAnsi="仿宋_GB2312" w:cs="仿宋_GB2312" w:eastAsia="仿宋_GB2312"/>
                <w:sz w:val="19"/>
              </w:rPr>
              <w:t>《</w:t>
            </w:r>
            <w:r>
              <w:rPr>
                <w:rFonts w:ascii="仿宋_GB2312" w:hAnsi="仿宋_GB2312" w:cs="仿宋_GB2312" w:eastAsia="仿宋_GB2312"/>
                <w:sz w:val="19"/>
              </w:rPr>
              <w:t>关于</w:t>
            </w:r>
            <w:r>
              <w:rPr>
                <w:rFonts w:ascii="仿宋_GB2312" w:hAnsi="仿宋_GB2312" w:cs="仿宋_GB2312" w:eastAsia="仿宋_GB2312"/>
                <w:sz w:val="19"/>
              </w:rPr>
              <w:t>印发</w:t>
            </w:r>
            <w:r>
              <w:rPr>
                <w:rFonts w:ascii="仿宋_GB2312" w:hAnsi="仿宋_GB2312" w:cs="仿宋_GB2312" w:eastAsia="仿宋_GB2312"/>
                <w:sz w:val="19"/>
              </w:rPr>
              <w:t>2025陕西省建设工程费用规则等计价依据的通知》</w:t>
            </w:r>
            <w:r>
              <w:rPr>
                <w:rFonts w:ascii="仿宋_GB2312" w:hAnsi="仿宋_GB2312" w:cs="仿宋_GB2312" w:eastAsia="仿宋_GB2312"/>
                <w:sz w:val="19"/>
              </w:rPr>
              <w:t>；</w:t>
            </w:r>
          </w:p>
          <w:p>
            <w:pPr>
              <w:pStyle w:val="null3"/>
            </w:pPr>
            <w:r>
              <w:rPr>
                <w:rFonts w:ascii="仿宋_GB2312" w:hAnsi="仿宋_GB2312" w:cs="仿宋_GB2312" w:eastAsia="仿宋_GB2312"/>
                <w:sz w:val="19"/>
              </w:rPr>
              <w:t>3、陕建发</w:t>
            </w:r>
            <w:r>
              <w:rPr>
                <w:rFonts w:ascii="仿宋_GB2312" w:hAnsi="仿宋_GB2312" w:cs="仿宋_GB2312" w:eastAsia="仿宋_GB2312"/>
                <w:sz w:val="19"/>
              </w:rPr>
              <w:t>〔</w:t>
            </w:r>
            <w:r>
              <w:rPr>
                <w:rFonts w:ascii="仿宋_GB2312" w:hAnsi="仿宋_GB2312" w:cs="仿宋_GB2312" w:eastAsia="仿宋_GB2312"/>
                <w:sz w:val="19"/>
              </w:rPr>
              <w:t>2019</w:t>
            </w:r>
            <w:r>
              <w:rPr>
                <w:rFonts w:ascii="仿宋_GB2312" w:hAnsi="仿宋_GB2312" w:cs="仿宋_GB2312" w:eastAsia="仿宋_GB2312"/>
                <w:sz w:val="19"/>
              </w:rPr>
              <w:t>〕</w:t>
            </w:r>
            <w:r>
              <w:rPr>
                <w:rFonts w:ascii="仿宋_GB2312" w:hAnsi="仿宋_GB2312" w:cs="仿宋_GB2312" w:eastAsia="仿宋_GB2312"/>
                <w:sz w:val="19"/>
              </w:rPr>
              <w:t>1246</w:t>
            </w:r>
            <w:r>
              <w:rPr>
                <w:rFonts w:ascii="仿宋_GB2312" w:hAnsi="仿宋_GB2312" w:cs="仿宋_GB2312" w:eastAsia="仿宋_GB2312"/>
                <w:sz w:val="19"/>
              </w:rPr>
              <w:t>号陕西省住房和城乡建设厅</w:t>
            </w:r>
            <w:r>
              <w:rPr>
                <w:rFonts w:ascii="仿宋_GB2312" w:hAnsi="仿宋_GB2312" w:cs="仿宋_GB2312" w:eastAsia="仿宋_GB2312"/>
                <w:sz w:val="19"/>
              </w:rPr>
              <w:t>《</w:t>
            </w:r>
            <w:r>
              <w:rPr>
                <w:rFonts w:ascii="仿宋_GB2312" w:hAnsi="仿宋_GB2312" w:cs="仿宋_GB2312" w:eastAsia="仿宋_GB2312"/>
                <w:sz w:val="19"/>
              </w:rPr>
              <w:t>关于</w:t>
            </w:r>
            <w:r>
              <w:rPr>
                <w:rFonts w:ascii="仿宋_GB2312" w:hAnsi="仿宋_GB2312" w:cs="仿宋_GB2312" w:eastAsia="仿宋_GB2312"/>
                <w:sz w:val="19"/>
              </w:rPr>
              <w:t>我省落实建筑工人实名制管理计价依据的通知》；</w:t>
            </w:r>
          </w:p>
          <w:p>
            <w:pPr>
              <w:pStyle w:val="null3"/>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参照</w:t>
            </w:r>
            <w:r>
              <w:rPr>
                <w:rFonts w:ascii="仿宋_GB2312" w:hAnsi="仿宋_GB2312" w:cs="仿宋_GB2312" w:eastAsia="仿宋_GB2312"/>
                <w:sz w:val="19"/>
              </w:rPr>
              <w:t>2025年12月《汉中建设工程造价信息》勉县材料价格工程材料价格信息表中提供的价格进入预算</w:t>
            </w:r>
            <w:r>
              <w:rPr>
                <w:rFonts w:ascii="仿宋_GB2312" w:hAnsi="仿宋_GB2312" w:cs="仿宋_GB2312" w:eastAsia="仿宋_GB2312"/>
                <w:sz w:val="19"/>
              </w:rPr>
              <w:t>。</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商务要求（本项为实质性响应要求，不得负偏离） 1.工期：60天 ；2.质量要求：符合国家现行有关施工质量验收规范“合格”要求； 3.缺陷责任期：2年 ；4.质量保修期：执行国家规定的建筑工程保修期限（装饰工程 2 年、防水工程 5 年、水电消防工程 2 年） ； 5.合同支付约定： 5.1付款条件说明： 合同签订生效后，乙方应向甲方提交合同总金额40%的预付款保函，并向甲方开具等额合法有效发票，甲方在收到预付款保函及等额发票后，达到付款条件之日起10 日内，向乙方支付合同总金额的40.00%； 5.2付款条件说明： 在工程施工完成进度的70%，乙方开具等额合法有效发票后 ，达到付款条件起 10 日内，支付合同总金额的 30.00%； 5.3付款条件说明：项目竣工验收合格、竣工结算完成，乙方开具等额合法有效发票后，达到付款条件起 10 日内，支付合同总金额27%（累计支付至 97%）； 5.4付款条件说明：缺陷责任期满、无质量缺陷，乙方开具等额合法有效发票后，达到付款条件起 10 日内，无息支付合同总金额3%。 6.施工要求： 6.1遵守国家相关法律、法规，遵守国家相关技术规范； 6.2所选材料必须保证质量可靠、渠道正常，符合国家节能环保等相关标准，满足施工要求； 6.3工程质量符合国家有关规范，确保达到合格； 6.4遵守有关施工规范和安全操作规程，采取有效的安全保障措施，确保施工安全，包括悬挂警示标牌、装设围栏、配备安全人员等，并承担事故的全部费用和责任； 6.5施工单位必须服从当地对治安、卫生、环保、社会保险等工程建设的统一管理，并按有关规定交纳费用以及因违反相关规定而造成的罚款； 6.6爱护采购方设施设备，不能为施工方便未经采购单位书面同意损坏采购方设施设备； 6.7成交供应商自行办理垃圾清理手续，遵守当地政府垃圾分类处理有关规定，承担自行处置不当导致的全部费用和责任； 6.8在施工期间，成交供应商必须注意院内人员安全，加强安全措施，并对施工人员进行安全教育，施工人员必须持证上岗； 7.质量验收标准和范围： 7.1执行标准：本项目施工及验收严格遵循《建筑装饰装修工程质量验收标准》（GB 50210）、《建筑给水排水及采暖工程施工质量验收规范》（GB 50242）、《建筑电气工程施工质量验收规范》（GB 50303）、《消防给水及消火栓系统技术规范》（GB 50974）、汉住建发〔2024〕88 号文及医疗建筑相关规范。7.2国家现行有关法律、法规、环保和技术指标； 7.3本项目施工合同； 7.4有关政府部门的规定； 7.5双方约定的其他验收标准；7.6图纸及工程量清单范围。8.项目检验与验收： 8.1成交供应商向采购人提交项目实施过程中的所有资料。 8.2验收须以合同、磋商文件及响应文件、澄清、及国家相应的标准、规范等为依据； 9.合同的变更、中止、终止： 合同一经签订，不得擅自变更、中止或者终止合同。对确需变更、调整或者中止、终止合同的，由双方协商解决；10.合同争议的解决： 合同在履行过程中发生的争议，当事人双方应协商解决，协商达不成一致时，可向采购方所在地仲裁委员会申请仲裁或者向人民法院提请诉讼。 11.违约责任： 11.1按《中华人民共和国政府采购法》《中华人民共和国民法典》中的相关条款执行。 11.2未按要求提供材料、质量、节能环保标准不能满足技术要求的，施工方必须无条件更换，否则采购单位有权终止合同，并对施工方的违约行为报监管机构进行相应的处罚。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1.特别注意:为顺利推进政府采购电子化交易平台应用工作，供应商需要在线提交所有通过电子化交易平台实施的政府采购项目的磋商响应文件。 2.成交供应商在采购结果发布后3个工作日内向代理机构提交纸质版响应文件（可以使用签章文件直接打印）以便于存档，响应文件正本1份，副本2份，电子版文件2份（以U盘为载体，格式PDF）。纸质响应文件均须A4纸打印。线下递交响应文件地点：汉中市汉台区西一环路蓝天御苑小区商铺二层门面房南侧。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需具备建设行政主管部门核发的建筑装修装饰工程专业承包二级及以上、消防设施工程专业承包二级及以上资质，或建筑工程施工总承包三级及以上资质，并持有有效的安全生产许可证。（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项目经理资质要求</w:t>
            </w:r>
          </w:p>
        </w:tc>
        <w:tc>
          <w:tcPr>
            <w:tcW w:type="dxa" w:w="3322"/>
          </w:tcPr>
          <w:p>
            <w:pPr>
              <w:pStyle w:val="null3"/>
            </w:pPr>
            <w:r>
              <w:rPr>
                <w:rFonts w:ascii="仿宋_GB2312" w:hAnsi="仿宋_GB2312" w:cs="仿宋_GB2312" w:eastAsia="仿宋_GB2312"/>
              </w:rPr>
              <w:t>拟派项目经理须具备建筑工程专业二级及以上注册建造师资格，并具有行业主管部门核发的安全生产考核合格B证，且无在建项目(出具无在建承诺书）;（材料应清晰可辨并进行电子签章）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备注：政府采购评审中出现下列情形之一的，评审委员会应当启动异常低价投标（响应）审查程序：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环境标志产品明细表.docx 供应商类似项目业绩一览表.docx 中小企业声明函 商务要求应答表.docx 响应文件封面 供应商应提交的相关资格证明材料.docx 残疾人福利性单位声明函 报价函 强制、优先采购产品承诺函.docx 标的清单 节能（节水）产品明细表.docx 拟派项目团队人员配置表.docx 项目经理简历表.docx 响应函 监狱企业的证明文件 主要材料与设备表.docx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磋商响应文件语言、计量单位、报价货币</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已标价工程量清单 环境标志产品明细表.docx 供应商类似项目业绩一览表.docx 中小企业声明函 商务要求应答表.docx 施工承诺.docx 施工组织设计.docx 响应文件封面 供应商应提交的相关资格证明材料.docx 残疾人福利性单位声明函 报价函 强制、优先采购产品承诺函.docx 标的清单 节能（节水）产品明细表.docx 拟派项目团队人员配置表.docx 项目经理简历表.docx 响应函 监狱企业的证明文件 主要材料与设备表.docx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强制、优先采购产品承诺函.docx 商务要求应答表.docx 标的清单 节能（节水）产品明细表.docx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强制、优先采购产品承诺函.docx 商务要求应答表.docx 标的清单 节能（节水）产品明细表.docx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工期、质量要求、缺陷责任期、保修期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商务要求应答表.docx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政府强制采购产品</w:t>
            </w:r>
          </w:p>
        </w:tc>
        <w:tc>
          <w:tcPr>
            <w:tcW w:type="dxa" w:w="3322"/>
          </w:tcPr>
          <w:p>
            <w:pPr>
              <w:pStyle w:val="null3"/>
            </w:pPr>
            <w:r>
              <w:rPr>
                <w:rFonts w:ascii="仿宋_GB2312" w:hAnsi="仿宋_GB2312" w:cs="仿宋_GB2312" w:eastAsia="仿宋_GB2312"/>
              </w:rPr>
              <w:t>1.属于节能（节水）产品（政府强制采购产品）的应提供国家确定的认证机构出具的、处于有效期之内的节能（节水）产品认证证书，否则按无效响应处理。 2.属于节能（节水）产品（政府强制采购产品）不填报的，按无效响应处理。</w:t>
            </w:r>
          </w:p>
        </w:tc>
        <w:tc>
          <w:tcPr>
            <w:tcW w:type="dxa" w:w="1661"/>
          </w:tcPr>
          <w:p>
            <w:pPr>
              <w:pStyle w:val="null3"/>
            </w:pPr>
            <w:r>
              <w:rPr>
                <w:rFonts w:ascii="仿宋_GB2312" w:hAnsi="仿宋_GB2312" w:cs="仿宋_GB2312" w:eastAsia="仿宋_GB2312"/>
              </w:rPr>
              <w:t>强制、优先采购产品承诺函.docx 节能（节水）产品明细表.docx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一、评审内容：针对本项目制定工程质量保证管理制度及措施，包括①工程质量保证管理制度；②工程质量保证管理措施。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2.针对性：上述内容针对性明确得1分；针对性较明确得0.5分；缺乏针对性得0分。此项不提供不得分。 3.可实施性：上述内容可实施性合理得1分；可实施性较合理得0.5分；缺乏可实施性，每项内容得0分。此项不提供不得分。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2.针对性：上述内容针对性明确得1分；针对性较明确得0.5分；缺乏针对性得0分。此项不提供不得分。 3.可实施性：上述内容可实施性合理得1分；可实施性较合理得0.5分；缺乏可实施性得0分。此项不提供不得分。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一、评审内容：供应商具有类似项目业绩。 二、赋分标准：供应商自2023年3月至今完成的类似项目业绩，每提供一个合格业绩得2.5分，满分5分。未提供此项内容不得分。 注：业绩以中标（成交）通知书和合同（协议书)为准，响应文件内附复印件并签章。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一、评审内容：供应商针对本项目特点提供切实可行的施工安全承诺、文明施工承诺、施工质量保证承诺、工期保证承诺，保证按时按质按量完成本项目。 二、赋分标准：每提供一项承诺得1.5分，满分6分。未提供此项内容不得分。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一、评审内容：项目经理具备建筑工程相关专业技术职称； 二、赋分标准：中级及以上技术职称得3分，其他不得分。响应文件内附职称证复印件并签章。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一、评审内容：项目经理具有类似项目业绩。 二、赋分标准：项目经理自2023年3月至今完成的类似项目业绩，每提供一个合格业绩得2分，满分2分。未提供此项内容不得分。 注：业绩以中标（成交）通知书和合同（协议书)为准，响应文件内附复印件并签章。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一、评审内容：所配备技术负责人、质检员、安全员、材料员、施工员、财务人员，具备相关专业技术职称或岗位证书或技术资格证书。 二、赋分标准：全部满足得 6 分，每缺少一人或相应人员无证书证件扣 1 分，扣完为止。响应文件内附相应人员证书证件复印件并签章。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拟派项目团队人员配置表.docx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一、评审内容：环境标志产品 二、赋分标准：主要材料与设备为环境标志产品的，每提供一个国家确定的认证机构出具的、处于有效期之内的环境标志产品认证证书得0.25分，最高得6分，未提供不得分。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环境标志产品明细表.docx</w:t>
            </w:r>
          </w:p>
          <w:p>
            <w:pPr>
              <w:pStyle w:val="null3"/>
            </w:pPr>
            <w:r>
              <w:rPr>
                <w:rFonts w:ascii="仿宋_GB2312" w:hAnsi="仿宋_GB2312" w:cs="仿宋_GB2312" w:eastAsia="仿宋_GB2312"/>
              </w:rPr>
              <w:t>强制、优先采购产品承诺函.docx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1.上限为采购预算价，即报价大于上限价视为无效报价； 2.以满足本次磋商文件要求的最低报价为评审基准价，其价格为满分； 3.磋商供应商报价得分=（评审基准价/报价）×30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详见附件：环境标志产品明细表.docx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详见附件：强制、优先采购产品承诺函.docx</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详见附件：节能（节水）产品明细表.docx</w:t>
      </w:r>
    </w:p>
    <w:p>
      <w:pPr>
        <w:pStyle w:val="null3"/>
        <w:ind w:firstLine="960"/>
      </w:pPr>
      <w:r>
        <w:rPr>
          <w:rFonts w:ascii="仿宋_GB2312" w:hAnsi="仿宋_GB2312" w:cs="仿宋_GB2312" w:eastAsia="仿宋_GB2312"/>
        </w:rPr>
        <w:t>详见附件：主要材料与设备表.docx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详见附件：拟签订采购合同文本-汉中市铁路中心医院勉西精神病医院急诊科病房提升改造项目 .docx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