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A70EA">
      <w:pPr>
        <w:pStyle w:val="8"/>
        <w:widowControl/>
        <w:spacing w:beforeAutospacing="0" w:afterAutospacing="0"/>
        <w:jc w:val="center"/>
        <w:rPr>
          <w:rFonts w:hint="eastAsia" w:eastAsiaTheme="minorEastAsia"/>
          <w:b/>
          <w:bCs/>
          <w:color w:val="auto"/>
          <w:sz w:val="44"/>
          <w:szCs w:val="44"/>
          <w:lang w:val="en-US" w:eastAsia="zh-CN"/>
        </w:rPr>
      </w:pPr>
      <w:bookmarkStart w:id="1" w:name="_GoBack"/>
      <w:bookmarkEnd w:id="1"/>
      <w:r>
        <w:rPr>
          <w:rFonts w:hint="eastAsia"/>
          <w:b/>
          <w:bCs/>
          <w:color w:val="auto"/>
          <w:sz w:val="44"/>
          <w:szCs w:val="44"/>
          <w:lang w:val="en-US" w:eastAsia="zh-CN"/>
        </w:rPr>
        <w:t xml:space="preserve"> </w:t>
      </w:r>
    </w:p>
    <w:p w14:paraId="3BF87718">
      <w:pPr>
        <w:pStyle w:val="8"/>
        <w:widowControl/>
        <w:spacing w:beforeAutospacing="0" w:afterAutospacing="0"/>
        <w:jc w:val="center"/>
        <w:rPr>
          <w:b/>
          <w:bCs/>
          <w:color w:val="auto"/>
          <w:sz w:val="44"/>
          <w:szCs w:val="44"/>
        </w:rPr>
      </w:pPr>
      <w:r>
        <w:rPr>
          <w:b/>
          <w:bCs/>
          <w:color w:val="auto"/>
          <w:sz w:val="48"/>
          <w:szCs w:val="48"/>
        </w:rPr>
        <w:t>汉中市中心城区</w:t>
      </w:r>
      <w:r>
        <w:rPr>
          <w:rFonts w:hint="eastAsia"/>
          <w:b/>
          <w:bCs/>
          <w:color w:val="auto"/>
          <w:sz w:val="48"/>
          <w:szCs w:val="48"/>
        </w:rPr>
        <w:t>道路竖向、排水防涝、污水工程、雨污分流、管线综合专项规划</w:t>
      </w:r>
    </w:p>
    <w:p w14:paraId="17EDADE4">
      <w:pPr>
        <w:pStyle w:val="8"/>
        <w:widowControl/>
        <w:spacing w:beforeAutospacing="0" w:afterAutospacing="0"/>
        <w:jc w:val="center"/>
        <w:rPr>
          <w:b/>
          <w:bCs/>
          <w:color w:val="auto"/>
          <w:sz w:val="44"/>
          <w:szCs w:val="44"/>
        </w:rPr>
      </w:pPr>
    </w:p>
    <w:p w14:paraId="654640C9">
      <w:pPr>
        <w:pStyle w:val="8"/>
        <w:widowControl/>
        <w:spacing w:beforeAutospacing="0" w:afterAutospacing="0"/>
        <w:jc w:val="center"/>
        <w:rPr>
          <w:b/>
          <w:bCs/>
          <w:color w:val="auto"/>
          <w:sz w:val="44"/>
          <w:szCs w:val="44"/>
        </w:rPr>
      </w:pPr>
    </w:p>
    <w:p w14:paraId="3E79F04C">
      <w:pPr>
        <w:pStyle w:val="8"/>
        <w:widowControl/>
        <w:spacing w:beforeAutospacing="0" w:afterAutospacing="0"/>
        <w:jc w:val="center"/>
        <w:rPr>
          <w:b/>
          <w:bCs/>
          <w:color w:val="auto"/>
          <w:sz w:val="44"/>
          <w:szCs w:val="44"/>
        </w:rPr>
      </w:pPr>
    </w:p>
    <w:p w14:paraId="317B4837">
      <w:pPr>
        <w:pStyle w:val="8"/>
        <w:widowControl/>
        <w:spacing w:beforeAutospacing="0" w:afterAutospacing="0"/>
        <w:jc w:val="center"/>
        <w:rPr>
          <w:b/>
          <w:bCs/>
          <w:color w:val="auto"/>
          <w:sz w:val="72"/>
          <w:szCs w:val="72"/>
        </w:rPr>
      </w:pPr>
    </w:p>
    <w:p w14:paraId="15085A5D">
      <w:pPr>
        <w:pStyle w:val="8"/>
        <w:widowControl/>
        <w:spacing w:beforeAutospacing="0" w:afterAutospacing="0"/>
        <w:jc w:val="center"/>
        <w:rPr>
          <w:b/>
          <w:bCs/>
          <w:color w:val="auto"/>
          <w:sz w:val="72"/>
          <w:szCs w:val="72"/>
        </w:rPr>
      </w:pPr>
      <w:r>
        <w:rPr>
          <w:rFonts w:hint="eastAsia"/>
          <w:b/>
          <w:bCs/>
          <w:color w:val="auto"/>
          <w:sz w:val="72"/>
          <w:szCs w:val="72"/>
        </w:rPr>
        <w:t>服务</w:t>
      </w:r>
      <w:r>
        <w:rPr>
          <w:b/>
          <w:bCs/>
          <w:color w:val="auto"/>
          <w:sz w:val="72"/>
          <w:szCs w:val="72"/>
        </w:rPr>
        <w:t>合同</w:t>
      </w:r>
    </w:p>
    <w:p w14:paraId="78383EE1">
      <w:pPr>
        <w:pStyle w:val="8"/>
        <w:widowControl/>
        <w:spacing w:beforeAutospacing="0" w:afterAutospacing="0"/>
        <w:jc w:val="center"/>
        <w:rPr>
          <w:b/>
          <w:bCs/>
          <w:color w:val="auto"/>
          <w:sz w:val="52"/>
          <w:szCs w:val="52"/>
        </w:rPr>
      </w:pPr>
    </w:p>
    <w:p w14:paraId="40B20841">
      <w:pPr>
        <w:pStyle w:val="8"/>
        <w:widowControl/>
        <w:spacing w:beforeAutospacing="0" w:afterAutospacing="0"/>
        <w:jc w:val="center"/>
        <w:rPr>
          <w:b/>
          <w:bCs/>
          <w:color w:val="auto"/>
          <w:sz w:val="52"/>
          <w:szCs w:val="52"/>
        </w:rPr>
      </w:pPr>
    </w:p>
    <w:p w14:paraId="3300F642">
      <w:pPr>
        <w:pStyle w:val="8"/>
        <w:widowControl/>
        <w:spacing w:beforeAutospacing="0" w:afterAutospacing="0"/>
        <w:jc w:val="center"/>
        <w:rPr>
          <w:b/>
          <w:bCs/>
          <w:color w:val="auto"/>
          <w:sz w:val="52"/>
          <w:szCs w:val="52"/>
        </w:rPr>
      </w:pPr>
    </w:p>
    <w:p w14:paraId="78C432B1">
      <w:pPr>
        <w:pStyle w:val="8"/>
        <w:widowControl/>
        <w:spacing w:beforeAutospacing="0" w:afterAutospacing="0"/>
        <w:jc w:val="center"/>
        <w:rPr>
          <w:b/>
          <w:bCs/>
          <w:color w:val="auto"/>
          <w:sz w:val="52"/>
          <w:szCs w:val="52"/>
        </w:rPr>
      </w:pPr>
    </w:p>
    <w:p w14:paraId="286EB6CE">
      <w:pPr>
        <w:pStyle w:val="13"/>
        <w:spacing w:line="560" w:lineRule="exact"/>
        <w:jc w:val="both"/>
        <w:outlineLvl w:val="2"/>
        <w:rPr>
          <w:rFonts w:hint="default" w:ascii="宋体" w:hAnsi="宋体" w:eastAsia="宋体" w:cs="宋体"/>
          <w:b/>
          <w:bCs/>
          <w:color w:val="auto"/>
          <w:sz w:val="28"/>
          <w:szCs w:val="28"/>
          <w:lang w:eastAsia="zh-CN"/>
        </w:rPr>
      </w:pPr>
    </w:p>
    <w:p w14:paraId="0AF2690E">
      <w:pPr>
        <w:pStyle w:val="13"/>
        <w:spacing w:line="560" w:lineRule="exact"/>
        <w:ind w:firstLine="1687" w:firstLineChars="600"/>
        <w:jc w:val="both"/>
        <w:outlineLvl w:val="2"/>
        <w:rPr>
          <w:rFonts w:hint="default" w:ascii="宋体" w:hAnsi="宋体" w:eastAsia="宋体" w:cs="宋体"/>
          <w:b/>
          <w:bCs/>
          <w:color w:val="auto"/>
          <w:sz w:val="28"/>
          <w:szCs w:val="28"/>
          <w:lang w:eastAsia="zh-CN"/>
        </w:rPr>
      </w:pPr>
    </w:p>
    <w:p w14:paraId="445B1787">
      <w:pPr>
        <w:pStyle w:val="13"/>
        <w:spacing w:line="560" w:lineRule="exact"/>
        <w:ind w:firstLine="1687" w:firstLineChars="600"/>
        <w:jc w:val="both"/>
        <w:outlineLvl w:val="2"/>
        <w:rPr>
          <w:rFonts w:hint="default" w:ascii="宋体" w:hAnsi="宋体" w:eastAsia="宋体" w:cs="宋体"/>
          <w:b/>
          <w:color w:val="auto"/>
          <w:sz w:val="28"/>
          <w:szCs w:val="28"/>
        </w:rPr>
      </w:pPr>
      <w:r>
        <w:rPr>
          <w:rFonts w:ascii="宋体" w:hAnsi="宋体" w:eastAsia="宋体" w:cs="宋体"/>
          <w:b/>
          <w:bCs/>
          <w:color w:val="auto"/>
          <w:sz w:val="28"/>
          <w:szCs w:val="28"/>
          <w:lang w:eastAsia="zh-CN"/>
        </w:rPr>
        <w:t>委托人（</w:t>
      </w:r>
      <w:r>
        <w:rPr>
          <w:rFonts w:ascii="宋体" w:hAnsi="宋体" w:eastAsia="宋体" w:cs="宋体"/>
          <w:b/>
          <w:bCs/>
          <w:color w:val="auto"/>
          <w:sz w:val="28"/>
          <w:szCs w:val="28"/>
        </w:rPr>
        <w:t>甲方</w:t>
      </w:r>
      <w:r>
        <w:rPr>
          <w:rFonts w:ascii="宋体" w:hAnsi="宋体" w:eastAsia="宋体" w:cs="宋体"/>
          <w:b/>
          <w:bCs/>
          <w:color w:val="auto"/>
          <w:sz w:val="28"/>
          <w:szCs w:val="28"/>
          <w:lang w:eastAsia="zh-CN"/>
        </w:rPr>
        <w:t>）</w:t>
      </w:r>
      <w:r>
        <w:rPr>
          <w:rFonts w:ascii="宋体" w:hAnsi="宋体" w:eastAsia="宋体" w:cs="宋体"/>
          <w:b/>
          <w:bCs/>
          <w:color w:val="auto"/>
          <w:sz w:val="28"/>
          <w:szCs w:val="28"/>
        </w:rPr>
        <w:t>： 汉中市自然资源局</w:t>
      </w:r>
    </w:p>
    <w:p w14:paraId="51AD3D29">
      <w:pPr>
        <w:adjustRightInd w:val="0"/>
        <w:snapToGrid w:val="0"/>
        <w:spacing w:line="560" w:lineRule="exact"/>
        <w:ind w:firstLine="1687" w:firstLineChars="600"/>
        <w:rPr>
          <w:rFonts w:ascii="宋体" w:hAnsi="宋体" w:eastAsia="宋体" w:cs="宋体"/>
          <w:color w:val="auto"/>
          <w:sz w:val="28"/>
          <w:szCs w:val="28"/>
        </w:rPr>
      </w:pPr>
      <w:r>
        <w:rPr>
          <w:rFonts w:hint="eastAsia" w:ascii="宋体" w:hAnsi="宋体" w:eastAsia="宋体" w:cs="宋体"/>
          <w:b/>
          <w:bCs/>
          <w:color w:val="auto"/>
          <w:sz w:val="28"/>
          <w:szCs w:val="28"/>
        </w:rPr>
        <w:t>受托人（乙</w:t>
      </w:r>
      <w:r>
        <w:rPr>
          <w:rFonts w:ascii="宋体" w:hAnsi="宋体" w:eastAsia="宋体" w:cs="宋体"/>
          <w:b/>
          <w:bCs/>
          <w:color w:val="auto"/>
          <w:sz w:val="28"/>
          <w:szCs w:val="28"/>
        </w:rPr>
        <w:t>方</w:t>
      </w:r>
      <w:r>
        <w:rPr>
          <w:rFonts w:hint="eastAsia" w:ascii="宋体" w:hAnsi="宋体" w:eastAsia="宋体" w:cs="宋体"/>
          <w:b/>
          <w:bCs/>
          <w:color w:val="auto"/>
          <w:sz w:val="28"/>
          <w:szCs w:val="28"/>
        </w:rPr>
        <w:t>）</w:t>
      </w:r>
      <w:r>
        <w:rPr>
          <w:rFonts w:ascii="宋体" w:hAnsi="宋体" w:eastAsia="宋体" w:cs="宋体"/>
          <w:b/>
          <w:bCs/>
          <w:color w:val="auto"/>
          <w:sz w:val="28"/>
          <w:szCs w:val="28"/>
        </w:rPr>
        <w:t>：</w:t>
      </w:r>
    </w:p>
    <w:p w14:paraId="01D744E0">
      <w:pPr>
        <w:pStyle w:val="8"/>
        <w:widowControl/>
        <w:spacing w:beforeAutospacing="0" w:afterAutospacing="0" w:line="560" w:lineRule="exact"/>
        <w:ind w:firstLine="1687" w:firstLineChars="600"/>
        <w:jc w:val="both"/>
        <w:rPr>
          <w:rFonts w:ascii="宋体" w:hAnsi="宋体" w:eastAsia="宋体" w:cs="宋体"/>
          <w:b/>
          <w:bCs/>
          <w:color w:val="auto"/>
          <w:kern w:val="2"/>
          <w:sz w:val="28"/>
          <w:szCs w:val="28"/>
        </w:rPr>
        <w:sectPr>
          <w:footerReference r:id="rId3" w:type="default"/>
          <w:pgSz w:w="11906" w:h="16838"/>
          <w:pgMar w:top="1440" w:right="1463" w:bottom="1440" w:left="1463" w:header="851" w:footer="992" w:gutter="0"/>
          <w:pgNumType w:start="1"/>
          <w:cols w:space="425" w:num="1"/>
          <w:docGrid w:type="lines" w:linePitch="312" w:charSpace="0"/>
        </w:sectPr>
      </w:pPr>
      <w:r>
        <w:rPr>
          <w:rFonts w:hint="eastAsia" w:ascii="宋体" w:hAnsi="宋体" w:eastAsia="宋体" w:cs="宋体"/>
          <w:b/>
          <w:bCs/>
          <w:color w:val="auto"/>
          <w:kern w:val="2"/>
          <w:sz w:val="28"/>
          <w:szCs w:val="28"/>
        </w:rPr>
        <w:t>日期：</w:t>
      </w:r>
      <w:r>
        <w:rPr>
          <w:rFonts w:hint="eastAsia" w:ascii="宋体" w:hAnsi="宋体" w:eastAsia="宋体" w:cs="宋体"/>
          <w:b/>
          <w:bCs/>
          <w:color w:val="auto"/>
          <w:kern w:val="2"/>
          <w:sz w:val="28"/>
          <w:szCs w:val="28"/>
          <w:u w:val="single"/>
        </w:rPr>
        <w:t xml:space="preserve">      </w:t>
      </w:r>
      <w:r>
        <w:rPr>
          <w:rFonts w:hint="eastAsia" w:ascii="宋体" w:hAnsi="宋体" w:eastAsia="宋体" w:cs="宋体"/>
          <w:b/>
          <w:bCs/>
          <w:color w:val="auto"/>
          <w:kern w:val="2"/>
          <w:sz w:val="28"/>
          <w:szCs w:val="28"/>
        </w:rPr>
        <w:t>年</w:t>
      </w:r>
      <w:r>
        <w:rPr>
          <w:rFonts w:hint="eastAsia" w:ascii="宋体" w:hAnsi="宋体" w:eastAsia="宋体" w:cs="宋体"/>
          <w:b/>
          <w:bCs/>
          <w:color w:val="auto"/>
          <w:kern w:val="2"/>
          <w:sz w:val="28"/>
          <w:szCs w:val="28"/>
          <w:u w:val="single"/>
        </w:rPr>
        <w:t xml:space="preserve">      </w:t>
      </w:r>
      <w:r>
        <w:rPr>
          <w:rFonts w:hint="eastAsia" w:ascii="宋体" w:hAnsi="宋体" w:eastAsia="宋体" w:cs="宋体"/>
          <w:b/>
          <w:bCs/>
          <w:color w:val="auto"/>
          <w:kern w:val="2"/>
          <w:sz w:val="28"/>
          <w:szCs w:val="28"/>
        </w:rPr>
        <w:t>月</w:t>
      </w:r>
      <w:r>
        <w:rPr>
          <w:rFonts w:hint="eastAsia" w:ascii="宋体" w:hAnsi="宋体" w:eastAsia="宋体" w:cs="宋体"/>
          <w:b/>
          <w:bCs/>
          <w:color w:val="auto"/>
          <w:kern w:val="2"/>
          <w:sz w:val="28"/>
          <w:szCs w:val="28"/>
          <w:u w:val="single"/>
        </w:rPr>
        <w:t xml:space="preserve">      </w:t>
      </w:r>
      <w:r>
        <w:rPr>
          <w:rFonts w:hint="eastAsia" w:ascii="宋体" w:hAnsi="宋体" w:eastAsia="宋体" w:cs="宋体"/>
          <w:b/>
          <w:bCs/>
          <w:color w:val="auto"/>
          <w:kern w:val="2"/>
          <w:sz w:val="28"/>
          <w:szCs w:val="28"/>
        </w:rPr>
        <w:t>日</w:t>
      </w:r>
    </w:p>
    <w:p w14:paraId="50EF81C0">
      <w:pPr>
        <w:pStyle w:val="2"/>
        <w:keepNext w:val="0"/>
        <w:spacing w:line="360" w:lineRule="auto"/>
        <w:jc w:val="center"/>
        <w:rPr>
          <w:rFonts w:ascii="宋体" w:eastAsia="宋体" w:cs="宋体"/>
          <w:bCs/>
          <w:color w:val="auto"/>
          <w:sz w:val="28"/>
          <w:szCs w:val="28"/>
        </w:rPr>
      </w:pPr>
      <w:r>
        <w:rPr>
          <w:rFonts w:hint="eastAsia" w:ascii="宋体" w:eastAsia="宋体" w:cs="宋体"/>
          <w:bCs/>
          <w:color w:val="auto"/>
          <w:sz w:val="28"/>
          <w:szCs w:val="28"/>
        </w:rPr>
        <w:t>合同主要条款</w:t>
      </w:r>
    </w:p>
    <w:p w14:paraId="351E0DC4">
      <w:pPr>
        <w:adjustRightInd w:val="0"/>
        <w:snapToGrid w:val="0"/>
        <w:spacing w:line="360" w:lineRule="auto"/>
        <w:rPr>
          <w:rFonts w:ascii="宋体" w:hAnsi="宋体" w:eastAsia="宋体" w:cs="宋体"/>
          <w:b/>
          <w:bCs/>
          <w:color w:val="auto"/>
          <w:sz w:val="24"/>
        </w:rPr>
      </w:pPr>
      <w:bookmarkStart w:id="0" w:name="_Toc28427"/>
    </w:p>
    <w:p w14:paraId="59056E44">
      <w:pPr>
        <w:pStyle w:val="13"/>
        <w:spacing w:line="360" w:lineRule="auto"/>
        <w:jc w:val="both"/>
        <w:outlineLvl w:val="2"/>
        <w:rPr>
          <w:rFonts w:hint="default" w:ascii="宋体" w:hAnsi="宋体" w:eastAsia="宋体" w:cs="宋体"/>
          <w:b/>
          <w:color w:val="auto"/>
          <w:sz w:val="24"/>
          <w:szCs w:val="24"/>
        </w:rPr>
      </w:pPr>
      <w:r>
        <w:rPr>
          <w:rFonts w:ascii="宋体" w:hAnsi="宋体" w:eastAsia="宋体" w:cs="宋体"/>
          <w:b/>
          <w:bCs/>
          <w:color w:val="auto"/>
          <w:sz w:val="24"/>
          <w:szCs w:val="24"/>
        </w:rPr>
        <w:t>甲方（招标人全称）： 汉中市自然资源局</w:t>
      </w:r>
    </w:p>
    <w:p w14:paraId="39098DF9">
      <w:pPr>
        <w:adjustRightInd w:val="0"/>
        <w:snapToGrid w:val="0"/>
        <w:spacing w:line="360" w:lineRule="auto"/>
        <w:rPr>
          <w:rFonts w:ascii="宋体" w:hAnsi="宋体" w:eastAsia="宋体" w:cs="宋体"/>
          <w:color w:val="auto"/>
          <w:sz w:val="24"/>
        </w:rPr>
      </w:pPr>
      <w:r>
        <w:rPr>
          <w:rFonts w:hint="eastAsia" w:ascii="宋体" w:hAnsi="宋体" w:eastAsia="宋体" w:cs="宋体"/>
          <w:b/>
          <w:bCs/>
          <w:color w:val="auto"/>
          <w:sz w:val="24"/>
        </w:rPr>
        <w:t xml:space="preserve">乙方（投标人全称）：         </w:t>
      </w:r>
      <w:r>
        <w:rPr>
          <w:rFonts w:hint="eastAsia" w:ascii="宋体" w:hAnsi="宋体" w:eastAsia="宋体" w:cs="宋体"/>
          <w:color w:val="auto"/>
          <w:sz w:val="24"/>
        </w:rPr>
        <w:t xml:space="preserve">                         </w:t>
      </w:r>
    </w:p>
    <w:p w14:paraId="30BEBA9F">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根据</w:t>
      </w:r>
      <w:r>
        <w:rPr>
          <w:rFonts w:hint="eastAsia" w:ascii="宋体" w:hAnsi="宋体" w:eastAsia="宋体" w:cs="宋体"/>
          <w:color w:val="auto"/>
          <w:sz w:val="24"/>
          <w:u w:val="single"/>
        </w:rPr>
        <w:t xml:space="preserve"> 汉中市中心城区道路竖向、排水防涝、污水工程、雨污分流、管线综合专项规划项目 </w:t>
      </w:r>
      <w:r>
        <w:rPr>
          <w:rFonts w:hint="eastAsia" w:ascii="宋体" w:hAnsi="宋体" w:eastAsia="宋体" w:cs="宋体"/>
          <w:color w:val="auto"/>
          <w:sz w:val="24"/>
        </w:rPr>
        <w:t>的中标结果，根据《中华人民共和国民法典》及其他有关法律、法规，遵循平等、自愿、公平和诚信的原则，双方就下述项目范围与相关服务事项协商一致，订立本合同。</w:t>
      </w:r>
    </w:p>
    <w:p w14:paraId="4C965630">
      <w:pPr>
        <w:spacing w:line="360" w:lineRule="auto"/>
        <w:rPr>
          <w:rFonts w:ascii="宋体" w:hAnsi="宋体" w:eastAsia="宋体" w:cs="宋体"/>
          <w:b/>
          <w:color w:val="auto"/>
          <w:sz w:val="24"/>
        </w:rPr>
      </w:pPr>
      <w:r>
        <w:rPr>
          <w:rFonts w:hint="eastAsia" w:ascii="宋体" w:hAnsi="宋体" w:eastAsia="宋体" w:cs="宋体"/>
          <w:b/>
          <w:color w:val="auto"/>
          <w:sz w:val="24"/>
        </w:rPr>
        <w:t>一、项目概况</w:t>
      </w:r>
    </w:p>
    <w:p w14:paraId="70447902">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1、项目名称：</w:t>
      </w:r>
      <w:r>
        <w:rPr>
          <w:rFonts w:hint="eastAsia" w:ascii="宋体" w:hAnsi="宋体" w:eastAsia="宋体" w:cs="宋体"/>
          <w:color w:val="auto"/>
          <w:sz w:val="24"/>
          <w:u w:val="single"/>
        </w:rPr>
        <w:t xml:space="preserve"> 汉中市中心城区道路竖向、排水防涝、污水工程、雨污分流、管线综合专项规划 </w:t>
      </w:r>
      <w:r>
        <w:rPr>
          <w:rFonts w:hint="eastAsia" w:ascii="宋体" w:hAnsi="宋体" w:eastAsia="宋体" w:cs="宋体"/>
          <w:color w:val="auto"/>
          <w:sz w:val="24"/>
        </w:rPr>
        <w:t>。</w:t>
      </w:r>
    </w:p>
    <w:p w14:paraId="7C450684">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2、项目地点：</w:t>
      </w:r>
      <w:r>
        <w:rPr>
          <w:rFonts w:hint="eastAsia" w:ascii="宋体" w:hAnsi="宋体" w:eastAsia="宋体" w:cs="宋体"/>
          <w:color w:val="auto"/>
          <w:sz w:val="24"/>
          <w:u w:val="single"/>
        </w:rPr>
        <w:t xml:space="preserve"> 陕西省汉中市</w:t>
      </w:r>
      <w:r>
        <w:rPr>
          <w:rFonts w:hint="eastAsia" w:ascii="宋体" w:hAnsi="宋体" w:eastAsia="宋体" w:cs="宋体"/>
          <w:color w:val="auto"/>
          <w:sz w:val="24"/>
        </w:rPr>
        <w:t>。</w:t>
      </w:r>
    </w:p>
    <w:p w14:paraId="55B59F3C">
      <w:pPr>
        <w:adjustRightInd w:val="0"/>
        <w:snapToGrid w:val="0"/>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3、工作内容：</w:t>
      </w:r>
      <w:r>
        <w:rPr>
          <w:rFonts w:hint="eastAsia" w:ascii="宋体" w:hAnsi="宋体" w:eastAsia="宋体" w:cs="宋体"/>
          <w:color w:val="auto"/>
          <w:sz w:val="24"/>
          <w:u w:val="single"/>
        </w:rPr>
        <w:t>详见任务书。</w:t>
      </w:r>
    </w:p>
    <w:p w14:paraId="32A33A90">
      <w:pPr>
        <w:adjustRightInd w:val="0"/>
        <w:snapToGrid w:val="0"/>
        <w:spacing w:line="360" w:lineRule="auto"/>
        <w:ind w:firstLine="480" w:firstLineChars="200"/>
        <w:rPr>
          <w:rFonts w:ascii="宋体" w:hAnsi="宋体" w:eastAsia="宋体" w:cs="宋体"/>
          <w:color w:val="auto"/>
          <w:sz w:val="24"/>
        </w:rPr>
      </w:pPr>
      <w:r>
        <w:rPr>
          <w:rFonts w:ascii="宋体" w:hAnsi="宋体" w:eastAsia="宋体" w:cs="宋体"/>
          <w:color w:val="auto"/>
          <w:sz w:val="24"/>
        </w:rPr>
        <w:t>4</w:t>
      </w:r>
      <w:r>
        <w:rPr>
          <w:rFonts w:hint="eastAsia" w:ascii="宋体" w:hAnsi="宋体" w:eastAsia="宋体" w:cs="宋体"/>
          <w:color w:val="auto"/>
          <w:sz w:val="24"/>
        </w:rPr>
        <w:t>、规划周期：</w:t>
      </w:r>
      <w:r>
        <w:rPr>
          <w:rFonts w:hint="eastAsia" w:ascii="宋体" w:hAnsi="宋体" w:eastAsia="宋体" w:cs="宋体"/>
          <w:color w:val="auto"/>
          <w:sz w:val="24"/>
          <w:u w:val="single"/>
        </w:rPr>
        <w:t>自本合同签订之日起</w:t>
      </w:r>
      <w:r>
        <w:rPr>
          <w:rFonts w:ascii="宋体" w:hAnsi="宋体" w:eastAsia="宋体" w:cs="宋体"/>
          <w:color w:val="auto"/>
          <w:sz w:val="24"/>
          <w:u w:val="single"/>
        </w:rPr>
        <w:t>6</w:t>
      </w:r>
      <w:r>
        <w:rPr>
          <w:rFonts w:hint="eastAsia" w:ascii="宋体" w:hAnsi="宋体" w:eastAsia="宋体" w:cs="宋体"/>
          <w:color w:val="auto"/>
          <w:sz w:val="24"/>
          <w:u w:val="single"/>
        </w:rPr>
        <w:t>0天内完成规划编制</w:t>
      </w:r>
      <w:r>
        <w:rPr>
          <w:rFonts w:hint="eastAsia" w:ascii="宋体" w:hAnsi="宋体" w:eastAsia="宋体" w:cs="宋体"/>
          <w:color w:val="auto"/>
          <w:sz w:val="24"/>
        </w:rPr>
        <w:t>。(上述所列时间不包含招投标阶段、最终成果评审验收用时，但包含乙方中期成果评审验收后根据评审意见修改、补充、完善用时。)</w:t>
      </w:r>
    </w:p>
    <w:p w14:paraId="54537D67">
      <w:pPr>
        <w:spacing w:line="360" w:lineRule="auto"/>
        <w:rPr>
          <w:rFonts w:ascii="宋体" w:hAnsi="宋体" w:eastAsia="宋体" w:cs="宋体"/>
          <w:b/>
          <w:color w:val="auto"/>
          <w:sz w:val="24"/>
        </w:rPr>
      </w:pPr>
      <w:r>
        <w:rPr>
          <w:rFonts w:hint="eastAsia" w:ascii="宋体" w:hAnsi="宋体" w:eastAsia="宋体" w:cs="宋体"/>
          <w:b/>
          <w:color w:val="auto"/>
          <w:sz w:val="24"/>
        </w:rPr>
        <w:t>二、组成本合同的文件</w:t>
      </w:r>
    </w:p>
    <w:p w14:paraId="0AA53129">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1、中标通知书、投标文件、招标文件、澄清、补充文件（或委托书）；</w:t>
      </w:r>
    </w:p>
    <w:p w14:paraId="05C2C966">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2、相关服务建议书；</w:t>
      </w:r>
    </w:p>
    <w:p w14:paraId="573E95B6">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3、本合同签订后，双方依法签订的补充协议也是本合同文件的组成部分。</w:t>
      </w:r>
    </w:p>
    <w:p w14:paraId="53C11DE3">
      <w:pPr>
        <w:spacing w:line="360" w:lineRule="auto"/>
        <w:rPr>
          <w:rFonts w:ascii="宋体" w:hAnsi="宋体" w:eastAsia="宋体" w:cs="宋体"/>
          <w:b/>
          <w:color w:val="auto"/>
          <w:sz w:val="24"/>
        </w:rPr>
      </w:pPr>
      <w:r>
        <w:rPr>
          <w:rFonts w:hint="eastAsia" w:ascii="宋体" w:hAnsi="宋体" w:eastAsia="宋体" w:cs="宋体"/>
          <w:b/>
          <w:color w:val="auto"/>
          <w:sz w:val="24"/>
        </w:rPr>
        <w:t>三、合同总价及付款：</w:t>
      </w:r>
    </w:p>
    <w:p w14:paraId="789307FD">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bCs/>
          <w:color w:val="auto"/>
          <w:sz w:val="24"/>
        </w:rPr>
        <w:t>1、合同总价人民币（大写）：</w:t>
      </w:r>
      <w:r>
        <w:rPr>
          <w:rFonts w:hint="eastAsia" w:ascii="宋体" w:hAnsi="宋体" w:eastAsia="宋体" w:cs="宋体"/>
          <w:color w:val="auto"/>
          <w:sz w:val="24"/>
          <w:u w:val="single"/>
        </w:rPr>
        <w:t xml:space="preserve">                   </w:t>
      </w:r>
      <w:r>
        <w:rPr>
          <w:rFonts w:hint="eastAsia" w:ascii="宋体" w:hAnsi="宋体" w:eastAsia="宋体" w:cs="宋体"/>
          <w:color w:val="auto"/>
          <w:sz w:val="24"/>
        </w:rPr>
        <w:t>（¥          ）；</w:t>
      </w:r>
    </w:p>
    <w:p w14:paraId="5FCD07EF">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合同价格为含税价，不含税价格为</w:t>
      </w:r>
      <w:r>
        <w:rPr>
          <w:rFonts w:hint="eastAsia" w:ascii="宋体" w:hAnsi="宋体" w:eastAsia="宋体" w:cs="宋体"/>
          <w:color w:val="auto"/>
          <w:sz w:val="24"/>
          <w:u w:val="single"/>
        </w:rPr>
        <w:t xml:space="preserve">      </w:t>
      </w:r>
      <w:r>
        <w:rPr>
          <w:rFonts w:hint="eastAsia" w:ascii="宋体" w:hAnsi="宋体" w:eastAsia="宋体" w:cs="宋体"/>
          <w:color w:val="auto"/>
          <w:sz w:val="24"/>
        </w:rPr>
        <w:t>（¥    ），税率为</w:t>
      </w:r>
      <w:r>
        <w:rPr>
          <w:rFonts w:hint="eastAsia" w:ascii="宋体" w:hAnsi="宋体" w:eastAsia="宋体" w:cs="宋体"/>
          <w:color w:val="auto"/>
          <w:sz w:val="24"/>
          <w:lang w:val="en-US" w:eastAsia="zh-CN"/>
        </w:rPr>
        <w:t>6</w:t>
      </w:r>
      <w:r>
        <w:rPr>
          <w:rFonts w:hint="eastAsia" w:ascii="宋体" w:hAnsi="宋体" w:eastAsia="宋体" w:cs="宋体"/>
          <w:color w:val="auto"/>
          <w:sz w:val="24"/>
        </w:rPr>
        <w:t>%。本合同总价为完成本项目所需的一切费用，包含编制费用、多媒体汇报费用、三维动画演示费用、成果资料费用、评审会务费、专家费、公告公示费、税费（服务发生的一切税，包括增值税）以及编制中心城区道路竖向、排水防涝、污水工程专项规划所需的测绘费用等。合同价款不因市场变化、税率调整等任何原因而调整，乙方不得以任何理由要求甲方再支付任何费用。若由于</w:t>
      </w:r>
      <w:r>
        <w:rPr>
          <w:rFonts w:hint="eastAsia" w:ascii="宋体" w:hAnsi="宋体" w:eastAsia="宋体" w:cs="宋体"/>
          <w:color w:val="auto"/>
          <w:sz w:val="24"/>
          <w:lang w:val="en-US" w:eastAsia="zh-CN"/>
        </w:rPr>
        <w:t>甲方单方</w:t>
      </w:r>
      <w:r>
        <w:rPr>
          <w:rFonts w:hint="eastAsia" w:ascii="宋体" w:hAnsi="宋体" w:eastAsia="宋体" w:cs="宋体"/>
          <w:color w:val="auto"/>
          <w:sz w:val="24"/>
        </w:rPr>
        <w:t>原因导致费用增加的，由双方另行协商处理。</w:t>
      </w:r>
    </w:p>
    <w:p w14:paraId="4D3445A2">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bCs/>
          <w:color w:val="auto"/>
          <w:sz w:val="24"/>
        </w:rPr>
        <w:t>付款方式：</w:t>
      </w:r>
    </w:p>
    <w:p w14:paraId="5C458563">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（1）签订合同后，达到付款条件后</w:t>
      </w:r>
      <w:r>
        <w:rPr>
          <w:rFonts w:ascii="宋体" w:hAnsi="宋体" w:eastAsia="宋体" w:cs="宋体"/>
          <w:color w:val="auto"/>
          <w:sz w:val="24"/>
        </w:rPr>
        <w:t>15</w:t>
      </w:r>
      <w:r>
        <w:rPr>
          <w:rFonts w:hint="eastAsia" w:ascii="宋体" w:hAnsi="宋体" w:eastAsia="宋体" w:cs="宋体"/>
          <w:color w:val="auto"/>
          <w:sz w:val="24"/>
        </w:rPr>
        <w:t>个工作日内，支付合同总价的30%；完成初步方案经甲方确认</w:t>
      </w:r>
      <w:r>
        <w:rPr>
          <w:rFonts w:hint="eastAsia" w:ascii="宋体" w:hAnsi="宋体" w:eastAsia="宋体" w:cs="宋体"/>
          <w:color w:val="auto"/>
          <w:sz w:val="24"/>
          <w:lang w:val="en-US" w:eastAsia="zh-CN"/>
        </w:rPr>
        <w:t>无异议</w:t>
      </w:r>
      <w:r>
        <w:rPr>
          <w:rFonts w:hint="eastAsia" w:ascii="宋体" w:hAnsi="宋体" w:eastAsia="宋体" w:cs="宋体"/>
          <w:color w:val="auto"/>
          <w:sz w:val="24"/>
        </w:rPr>
        <w:t>，</w:t>
      </w:r>
      <w:r>
        <w:rPr>
          <w:rFonts w:hint="eastAsia" w:ascii="宋体" w:hAnsi="宋体" w:eastAsia="宋体" w:cs="宋体"/>
          <w:color w:val="auto"/>
          <w:sz w:val="24"/>
          <w:u w:val="none"/>
          <w:lang w:val="en-US" w:eastAsia="zh-CN"/>
        </w:rPr>
        <w:t>且</w:t>
      </w:r>
      <w:r>
        <w:rPr>
          <w:rFonts w:hint="eastAsia" w:ascii="宋体" w:hAnsi="宋体" w:eastAsia="宋体" w:cs="宋体"/>
          <w:color w:val="auto"/>
          <w:sz w:val="24"/>
        </w:rPr>
        <w:t>达到付款条件</w:t>
      </w:r>
      <w:r>
        <w:rPr>
          <w:rFonts w:hint="default" w:ascii="宋体" w:hAnsi="宋体" w:eastAsia="宋体" w:cs="宋体"/>
          <w:color w:val="auto"/>
          <w:sz w:val="24"/>
          <w:lang w:val="en-US"/>
        </w:rPr>
        <w:t>后</w:t>
      </w:r>
      <w:r>
        <w:rPr>
          <w:rFonts w:hint="eastAsia" w:ascii="宋体" w:hAnsi="宋体" w:eastAsia="宋体" w:cs="宋体"/>
          <w:color w:val="auto"/>
          <w:sz w:val="24"/>
          <w:lang w:val="en-US" w:eastAsia="zh-CN"/>
        </w:rPr>
        <w:t>的</w:t>
      </w:r>
      <w:r>
        <w:rPr>
          <w:rFonts w:ascii="宋体" w:hAnsi="宋体" w:eastAsia="宋体" w:cs="宋体"/>
          <w:color w:val="auto"/>
          <w:sz w:val="24"/>
        </w:rPr>
        <w:t>15</w:t>
      </w:r>
      <w:r>
        <w:rPr>
          <w:rFonts w:hint="eastAsia" w:ascii="宋体" w:hAnsi="宋体" w:eastAsia="宋体" w:cs="宋体"/>
          <w:color w:val="auto"/>
          <w:sz w:val="24"/>
        </w:rPr>
        <w:t>个工作日内，支付合同总价的20%；规划成果经专家评审论证通过，并通过规委会审议后，达到付款条件后</w:t>
      </w:r>
      <w:r>
        <w:rPr>
          <w:rFonts w:ascii="宋体" w:hAnsi="宋体" w:eastAsia="宋体" w:cs="宋体"/>
          <w:color w:val="auto"/>
          <w:sz w:val="24"/>
        </w:rPr>
        <w:t>15</w:t>
      </w:r>
      <w:r>
        <w:rPr>
          <w:rFonts w:hint="eastAsia" w:ascii="宋体" w:hAnsi="宋体" w:eastAsia="宋体" w:cs="宋体"/>
          <w:color w:val="auto"/>
          <w:sz w:val="24"/>
        </w:rPr>
        <w:t>个工作日内，支付合同金额的30%；规划成果经市政府批准后提交最终规划成果、数据库验收入库后，达到付款条件后</w:t>
      </w:r>
      <w:r>
        <w:rPr>
          <w:rFonts w:ascii="宋体" w:hAnsi="宋体" w:eastAsia="宋体" w:cs="宋体"/>
          <w:color w:val="auto"/>
          <w:sz w:val="24"/>
        </w:rPr>
        <w:t>15</w:t>
      </w:r>
      <w:r>
        <w:rPr>
          <w:rFonts w:hint="eastAsia" w:ascii="宋体" w:hAnsi="宋体" w:eastAsia="宋体" w:cs="宋体"/>
          <w:color w:val="auto"/>
          <w:sz w:val="24"/>
        </w:rPr>
        <w:t>个工作日内，支付合同总价的15%；成果使用一年后且该段时间内项目责任规划师后续服务质量保障到位，达到付款条件后</w:t>
      </w:r>
      <w:r>
        <w:rPr>
          <w:rFonts w:ascii="宋体" w:hAnsi="宋体" w:eastAsia="宋体" w:cs="宋体"/>
          <w:color w:val="auto"/>
          <w:sz w:val="24"/>
        </w:rPr>
        <w:t>15</w:t>
      </w:r>
      <w:r>
        <w:rPr>
          <w:rFonts w:hint="eastAsia" w:ascii="宋体" w:hAnsi="宋体" w:eastAsia="宋体" w:cs="宋体"/>
          <w:color w:val="auto"/>
          <w:sz w:val="24"/>
        </w:rPr>
        <w:t>个工作日内，支付合同总价的5%尾款。</w:t>
      </w:r>
    </w:p>
    <w:p w14:paraId="70D0339B">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具体支付分期金额详见下表：</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5"/>
        <w:gridCol w:w="2101"/>
        <w:gridCol w:w="5873"/>
      </w:tblGrid>
      <w:tr w14:paraId="0FCA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226DA166">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支付分期</w:t>
            </w:r>
          </w:p>
        </w:tc>
        <w:tc>
          <w:tcPr>
            <w:tcW w:w="1143" w:type="pct"/>
            <w:vAlign w:val="center"/>
          </w:tcPr>
          <w:p w14:paraId="770B69E0">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支付比例</w:t>
            </w:r>
          </w:p>
        </w:tc>
        <w:tc>
          <w:tcPr>
            <w:tcW w:w="3195" w:type="pct"/>
            <w:vAlign w:val="center"/>
          </w:tcPr>
          <w:p w14:paraId="6A26A292">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支付时间</w:t>
            </w:r>
          </w:p>
        </w:tc>
      </w:tr>
      <w:tr w14:paraId="3F5A2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661" w:type="pct"/>
            <w:vAlign w:val="center"/>
          </w:tcPr>
          <w:p w14:paraId="11335DB2">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第一期</w:t>
            </w:r>
          </w:p>
        </w:tc>
        <w:tc>
          <w:tcPr>
            <w:tcW w:w="1143" w:type="pct"/>
            <w:vAlign w:val="center"/>
          </w:tcPr>
          <w:p w14:paraId="64F72469">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30%</w:t>
            </w:r>
          </w:p>
        </w:tc>
        <w:tc>
          <w:tcPr>
            <w:tcW w:w="3195" w:type="pct"/>
            <w:vAlign w:val="center"/>
          </w:tcPr>
          <w:p w14:paraId="7272F699">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签订合同后，达到付款条件后</w:t>
            </w:r>
            <w:r>
              <w:rPr>
                <w:rFonts w:ascii="宋体" w:hAnsi="宋体" w:eastAsia="宋体" w:cs="宋体"/>
                <w:color w:val="auto"/>
                <w:sz w:val="24"/>
              </w:rPr>
              <w:t>15</w:t>
            </w:r>
            <w:r>
              <w:rPr>
                <w:rFonts w:hint="eastAsia" w:ascii="宋体" w:hAnsi="宋体" w:eastAsia="宋体" w:cs="宋体"/>
                <w:color w:val="auto"/>
                <w:sz w:val="24"/>
              </w:rPr>
              <w:t>个工作日内</w:t>
            </w:r>
          </w:p>
        </w:tc>
      </w:tr>
      <w:tr w14:paraId="36BE0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5A2DB506">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第二期</w:t>
            </w:r>
          </w:p>
        </w:tc>
        <w:tc>
          <w:tcPr>
            <w:tcW w:w="1143" w:type="pct"/>
            <w:vAlign w:val="center"/>
          </w:tcPr>
          <w:p w14:paraId="3B12C37A">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20%</w:t>
            </w:r>
          </w:p>
        </w:tc>
        <w:tc>
          <w:tcPr>
            <w:tcW w:w="3195" w:type="pct"/>
            <w:vAlign w:val="center"/>
          </w:tcPr>
          <w:p w14:paraId="4B155415">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完成初步方案经甲方确认</w:t>
            </w:r>
            <w:r>
              <w:rPr>
                <w:rFonts w:hint="eastAsia" w:ascii="宋体" w:hAnsi="宋体" w:eastAsia="宋体" w:cs="宋体"/>
                <w:color w:val="auto"/>
                <w:sz w:val="24"/>
                <w:lang w:val="en-US" w:eastAsia="zh-CN"/>
              </w:rPr>
              <w:t>无异议</w:t>
            </w:r>
            <w:r>
              <w:rPr>
                <w:rFonts w:hint="eastAsia" w:ascii="宋体" w:hAnsi="宋体" w:eastAsia="宋体" w:cs="宋体"/>
                <w:color w:val="auto"/>
                <w:sz w:val="24"/>
              </w:rPr>
              <w:t>后，</w:t>
            </w:r>
            <w:r>
              <w:rPr>
                <w:rFonts w:hint="eastAsia" w:ascii="宋体" w:hAnsi="宋体" w:eastAsia="宋体" w:cs="宋体"/>
                <w:color w:val="auto"/>
                <w:sz w:val="24"/>
                <w:lang w:val="en-US" w:eastAsia="zh-CN"/>
              </w:rPr>
              <w:t>且</w:t>
            </w:r>
            <w:r>
              <w:rPr>
                <w:rFonts w:hint="eastAsia" w:ascii="宋体" w:hAnsi="宋体" w:eastAsia="宋体" w:cs="宋体"/>
                <w:color w:val="auto"/>
                <w:sz w:val="24"/>
              </w:rPr>
              <w:t>达到付款条件后</w:t>
            </w:r>
            <w:r>
              <w:rPr>
                <w:rFonts w:ascii="宋体" w:hAnsi="宋体" w:eastAsia="宋体" w:cs="宋体"/>
                <w:color w:val="auto"/>
                <w:sz w:val="24"/>
              </w:rPr>
              <w:t>15</w:t>
            </w:r>
            <w:r>
              <w:rPr>
                <w:rFonts w:hint="eastAsia" w:ascii="宋体" w:hAnsi="宋体" w:eastAsia="宋体" w:cs="宋体"/>
                <w:color w:val="auto"/>
                <w:sz w:val="24"/>
              </w:rPr>
              <w:t>个工作日内</w:t>
            </w:r>
          </w:p>
        </w:tc>
      </w:tr>
      <w:tr w14:paraId="2DBB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6CBBA41C">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第三期</w:t>
            </w:r>
          </w:p>
        </w:tc>
        <w:tc>
          <w:tcPr>
            <w:tcW w:w="1143" w:type="pct"/>
            <w:vAlign w:val="center"/>
          </w:tcPr>
          <w:p w14:paraId="4FEB2D91">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30%</w:t>
            </w:r>
          </w:p>
        </w:tc>
        <w:tc>
          <w:tcPr>
            <w:tcW w:w="3195" w:type="pct"/>
            <w:vAlign w:val="center"/>
          </w:tcPr>
          <w:p w14:paraId="78BD90D7">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规划成果经专家评审论证通过，并通过规委会审议后，达到付款条件后</w:t>
            </w:r>
            <w:r>
              <w:rPr>
                <w:rFonts w:ascii="宋体" w:hAnsi="宋体" w:eastAsia="宋体" w:cs="宋体"/>
                <w:color w:val="auto"/>
                <w:sz w:val="24"/>
              </w:rPr>
              <w:t>15</w:t>
            </w:r>
            <w:r>
              <w:rPr>
                <w:rFonts w:hint="eastAsia" w:ascii="宋体" w:hAnsi="宋体" w:eastAsia="宋体" w:cs="宋体"/>
                <w:color w:val="auto"/>
                <w:sz w:val="24"/>
              </w:rPr>
              <w:t>个工作日内</w:t>
            </w:r>
          </w:p>
        </w:tc>
      </w:tr>
      <w:tr w14:paraId="42AF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06D62494">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第四期</w:t>
            </w:r>
          </w:p>
        </w:tc>
        <w:tc>
          <w:tcPr>
            <w:tcW w:w="1143" w:type="pct"/>
            <w:vAlign w:val="center"/>
          </w:tcPr>
          <w:p w14:paraId="14081C51">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15%</w:t>
            </w:r>
          </w:p>
        </w:tc>
        <w:tc>
          <w:tcPr>
            <w:tcW w:w="3195" w:type="pct"/>
            <w:vAlign w:val="center"/>
          </w:tcPr>
          <w:p w14:paraId="0E03EFFE">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规划成果经市政府批准后提交最终规划成果、数据库验收入库后，达到付款条件后</w:t>
            </w:r>
            <w:r>
              <w:rPr>
                <w:rFonts w:ascii="宋体" w:hAnsi="宋体" w:eastAsia="宋体" w:cs="宋体"/>
                <w:color w:val="auto"/>
                <w:sz w:val="24"/>
              </w:rPr>
              <w:t>15</w:t>
            </w:r>
            <w:r>
              <w:rPr>
                <w:rFonts w:hint="eastAsia" w:ascii="宋体" w:hAnsi="宋体" w:eastAsia="宋体" w:cs="宋体"/>
                <w:color w:val="auto"/>
                <w:sz w:val="24"/>
              </w:rPr>
              <w:t>个工作日内</w:t>
            </w:r>
          </w:p>
        </w:tc>
      </w:tr>
      <w:tr w14:paraId="7C56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pct"/>
            <w:vAlign w:val="center"/>
          </w:tcPr>
          <w:p w14:paraId="1FF86A14">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第五期</w:t>
            </w:r>
          </w:p>
        </w:tc>
        <w:tc>
          <w:tcPr>
            <w:tcW w:w="1143" w:type="pct"/>
            <w:vAlign w:val="center"/>
          </w:tcPr>
          <w:p w14:paraId="0D4A1EB4">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5%</w:t>
            </w:r>
          </w:p>
        </w:tc>
        <w:tc>
          <w:tcPr>
            <w:tcW w:w="3195" w:type="pct"/>
            <w:vAlign w:val="center"/>
          </w:tcPr>
          <w:p w14:paraId="4086FD97">
            <w:pPr>
              <w:adjustRightInd w:val="0"/>
              <w:snapToGrid w:val="0"/>
              <w:spacing w:line="360" w:lineRule="auto"/>
              <w:jc w:val="center"/>
              <w:rPr>
                <w:rFonts w:ascii="宋体" w:hAnsi="宋体" w:eastAsia="宋体" w:cs="宋体"/>
                <w:color w:val="auto"/>
                <w:sz w:val="24"/>
              </w:rPr>
            </w:pPr>
            <w:r>
              <w:rPr>
                <w:rFonts w:hint="eastAsia" w:ascii="宋体" w:hAnsi="宋体" w:eastAsia="宋体" w:cs="宋体"/>
                <w:color w:val="auto"/>
                <w:sz w:val="24"/>
              </w:rPr>
              <w:t>成果使用一年后且该段时间内项目责任规划师后续服务质量保障到位，达到付款条件后</w:t>
            </w:r>
            <w:r>
              <w:rPr>
                <w:rFonts w:ascii="宋体" w:hAnsi="宋体" w:eastAsia="宋体" w:cs="宋体"/>
                <w:color w:val="auto"/>
                <w:sz w:val="24"/>
              </w:rPr>
              <w:t>15</w:t>
            </w:r>
            <w:r>
              <w:rPr>
                <w:rFonts w:hint="eastAsia" w:ascii="宋体" w:hAnsi="宋体" w:eastAsia="宋体" w:cs="宋体"/>
                <w:color w:val="auto"/>
                <w:sz w:val="24"/>
              </w:rPr>
              <w:t>个工作日内</w:t>
            </w:r>
          </w:p>
        </w:tc>
      </w:tr>
    </w:tbl>
    <w:p w14:paraId="4EBEEBC4">
      <w:pPr>
        <w:adjustRightInd w:val="0"/>
        <w:snapToGrid w:val="0"/>
        <w:spacing w:line="360" w:lineRule="auto"/>
        <w:ind w:firstLine="480" w:firstLineChars="200"/>
        <w:rPr>
          <w:rFonts w:ascii="宋体" w:hAnsi="宋体" w:eastAsia="宋体" w:cs="宋体"/>
          <w:color w:val="auto"/>
          <w:sz w:val="24"/>
        </w:rPr>
      </w:pPr>
      <w:r>
        <w:rPr>
          <w:rFonts w:hint="eastAsia" w:ascii="宋体" w:hAnsi="宋体" w:eastAsia="宋体" w:cs="宋体"/>
          <w:sz w:val="24"/>
          <w:highlight w:val="none"/>
        </w:rPr>
        <w:t>（2）甲方付款前，乙方应根据甲方需要提供等额正规发票给甲方；否则甲方有权迟延付款且无需承担任何责任，同时不免除乙方所应履行的合同义务。乙方应当对其所开具发票的真实性及合法合规性负责，如果因为乙方所开具发票的真实性或合法性合规性而导致甲方无法抵扣税款或遭受其他损失的，乙方应承担赔偿责任，并在甲方要求的期限内重新开具合法有效的发票。</w:t>
      </w:r>
    </w:p>
    <w:p w14:paraId="2169780A">
      <w:pPr>
        <w:pStyle w:val="3"/>
        <w:spacing w:line="360" w:lineRule="auto"/>
        <w:ind w:firstLine="480"/>
        <w:rPr>
          <w:rFonts w:ascii="宋体" w:hAnsi="宋体" w:eastAsia="宋体" w:cs="宋体"/>
          <w:color w:val="auto"/>
          <w:sz w:val="24"/>
        </w:rPr>
      </w:pPr>
      <w:r>
        <w:rPr>
          <w:rFonts w:hint="eastAsia" w:ascii="宋体" w:hAnsi="宋体" w:eastAsia="宋体" w:cs="宋体"/>
          <w:color w:val="auto"/>
          <w:sz w:val="24"/>
        </w:rPr>
        <w:t>（3）如因乙方责任造成延期，给甲方造成损失的，乙方应当承担相应的损失。</w:t>
      </w:r>
    </w:p>
    <w:p w14:paraId="0FBD5958">
      <w:pPr>
        <w:pStyle w:val="3"/>
        <w:spacing w:line="360" w:lineRule="auto"/>
        <w:ind w:firstLine="480"/>
        <w:rPr>
          <w:rFonts w:ascii="宋体" w:hAnsi="宋体" w:eastAsia="宋体" w:cs="宋体"/>
          <w:color w:val="auto"/>
          <w:sz w:val="24"/>
        </w:rPr>
      </w:pPr>
      <w:r>
        <w:rPr>
          <w:rFonts w:hint="eastAsia" w:ascii="宋体" w:hAnsi="宋体" w:eastAsia="宋体" w:cs="宋体"/>
          <w:color w:val="auto"/>
          <w:sz w:val="24"/>
        </w:rPr>
        <w:t>（4）支付方式：银行转账。</w:t>
      </w:r>
    </w:p>
    <w:p w14:paraId="1BC05636">
      <w:pPr>
        <w:pStyle w:val="3"/>
        <w:spacing w:line="360" w:lineRule="auto"/>
        <w:ind w:firstLine="480"/>
        <w:rPr>
          <w:rFonts w:ascii="宋体" w:hAnsi="宋体" w:eastAsia="宋体" w:cs="宋体"/>
          <w:color w:val="auto"/>
          <w:sz w:val="24"/>
        </w:rPr>
      </w:pPr>
      <w:r>
        <w:rPr>
          <w:rFonts w:hint="eastAsia" w:ascii="宋体" w:hAnsi="宋体" w:eastAsia="宋体" w:cs="宋体"/>
          <w:color w:val="auto"/>
          <w:sz w:val="24"/>
        </w:rPr>
        <w:t>（5）收款信息：</w:t>
      </w:r>
    </w:p>
    <w:p w14:paraId="22DA2ECF">
      <w:pPr>
        <w:pStyle w:val="3"/>
        <w:spacing w:line="360" w:lineRule="auto"/>
        <w:ind w:firstLine="960" w:firstLineChars="400"/>
        <w:rPr>
          <w:rFonts w:ascii="宋体" w:hAnsi="宋体" w:eastAsia="宋体" w:cs="宋体"/>
          <w:color w:val="auto"/>
          <w:sz w:val="24"/>
        </w:rPr>
      </w:pPr>
      <w:r>
        <w:rPr>
          <w:rFonts w:hint="eastAsia" w:ascii="宋体" w:hAnsi="宋体" w:eastAsia="宋体" w:cs="宋体"/>
          <w:color w:val="auto"/>
          <w:sz w:val="24"/>
        </w:rPr>
        <w:t>开户行名称</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p>
    <w:p w14:paraId="22A5DFFB">
      <w:pPr>
        <w:pStyle w:val="3"/>
        <w:spacing w:line="360" w:lineRule="auto"/>
        <w:ind w:firstLine="960" w:firstLineChars="400"/>
        <w:rPr>
          <w:rFonts w:hint="eastAsia" w:ascii="宋体" w:hAnsi="宋体" w:eastAsia="宋体" w:cs="宋体"/>
          <w:color w:val="auto"/>
          <w:sz w:val="24"/>
        </w:rPr>
      </w:pPr>
      <w:r>
        <w:rPr>
          <w:rFonts w:hint="eastAsia" w:ascii="宋体" w:hAnsi="宋体" w:eastAsia="宋体" w:cs="宋体"/>
          <w:color w:val="auto"/>
          <w:sz w:val="24"/>
        </w:rPr>
        <w:t>开户账号</w:t>
      </w:r>
      <w:r>
        <w:rPr>
          <w:rFonts w:hint="eastAsia" w:ascii="宋体" w:hAnsi="宋体" w:eastAsia="宋体" w:cs="宋体"/>
          <w:color w:val="auto"/>
          <w:sz w:val="24"/>
          <w:u w:val="single"/>
        </w:rPr>
        <w:t xml:space="preserve"> </w:t>
      </w:r>
      <w:r>
        <w:rPr>
          <w:rFonts w:ascii="宋体" w:hAnsi="宋体" w:eastAsia="宋体" w:cs="宋体"/>
          <w:color w:val="auto"/>
          <w:sz w:val="24"/>
          <w:u w:val="single"/>
        </w:rPr>
        <w:t xml:space="preserve">                                </w:t>
      </w:r>
      <w:r>
        <w:rPr>
          <w:rFonts w:ascii="宋体" w:hAnsi="宋体" w:eastAsia="宋体" w:cs="宋体"/>
          <w:color w:val="auto"/>
          <w:sz w:val="24"/>
        </w:rPr>
        <w:t xml:space="preserve">  </w:t>
      </w:r>
    </w:p>
    <w:p w14:paraId="5F62183A">
      <w:pPr>
        <w:spacing w:line="360" w:lineRule="auto"/>
        <w:rPr>
          <w:rFonts w:ascii="宋体" w:hAnsi="宋体" w:eastAsia="宋体" w:cs="宋体"/>
          <w:b/>
          <w:color w:val="auto"/>
          <w:sz w:val="24"/>
        </w:rPr>
      </w:pPr>
      <w:r>
        <w:rPr>
          <w:rFonts w:hint="eastAsia" w:ascii="宋体" w:hAnsi="宋体" w:eastAsia="宋体" w:cs="宋体"/>
          <w:b/>
          <w:color w:val="auto"/>
          <w:sz w:val="24"/>
        </w:rPr>
        <w:t>四、服务要求</w:t>
      </w:r>
    </w:p>
    <w:p w14:paraId="7F2DAB78">
      <w:pPr>
        <w:tabs>
          <w:tab w:val="left" w:pos="480"/>
        </w:tabs>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以招标文件技术要求、投标文件响应、澄清表（函）、合同和随服务的相关文件为准。</w:t>
      </w:r>
    </w:p>
    <w:p w14:paraId="588674D3">
      <w:pPr>
        <w:tabs>
          <w:tab w:val="left" w:pos="480"/>
        </w:tabs>
        <w:spacing w:line="360" w:lineRule="auto"/>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 xml:space="preserve">2.乙方提交的工作成果未能获得专家评审或者市政府批准的，甲方有权要求乙方进行调整、修改，在合同约定期限内重新报送专家评审并获得通过政府批准、验收入库。 </w:t>
      </w:r>
    </w:p>
    <w:p w14:paraId="56C9DA51">
      <w:pPr>
        <w:spacing w:line="360" w:lineRule="auto"/>
        <w:rPr>
          <w:rFonts w:ascii="宋体" w:hAnsi="宋体" w:eastAsia="宋体" w:cs="宋体"/>
          <w:b/>
          <w:color w:val="auto"/>
          <w:sz w:val="24"/>
        </w:rPr>
      </w:pPr>
      <w:r>
        <w:rPr>
          <w:rFonts w:hint="eastAsia" w:ascii="宋体" w:hAnsi="宋体" w:eastAsia="宋体" w:cs="宋体"/>
          <w:b/>
          <w:color w:val="auto"/>
          <w:sz w:val="24"/>
        </w:rPr>
        <w:t>五、质量保证</w:t>
      </w:r>
    </w:p>
    <w:p w14:paraId="0A2BC248">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质量标准：符合相关法律法规以及国家、省部等相关标准、规范及甲方要求。</w:t>
      </w:r>
    </w:p>
    <w:p w14:paraId="492E5C6A">
      <w:pPr>
        <w:spacing w:line="360" w:lineRule="auto"/>
        <w:rPr>
          <w:rFonts w:ascii="宋体" w:hAnsi="宋体" w:eastAsia="宋体" w:cs="宋体"/>
          <w:b/>
          <w:color w:val="auto"/>
          <w:sz w:val="24"/>
        </w:rPr>
      </w:pPr>
      <w:r>
        <w:rPr>
          <w:rFonts w:hint="eastAsia" w:ascii="宋体" w:hAnsi="宋体" w:eastAsia="宋体" w:cs="宋体"/>
          <w:b/>
          <w:color w:val="auto"/>
          <w:sz w:val="24"/>
        </w:rPr>
        <w:t>六、知识产权</w:t>
      </w:r>
    </w:p>
    <w:p w14:paraId="73FAC272">
      <w:pPr>
        <w:pStyle w:val="13"/>
        <w:spacing w:line="360" w:lineRule="auto"/>
        <w:ind w:firstLine="480"/>
        <w:rPr>
          <w:rFonts w:hint="default" w:ascii="宋体" w:hAnsi="宋体" w:eastAsia="宋体" w:cs="宋体"/>
          <w:bCs/>
          <w:strike/>
          <w:color w:val="auto"/>
          <w:sz w:val="24"/>
          <w:szCs w:val="24"/>
        </w:rPr>
      </w:pPr>
      <w:r>
        <w:rPr>
          <w:rFonts w:ascii="宋体" w:hAnsi="宋体" w:eastAsia="宋体" w:cs="宋体"/>
          <w:bCs/>
          <w:color w:val="auto"/>
          <w:sz w:val="24"/>
          <w:szCs w:val="24"/>
        </w:rPr>
        <w:t>1、乙方保证，甲方在使用乙方所提供的服务时免受第三方提出的侵犯其专利权或其它知识产权的起诉；如甲方因使用乙方提供服务成果内容侵权引起的任何法律责任以及给甲方带来的所有损失(包括但不限于甲方向第三人支付的赔偿、诉讼费、甲方律师费、差旅费、鉴定公证费、甲方人员误工费等)由乙方承担，同时乙方应对此承担违约责任。</w:t>
      </w:r>
    </w:p>
    <w:p w14:paraId="0E7AAD53">
      <w:pPr>
        <w:pStyle w:val="5"/>
        <w:spacing w:after="0" w:line="360" w:lineRule="auto"/>
        <w:ind w:firstLine="480" w:firstLineChars="200"/>
        <w:rPr>
          <w:rFonts w:ascii="宋体" w:hAnsi="宋体" w:cs="宋体"/>
          <w:bCs/>
          <w:color w:val="auto"/>
          <w:sz w:val="24"/>
        </w:rPr>
      </w:pPr>
      <w:r>
        <w:rPr>
          <w:rFonts w:hint="eastAsia" w:ascii="宋体" w:hAnsi="宋体" w:cs="宋体"/>
          <w:bCs/>
          <w:color w:val="auto"/>
          <w:sz w:val="24"/>
        </w:rPr>
        <w:t>2、乙方提交的成果的知识产权归甲方所有。</w:t>
      </w:r>
    </w:p>
    <w:p w14:paraId="5006CEC8">
      <w:pPr>
        <w:pStyle w:val="3"/>
        <w:spacing w:line="360" w:lineRule="auto"/>
        <w:ind w:firstLine="0" w:firstLineChars="0"/>
        <w:rPr>
          <w:rFonts w:ascii="宋体" w:hAnsi="宋体" w:eastAsia="宋体" w:cs="宋体"/>
          <w:b/>
          <w:color w:val="auto"/>
          <w:sz w:val="24"/>
        </w:rPr>
      </w:pPr>
      <w:r>
        <w:rPr>
          <w:rFonts w:hint="eastAsia" w:ascii="宋体" w:hAnsi="宋体" w:eastAsia="宋体" w:cs="宋体"/>
          <w:b/>
          <w:color w:val="auto"/>
          <w:sz w:val="24"/>
        </w:rPr>
        <w:t>七、保密条款</w:t>
      </w:r>
    </w:p>
    <w:p w14:paraId="4423ECCA">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甲、乙双方对本合同履行过程中获得的对方的资料数据、商业技术信息等承担保密责任。未经对方事先书面同意，任何一方不得以任何形式向第三方泄露其相关内容。如任何一方未遵守本条约定，造成相对方损失的，违约方除赔偿守约方损失外，还需承担违约责任。本合同的解除或终止，不免除双方对本保密条款的遵守。本合同的解除或终止，不免除双方对本保密条款的遵守。</w:t>
      </w:r>
    </w:p>
    <w:p w14:paraId="2AF4F70D">
      <w:pPr>
        <w:spacing w:line="360" w:lineRule="auto"/>
        <w:rPr>
          <w:rFonts w:ascii="宋体" w:hAnsi="宋体" w:eastAsia="宋体" w:cs="宋体"/>
          <w:b/>
          <w:color w:val="auto"/>
          <w:sz w:val="24"/>
        </w:rPr>
      </w:pPr>
      <w:r>
        <w:rPr>
          <w:rFonts w:hint="eastAsia" w:ascii="宋体" w:hAnsi="宋体" w:eastAsia="宋体" w:cs="宋体"/>
          <w:b/>
          <w:color w:val="auto"/>
          <w:sz w:val="24"/>
        </w:rPr>
        <w:t>八、 无产权瑕疵条款</w:t>
      </w:r>
    </w:p>
    <w:p w14:paraId="6FF152D7">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乙方保证所提供的服务的所有权完全属于乙方且无任何抵押、查封等产权瑕疵。如有权力瑕疵的，视为乙方违约。乙方应负担由此而产生的一切损失并承担违约责任。</w:t>
      </w:r>
    </w:p>
    <w:p w14:paraId="682B8A20">
      <w:pPr>
        <w:spacing w:line="360" w:lineRule="auto"/>
        <w:rPr>
          <w:rFonts w:ascii="宋体" w:hAnsi="宋体" w:eastAsia="宋体" w:cs="宋体"/>
          <w:b/>
          <w:color w:val="auto"/>
          <w:sz w:val="24"/>
        </w:rPr>
      </w:pPr>
      <w:r>
        <w:rPr>
          <w:rFonts w:hint="eastAsia" w:ascii="宋体" w:hAnsi="宋体" w:eastAsia="宋体" w:cs="宋体"/>
          <w:b/>
          <w:color w:val="auto"/>
          <w:sz w:val="24"/>
        </w:rPr>
        <w:t>九、 甲方的权利和义务</w:t>
      </w:r>
    </w:p>
    <w:p w14:paraId="6794B10A">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1、甲方按照涉密管理相关要求，向乙方提供以下文件及资料。</w:t>
      </w:r>
    </w:p>
    <w:tbl>
      <w:tblPr>
        <w:tblStyle w:val="10"/>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5321"/>
        <w:gridCol w:w="2975"/>
      </w:tblGrid>
      <w:tr w14:paraId="4C37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vAlign w:val="center"/>
          </w:tcPr>
          <w:p w14:paraId="3E48A531">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序号</w:t>
            </w:r>
          </w:p>
        </w:tc>
        <w:tc>
          <w:tcPr>
            <w:tcW w:w="2894" w:type="pct"/>
            <w:vAlign w:val="center"/>
          </w:tcPr>
          <w:p w14:paraId="64984ECF">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文件及资料名称</w:t>
            </w:r>
          </w:p>
        </w:tc>
        <w:tc>
          <w:tcPr>
            <w:tcW w:w="1619" w:type="pct"/>
            <w:vAlign w:val="center"/>
          </w:tcPr>
          <w:p w14:paraId="1751D444">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内容格式</w:t>
            </w:r>
          </w:p>
        </w:tc>
      </w:tr>
      <w:tr w14:paraId="635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 w:type="pct"/>
            <w:vAlign w:val="center"/>
          </w:tcPr>
          <w:p w14:paraId="44701894">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1</w:t>
            </w:r>
          </w:p>
        </w:tc>
        <w:tc>
          <w:tcPr>
            <w:tcW w:w="2894" w:type="pct"/>
            <w:vAlign w:val="center"/>
          </w:tcPr>
          <w:p w14:paraId="4D861E41">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《汉中市国土空间总体规划（2021-2035年）》</w:t>
            </w:r>
          </w:p>
        </w:tc>
        <w:tc>
          <w:tcPr>
            <w:tcW w:w="1619" w:type="pct"/>
            <w:vAlign w:val="center"/>
          </w:tcPr>
          <w:p w14:paraId="26E0FA7B">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SHP格式矢量</w:t>
            </w:r>
          </w:p>
          <w:p w14:paraId="3D46822D">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CGCS2000坐标</w:t>
            </w:r>
          </w:p>
        </w:tc>
      </w:tr>
      <w:tr w14:paraId="59D0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486" w:type="pct"/>
            <w:vAlign w:val="center"/>
          </w:tcPr>
          <w:p w14:paraId="587CBAA6">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2</w:t>
            </w:r>
          </w:p>
        </w:tc>
        <w:tc>
          <w:tcPr>
            <w:tcW w:w="2894" w:type="pct"/>
            <w:vAlign w:val="center"/>
          </w:tcPr>
          <w:p w14:paraId="4295CA18">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中心城区各县区国土空间总体规划</w:t>
            </w:r>
          </w:p>
        </w:tc>
        <w:tc>
          <w:tcPr>
            <w:tcW w:w="1619" w:type="pct"/>
            <w:vAlign w:val="center"/>
          </w:tcPr>
          <w:p w14:paraId="123737D2">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SHP格式矢量</w:t>
            </w:r>
          </w:p>
          <w:p w14:paraId="350CC328">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CGCS2000坐标</w:t>
            </w:r>
          </w:p>
        </w:tc>
      </w:tr>
      <w:tr w14:paraId="5ED4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486" w:type="pct"/>
            <w:vAlign w:val="center"/>
          </w:tcPr>
          <w:p w14:paraId="7D8781FF">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3</w:t>
            </w:r>
          </w:p>
        </w:tc>
        <w:tc>
          <w:tcPr>
            <w:tcW w:w="2894" w:type="pct"/>
            <w:vAlign w:val="center"/>
          </w:tcPr>
          <w:p w14:paraId="13ECEB3F">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中心城区各片区国土空间详细规划阶段稿</w:t>
            </w:r>
          </w:p>
        </w:tc>
        <w:tc>
          <w:tcPr>
            <w:tcW w:w="1619" w:type="pct"/>
            <w:vAlign w:val="center"/>
          </w:tcPr>
          <w:p w14:paraId="3FD05432">
            <w:pPr>
              <w:pStyle w:val="3"/>
              <w:spacing w:line="240" w:lineRule="auto"/>
              <w:ind w:firstLine="0" w:firstLineChars="0"/>
              <w:jc w:val="center"/>
              <w:rPr>
                <w:rFonts w:ascii="宋体" w:hAnsi="宋体" w:eastAsia="宋体" w:cs="宋体"/>
                <w:bCs/>
                <w:color w:val="auto"/>
                <w:sz w:val="24"/>
              </w:rPr>
            </w:pPr>
            <w:r>
              <w:rPr>
                <w:rFonts w:hint="eastAsia" w:ascii="宋体" w:hAnsi="宋体" w:eastAsia="宋体" w:cs="宋体"/>
                <w:bCs/>
                <w:color w:val="auto"/>
                <w:sz w:val="24"/>
              </w:rPr>
              <w:t>PDF</w:t>
            </w:r>
          </w:p>
        </w:tc>
      </w:tr>
    </w:tbl>
    <w:p w14:paraId="5CD2F50C">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甲方有权对合同规定范围内乙方的服务行为进行监督和检查，拥有监管权。有权定期核对乙方提供服务所配备的人员数量。对甲方认为不合理的部分有权下达整改通知书，并要求乙方限期整改。乙方收到整改通知书后应在甲方给予的合理期限内完成整改工作，逾期按照合同约定承担</w:t>
      </w:r>
      <w:r>
        <w:rPr>
          <w:rFonts w:hint="eastAsia" w:ascii="宋体" w:hAnsi="宋体" w:eastAsia="宋体" w:cs="宋体"/>
          <w:bCs/>
          <w:color w:val="auto"/>
          <w:sz w:val="24"/>
          <w:lang w:val="en-US" w:eastAsia="zh-CN"/>
        </w:rPr>
        <w:t>违约责任</w:t>
      </w:r>
      <w:r>
        <w:rPr>
          <w:rFonts w:hint="eastAsia" w:ascii="宋体" w:hAnsi="宋体" w:eastAsia="宋体" w:cs="宋体"/>
          <w:bCs/>
          <w:color w:val="auto"/>
          <w:sz w:val="24"/>
        </w:rPr>
        <w:t>；逾期整改超过30日的，甲方有权书面通知乙方解除合同并要求其承担违约责任。</w:t>
      </w:r>
    </w:p>
    <w:p w14:paraId="1D7256D5">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、负责检查监督乙方管理工作的实施及制度的执行情况。</w:t>
      </w:r>
    </w:p>
    <w:p w14:paraId="1F734232">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lang w:val="en-US" w:eastAsia="zh-CN"/>
        </w:rPr>
        <w:t>4</w:t>
      </w:r>
      <w:r>
        <w:rPr>
          <w:rFonts w:hint="eastAsia" w:ascii="宋体" w:hAnsi="宋体" w:eastAsia="宋体" w:cs="宋体"/>
          <w:bCs/>
          <w:color w:val="auto"/>
          <w:sz w:val="24"/>
        </w:rPr>
        <w:t>、根据本合同规定，按时向乙方支付应付服务费用。</w:t>
      </w:r>
    </w:p>
    <w:p w14:paraId="22E70B1C">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lang w:val="en-US" w:eastAsia="zh-CN"/>
        </w:rPr>
        <w:t>5</w:t>
      </w:r>
      <w:r>
        <w:rPr>
          <w:rFonts w:hint="eastAsia" w:ascii="宋体" w:hAnsi="宋体" w:eastAsia="宋体" w:cs="宋体"/>
          <w:bCs/>
          <w:color w:val="auto"/>
          <w:sz w:val="24"/>
        </w:rPr>
        <w:t>、甲方应及时向乙方提供相关资料，协助乙方办理有关事宜。</w:t>
      </w:r>
    </w:p>
    <w:p w14:paraId="78335652">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lang w:val="en-US" w:eastAsia="zh-CN"/>
        </w:rPr>
        <w:t>6</w:t>
      </w:r>
      <w:r>
        <w:rPr>
          <w:rFonts w:hint="eastAsia" w:ascii="宋体" w:hAnsi="宋体" w:eastAsia="宋体" w:cs="宋体"/>
          <w:bCs/>
          <w:color w:val="auto"/>
          <w:sz w:val="24"/>
        </w:rPr>
        <w:t>、对合同条款及所知悉的乙方商业秘密负有保密义务。</w:t>
      </w:r>
    </w:p>
    <w:p w14:paraId="4E7FC0AD">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lang w:val="en-US" w:eastAsia="zh-CN"/>
        </w:rPr>
        <w:t>7</w:t>
      </w:r>
      <w:r>
        <w:rPr>
          <w:rFonts w:hint="eastAsia" w:ascii="宋体" w:hAnsi="宋体" w:eastAsia="宋体" w:cs="宋体"/>
          <w:bCs/>
          <w:color w:val="auto"/>
          <w:sz w:val="24"/>
        </w:rPr>
        <w:t>、国家法律、法规所规定由甲方承担的其它责任。</w:t>
      </w:r>
    </w:p>
    <w:p w14:paraId="5CFF7495">
      <w:pPr>
        <w:spacing w:line="360" w:lineRule="auto"/>
        <w:rPr>
          <w:rFonts w:ascii="宋体" w:hAnsi="宋体" w:eastAsia="宋体" w:cs="宋体"/>
          <w:b/>
          <w:color w:val="auto"/>
          <w:sz w:val="24"/>
        </w:rPr>
      </w:pPr>
      <w:r>
        <w:rPr>
          <w:rFonts w:hint="eastAsia" w:ascii="宋体" w:hAnsi="宋体" w:eastAsia="宋体" w:cs="宋体"/>
          <w:b/>
          <w:color w:val="auto"/>
          <w:sz w:val="24"/>
        </w:rPr>
        <w:t>十、 乙方的权利和义务</w:t>
      </w:r>
    </w:p>
    <w:p w14:paraId="3BA90B8F">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1、除甲方提供现有资料之外，其余资料由乙方自行联络解决。但甲方应提供协助、予以配合。</w:t>
      </w:r>
    </w:p>
    <w:p w14:paraId="5FF8E189">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2、对本合同规定的委托服务范围内的项目享有管理权及服务义务。</w:t>
      </w:r>
    </w:p>
    <w:p w14:paraId="7AA32C91">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3、根据本合同的规定向甲方收取相关服务费用，并有权在本项目管理范围内管理及合理使用。</w:t>
      </w:r>
    </w:p>
    <w:p w14:paraId="690E7420">
      <w:pPr>
        <w:pStyle w:val="3"/>
        <w:spacing w:line="360" w:lineRule="auto"/>
        <w:ind w:firstLine="480"/>
        <w:rPr>
          <w:rFonts w:hint="default" w:ascii="宋体" w:hAnsi="宋体" w:eastAsia="宋体" w:cs="宋体"/>
          <w:bCs/>
          <w:color w:val="auto"/>
          <w:sz w:val="24"/>
          <w:lang w:val="en-US" w:eastAsia="zh-CN"/>
        </w:rPr>
      </w:pPr>
      <w:r>
        <w:rPr>
          <w:rFonts w:hint="eastAsia" w:ascii="宋体" w:hAnsi="宋体" w:eastAsia="宋体" w:cs="宋体"/>
          <w:bCs/>
          <w:color w:val="auto"/>
          <w:sz w:val="24"/>
        </w:rPr>
        <w:t>4、及时向甲方通告本项目服务范围内有关服务的重大事项，及时配合处理。</w:t>
      </w:r>
      <w:r>
        <w:rPr>
          <w:rFonts w:hint="eastAsia" w:ascii="宋体" w:hAnsi="宋体" w:eastAsia="宋体" w:cs="宋体"/>
          <w:bCs/>
          <w:color w:val="auto"/>
          <w:sz w:val="24"/>
          <w:lang w:val="en-US" w:eastAsia="zh-CN"/>
        </w:rPr>
        <w:t>针对甲方就乙方提交的初步方案提出的异议，乙方应当进行必要合理的说明。</w:t>
      </w:r>
    </w:p>
    <w:p w14:paraId="0F77F96C">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5、乙方应保护甲方提供的相关资料。未经甲方同意不得擅自修改、复制或向第三人转让或用于本合同外的项目，如发生以上情况，乙方应负法律责任，甲方有权向乙方提出索赔。</w:t>
      </w:r>
    </w:p>
    <w:p w14:paraId="4C87AB09">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6、乙方在中途需更换所指派的项目负责人，应事先征得甲方同意，甲方应在接到乙方更换项目负责人申请后5个工作日内进行书面回复，逾期未回复的，视为同意乙方的更换要求。</w:t>
      </w:r>
    </w:p>
    <w:p w14:paraId="6EDF86F5">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7、接受项目行业管理部门及政府有关部门的指导，接受甲方的监督。</w:t>
      </w:r>
    </w:p>
    <w:p w14:paraId="66A58543">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8、乙方确定</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同志为项目负责人，</w:t>
      </w:r>
      <w:r>
        <w:rPr>
          <w:rFonts w:hint="eastAsia" w:ascii="宋体" w:hAnsi="宋体" w:eastAsia="宋体" w:cs="宋体"/>
          <w:color w:val="auto"/>
          <w:sz w:val="24"/>
        </w:rPr>
        <w:t>负责本项目的全过程的规划设计管理、联系、沟通、协调工作。全面履行合同约定的规划职责，</w:t>
      </w:r>
      <w:r>
        <w:rPr>
          <w:rFonts w:hint="eastAsia" w:ascii="宋体" w:hAnsi="宋体" w:eastAsia="宋体" w:cs="宋体"/>
          <w:bCs/>
          <w:color w:val="auto"/>
          <w:sz w:val="24"/>
        </w:rPr>
        <w:t>落实招标承诺书内容，在规划有效期内提供与本规划相关的专业技术咨询。</w:t>
      </w:r>
    </w:p>
    <w:p w14:paraId="616C0A66">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9、乙方项目团队人员配置必须与招标文件中所报项目组人员一致，并提供驻场人员名单和工作时间表，在编制期内应提供驻场周期。乙方应保证上述项目组人员在收到甲方进场通知后在规定期限内进场提供服务。</w:t>
      </w:r>
    </w:p>
    <w:p w14:paraId="0B2F8DB8">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10、乙方按合同要求交付规划设计成果后，参加有关规划设计成果的审查活动，并根据审查结论负责调整补充。合同履行过程中，若根据实际需要工作内容出现变化。乙方应当将工作变化情况及时书面报送甲方沟通。</w:t>
      </w:r>
    </w:p>
    <w:p w14:paraId="241E8C84">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11、乙方在本项目编制过程中收集的所有相关基础资料、调研数据，须全部提交甲方。</w:t>
      </w:r>
    </w:p>
    <w:p w14:paraId="1484EC0E">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12、按照合同约定期限，参与中心城区市政类专项规划的规划审查，并出具书面审查意见</w:t>
      </w:r>
      <w:r>
        <w:rPr>
          <w:rFonts w:hint="eastAsia" w:ascii="宋体" w:hAnsi="宋体" w:eastAsia="宋体" w:cs="宋体"/>
          <w:bCs/>
          <w:color w:val="auto"/>
          <w:sz w:val="24"/>
          <w:lang w:eastAsia="zh-CN"/>
        </w:rPr>
        <w:t>；</w:t>
      </w:r>
      <w:r>
        <w:rPr>
          <w:rFonts w:hint="eastAsia" w:ascii="宋体" w:hAnsi="宋体" w:eastAsia="宋体" w:cs="宋体"/>
          <w:bCs/>
          <w:color w:val="auto"/>
          <w:sz w:val="24"/>
        </w:rPr>
        <w:t>按照合同约定期限，参与中心城区管线建设相关的规划审查，并出具书面指导意见。</w:t>
      </w:r>
    </w:p>
    <w:p w14:paraId="504C68C9">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13、双方一致确认：非因甲方原因导致专家评审、规委会审议和市政府批准等流程滞后的，甲方不对此承担责任，但甲方应当积极配合乙方协调相关部门加快流程。</w:t>
      </w:r>
    </w:p>
    <w:p w14:paraId="680091F7">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14、乙方对其提交的规划设计成果质量终身负责，并负责对在合同约定范围内的规划设计成果出现的遗漏或错误进行修改、补充。</w:t>
      </w:r>
    </w:p>
    <w:p w14:paraId="5136B3D1">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15、合同期满，如甲方因政策原因、上级主管部门要求或者涉及诉讼案件等情形需要对本合同项下规划成果进行说明的，乙方应当委派工作人员进行说明，甲方不再另行支付费用。</w:t>
      </w:r>
    </w:p>
    <w:p w14:paraId="72416ADE">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16、国家法律、法规所规定由乙方承担的其它责任。</w:t>
      </w:r>
    </w:p>
    <w:p w14:paraId="21505FED">
      <w:pPr>
        <w:spacing w:line="360" w:lineRule="auto"/>
        <w:rPr>
          <w:rFonts w:ascii="宋体" w:hAnsi="宋体" w:eastAsia="宋体" w:cs="宋体"/>
          <w:b/>
          <w:color w:val="auto"/>
          <w:sz w:val="24"/>
        </w:rPr>
      </w:pPr>
      <w:r>
        <w:rPr>
          <w:rFonts w:hint="eastAsia" w:ascii="宋体" w:hAnsi="宋体" w:eastAsia="宋体" w:cs="宋体"/>
          <w:b/>
          <w:color w:val="auto"/>
          <w:sz w:val="24"/>
        </w:rPr>
        <w:t>十一、 违约责任</w:t>
      </w:r>
    </w:p>
    <w:p w14:paraId="07D7FCE1">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1、甲乙双方必须遵守本合同并执行合同中的各项规定，保证本合同的正常履行。</w:t>
      </w:r>
    </w:p>
    <w:p w14:paraId="33C68DE0">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83CD6EB">
      <w:pPr>
        <w:pStyle w:val="3"/>
        <w:spacing w:line="360" w:lineRule="auto"/>
        <w:ind w:firstLine="480"/>
        <w:rPr>
          <w:rFonts w:hint="eastAsia" w:ascii="宋体" w:hAnsi="宋体" w:cs="宋体"/>
          <w:bCs/>
          <w:sz w:val="24"/>
          <w:highlight w:val="none"/>
        </w:rPr>
      </w:pPr>
      <w:r>
        <w:rPr>
          <w:rFonts w:hint="eastAsia" w:ascii="宋体" w:hAnsi="宋体" w:cs="宋体"/>
          <w:bCs/>
          <w:sz w:val="24"/>
          <w:highlight w:val="none"/>
        </w:rPr>
        <w:t>3、</w:t>
      </w:r>
      <w:r>
        <w:rPr>
          <w:rFonts w:ascii="宋体" w:hAnsi="宋体" w:cs="宋体"/>
          <w:bCs/>
          <w:sz w:val="24"/>
          <w:highlight w:val="none"/>
        </w:rPr>
        <w:t>未按合同要求进行项目的实施或实施不能满足技术要求，</w:t>
      </w:r>
      <w:r>
        <w:rPr>
          <w:rFonts w:hint="eastAsia" w:ascii="宋体" w:hAnsi="宋体" w:cs="宋体"/>
          <w:bCs/>
          <w:sz w:val="24"/>
          <w:highlight w:val="none"/>
        </w:rPr>
        <w:t>甲方</w:t>
      </w:r>
      <w:r>
        <w:rPr>
          <w:rFonts w:ascii="宋体" w:hAnsi="宋体" w:cs="宋体"/>
          <w:bCs/>
          <w:sz w:val="24"/>
          <w:highlight w:val="none"/>
        </w:rPr>
        <w:t>有权终止合同和对</w:t>
      </w:r>
      <w:r>
        <w:rPr>
          <w:rFonts w:hint="eastAsia" w:ascii="宋体" w:hAnsi="宋体" w:cs="宋体"/>
          <w:bCs/>
          <w:sz w:val="24"/>
          <w:highlight w:val="none"/>
        </w:rPr>
        <w:t>乙方</w:t>
      </w:r>
      <w:r>
        <w:rPr>
          <w:rFonts w:ascii="宋体" w:hAnsi="宋体" w:cs="宋体"/>
          <w:bCs/>
          <w:sz w:val="24"/>
          <w:highlight w:val="none"/>
        </w:rPr>
        <w:t>违约行为进行追究，同时按政府采购法的有关规定进行相应的处罚。</w:t>
      </w:r>
    </w:p>
    <w:p w14:paraId="60735CAE">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4、如因乙方原因导致甲方遭受损失，或导致合同解除的，乙方</w:t>
      </w:r>
      <w:r>
        <w:rPr>
          <w:rFonts w:hint="eastAsia" w:ascii="宋体" w:hAnsi="宋体" w:eastAsia="宋体" w:cs="宋体"/>
          <w:bCs/>
          <w:color w:val="auto"/>
          <w:sz w:val="24"/>
          <w:lang w:val="en-US" w:eastAsia="zh-CN"/>
        </w:rPr>
        <w:t>应当</w:t>
      </w:r>
      <w:r>
        <w:rPr>
          <w:rFonts w:hint="eastAsia" w:ascii="宋体" w:hAnsi="宋体" w:eastAsia="宋体" w:cs="宋体"/>
          <w:bCs/>
          <w:color w:val="auto"/>
          <w:sz w:val="24"/>
        </w:rPr>
        <w:t>赔偿甲方相关损失。</w:t>
      </w:r>
    </w:p>
    <w:p w14:paraId="77B6BED6">
      <w:pPr>
        <w:pStyle w:val="3"/>
        <w:spacing w:line="360" w:lineRule="auto"/>
        <w:ind w:firstLine="480"/>
        <w:rPr>
          <w:rFonts w:ascii="宋体" w:hAnsi="宋体" w:eastAsia="宋体" w:cs="宋体"/>
          <w:color w:val="auto"/>
          <w:sz w:val="24"/>
        </w:rPr>
      </w:pPr>
      <w:r>
        <w:rPr>
          <w:rFonts w:hint="eastAsia" w:ascii="宋体" w:hAnsi="宋体" w:eastAsia="宋体" w:cs="宋体"/>
          <w:bCs/>
          <w:color w:val="auto"/>
          <w:sz w:val="24"/>
        </w:rPr>
        <w:t>5、</w:t>
      </w:r>
      <w:r>
        <w:rPr>
          <w:rFonts w:hint="eastAsia" w:ascii="宋体" w:hAnsi="宋体" w:eastAsia="宋体" w:cs="宋体"/>
          <w:color w:val="auto"/>
          <w:sz w:val="24"/>
        </w:rPr>
        <w:t>甲方未按约定向乙方支付合同款项的，乙方有权书面通知甲方，并要求甲方及时拨付</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甲方应当根据乙方要求和合同约定，按期足额支付合同款项</w:t>
      </w:r>
      <w:r>
        <w:rPr>
          <w:rFonts w:hint="eastAsia" w:ascii="宋体" w:hAnsi="宋体" w:eastAsia="宋体" w:cs="宋体"/>
          <w:color w:val="auto"/>
          <w:sz w:val="24"/>
        </w:rPr>
        <w:t>。</w:t>
      </w:r>
    </w:p>
    <w:p w14:paraId="0821B94A">
      <w:pPr>
        <w:pStyle w:val="3"/>
        <w:spacing w:line="360" w:lineRule="auto"/>
        <w:ind w:firstLine="480"/>
        <w:rPr>
          <w:rFonts w:hint="eastAsia" w:ascii="宋体" w:hAnsi="宋体" w:eastAsia="宋体" w:cs="宋体"/>
          <w:bCs/>
          <w:color w:val="auto"/>
          <w:sz w:val="24"/>
        </w:rPr>
      </w:pPr>
      <w:r>
        <w:rPr>
          <w:rFonts w:hint="eastAsia" w:ascii="宋体" w:hAnsi="宋体" w:eastAsia="宋体" w:cs="宋体"/>
          <w:color w:val="auto"/>
          <w:sz w:val="24"/>
        </w:rPr>
        <w:t>6、因甲方及甲方上级或相关审批部门等非乙方原因导致本合同项目部分或全部工作停滞或取消的，乙方未开始相关工作的，</w:t>
      </w:r>
      <w:r>
        <w:rPr>
          <w:rFonts w:hint="eastAsia" w:ascii="宋体" w:hAnsi="宋体" w:eastAsia="宋体" w:cs="宋体"/>
          <w:color w:val="auto"/>
          <w:sz w:val="24"/>
          <w:lang w:val="en-US" w:eastAsia="zh-CN"/>
        </w:rPr>
        <w:t>合同期限相应顺延，不视为乙方违约</w:t>
      </w:r>
      <w:r>
        <w:rPr>
          <w:rFonts w:hint="eastAsia" w:ascii="宋体" w:hAnsi="宋体" w:eastAsia="宋体" w:cs="宋体"/>
          <w:color w:val="auto"/>
          <w:sz w:val="24"/>
        </w:rPr>
        <w:t>。</w:t>
      </w:r>
    </w:p>
    <w:p w14:paraId="24636586">
      <w:pPr>
        <w:spacing w:line="360" w:lineRule="auto"/>
        <w:rPr>
          <w:rFonts w:ascii="宋体" w:hAnsi="宋体" w:eastAsia="宋体" w:cs="宋体"/>
          <w:b/>
          <w:color w:val="auto"/>
          <w:sz w:val="24"/>
        </w:rPr>
      </w:pPr>
      <w:r>
        <w:rPr>
          <w:rFonts w:hint="eastAsia" w:ascii="宋体" w:hAnsi="宋体" w:eastAsia="宋体" w:cs="宋体"/>
          <w:b/>
          <w:color w:val="auto"/>
          <w:sz w:val="24"/>
        </w:rPr>
        <w:t>十二、不可抗力事件处理</w:t>
      </w:r>
    </w:p>
    <w:p w14:paraId="48F80CCC">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1、在合同有效期内，任何一方因不可抗力事件导致不能履行合同，则合同履行期可延长，其延长期与不可抗力影响期相同，不可抗力导致延期期间不计算逾期违约金。</w:t>
      </w:r>
    </w:p>
    <w:p w14:paraId="52DEAD92">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2、不可抗力事件发生后，具有通知义务的一方应立即通知对方，报告所发生的不可抗力并提供有关部门的证明文件。因负有通知义务的一方未及时行通知义务造成相对方损失的，不免除其赔偿责任。</w:t>
      </w:r>
    </w:p>
    <w:p w14:paraId="4098B711">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3、不可抗力事件延续15天以上，双方应通过友好协商，确定是否继续履行合同，若双方决定终止合同的，互不承担违约责任。</w:t>
      </w:r>
    </w:p>
    <w:p w14:paraId="49F55D13">
      <w:pPr>
        <w:spacing w:line="360" w:lineRule="auto"/>
        <w:rPr>
          <w:rFonts w:ascii="宋体" w:hAnsi="宋体" w:eastAsia="宋体" w:cs="宋体"/>
          <w:b/>
          <w:color w:val="auto"/>
          <w:sz w:val="24"/>
        </w:rPr>
      </w:pPr>
      <w:r>
        <w:rPr>
          <w:rFonts w:hint="eastAsia" w:ascii="宋体" w:hAnsi="宋体" w:eastAsia="宋体" w:cs="宋体"/>
          <w:b/>
          <w:color w:val="auto"/>
          <w:sz w:val="24"/>
        </w:rPr>
        <w:t>十三、解决合同纠纷的方式</w:t>
      </w:r>
    </w:p>
    <w:p w14:paraId="7FDB8637">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在执行本合同中发生的或与本合同有关的争端，双方应通过友好协商解决，经协商在 7 天内不能达成协议时，则采取向</w:t>
      </w:r>
      <w:r>
        <w:rPr>
          <w:rFonts w:hint="eastAsia" w:ascii="宋体" w:hAnsi="宋体" w:eastAsia="宋体" w:cs="宋体"/>
          <w:bCs/>
          <w:color w:val="auto"/>
          <w:sz w:val="24"/>
          <w:u w:val="single"/>
        </w:rPr>
        <w:t>甲方所在地</w:t>
      </w:r>
      <w:r>
        <w:rPr>
          <w:rFonts w:hint="eastAsia" w:ascii="宋体" w:hAnsi="宋体" w:eastAsia="宋体" w:cs="宋体"/>
          <w:bCs/>
          <w:color w:val="auto"/>
          <w:sz w:val="24"/>
        </w:rPr>
        <w:t>有管辖权的人民法院提起诉讼方式解决争议。</w:t>
      </w:r>
    </w:p>
    <w:p w14:paraId="01B14FB0">
      <w:pPr>
        <w:spacing w:line="360" w:lineRule="auto"/>
        <w:rPr>
          <w:rFonts w:ascii="宋体" w:hAnsi="宋体" w:eastAsia="宋体" w:cs="宋体"/>
          <w:b/>
          <w:color w:val="auto"/>
          <w:sz w:val="24"/>
        </w:rPr>
      </w:pPr>
      <w:r>
        <w:rPr>
          <w:rFonts w:hint="eastAsia" w:ascii="宋体" w:hAnsi="宋体" w:eastAsia="宋体" w:cs="宋体"/>
          <w:b/>
          <w:color w:val="auto"/>
          <w:sz w:val="24"/>
        </w:rPr>
        <w:t>十四、合同生效及其他</w:t>
      </w:r>
    </w:p>
    <w:p w14:paraId="4273C6E9">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1、合同经双方法定代表人或授权委托代理人签字并加盖单位公章后生效。</w:t>
      </w:r>
    </w:p>
    <w:p w14:paraId="09C1EA28">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2、本合同一式</w:t>
      </w:r>
      <w:r>
        <w:rPr>
          <w:rFonts w:hint="eastAsia" w:ascii="宋体" w:hAnsi="宋体" w:eastAsia="宋体" w:cs="宋体"/>
          <w:bCs/>
          <w:color w:val="auto"/>
          <w:sz w:val="24"/>
          <w:u w:val="single"/>
        </w:rPr>
        <w:t xml:space="preserve"> 伍 </w:t>
      </w:r>
      <w:r>
        <w:rPr>
          <w:rFonts w:hint="eastAsia" w:ascii="宋体" w:hAnsi="宋体" w:eastAsia="宋体" w:cs="宋体"/>
          <w:bCs/>
          <w:color w:val="auto"/>
          <w:sz w:val="24"/>
        </w:rPr>
        <w:t>份，自双方签章之日起起效。甲方</w:t>
      </w:r>
      <w:r>
        <w:rPr>
          <w:rFonts w:hint="eastAsia" w:ascii="宋体" w:hAnsi="宋体" w:eastAsia="宋体" w:cs="宋体"/>
          <w:bCs/>
          <w:color w:val="auto"/>
          <w:sz w:val="24"/>
          <w:u w:val="single"/>
        </w:rPr>
        <w:t xml:space="preserve"> 贰 </w:t>
      </w:r>
      <w:r>
        <w:rPr>
          <w:rFonts w:hint="eastAsia" w:ascii="宋体" w:hAnsi="宋体" w:eastAsia="宋体" w:cs="宋体"/>
          <w:bCs/>
          <w:color w:val="auto"/>
          <w:sz w:val="24"/>
        </w:rPr>
        <w:t>份，乙方</w:t>
      </w:r>
      <w:r>
        <w:rPr>
          <w:rFonts w:hint="eastAsia" w:ascii="宋体" w:hAnsi="宋体" w:eastAsia="宋体" w:cs="宋体"/>
          <w:bCs/>
          <w:color w:val="auto"/>
          <w:sz w:val="24"/>
          <w:u w:val="single"/>
        </w:rPr>
        <w:t xml:space="preserve"> 贰 </w:t>
      </w:r>
      <w:r>
        <w:rPr>
          <w:rFonts w:hint="eastAsia" w:ascii="宋体" w:hAnsi="宋体" w:eastAsia="宋体" w:cs="宋体"/>
          <w:bCs/>
          <w:color w:val="auto"/>
          <w:sz w:val="24"/>
        </w:rPr>
        <w:t>份，同级财政部门备案</w:t>
      </w:r>
      <w:r>
        <w:rPr>
          <w:rFonts w:hint="eastAsia" w:ascii="宋体" w:hAnsi="宋体" w:eastAsia="宋体" w:cs="宋体"/>
          <w:bCs/>
          <w:color w:val="auto"/>
          <w:sz w:val="24"/>
          <w:u w:val="single"/>
        </w:rPr>
        <w:t xml:space="preserve"> 壹 </w:t>
      </w:r>
      <w:r>
        <w:rPr>
          <w:rFonts w:hint="eastAsia" w:ascii="宋体" w:hAnsi="宋体" w:eastAsia="宋体" w:cs="宋体"/>
          <w:bCs/>
          <w:color w:val="auto"/>
          <w:sz w:val="24"/>
        </w:rPr>
        <w:t>份，具有同等法律效力。</w:t>
      </w:r>
    </w:p>
    <w:p w14:paraId="1531B24D">
      <w:pPr>
        <w:spacing w:line="360" w:lineRule="auto"/>
        <w:rPr>
          <w:rFonts w:ascii="宋体" w:hAnsi="宋体" w:eastAsia="宋体" w:cs="宋体"/>
          <w:b/>
          <w:color w:val="auto"/>
          <w:sz w:val="24"/>
        </w:rPr>
      </w:pPr>
      <w:r>
        <w:rPr>
          <w:rFonts w:hint="eastAsia" w:ascii="宋体" w:hAnsi="宋体" w:eastAsia="宋体" w:cs="宋体"/>
          <w:b/>
          <w:color w:val="auto"/>
          <w:sz w:val="24"/>
        </w:rPr>
        <w:t>十五、 附件</w:t>
      </w:r>
    </w:p>
    <w:p w14:paraId="6AE847F5">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1、招标文件</w:t>
      </w:r>
    </w:p>
    <w:p w14:paraId="66E6AFD7">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2、修改澄清文件（若有）</w:t>
      </w:r>
    </w:p>
    <w:p w14:paraId="4E639A5A">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3、投标文件</w:t>
      </w:r>
    </w:p>
    <w:p w14:paraId="3AA5A5A6">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4、中标通知书</w:t>
      </w:r>
    </w:p>
    <w:p w14:paraId="7819EC04">
      <w:pPr>
        <w:pStyle w:val="3"/>
        <w:spacing w:line="360" w:lineRule="auto"/>
        <w:ind w:firstLine="480"/>
        <w:rPr>
          <w:rFonts w:hint="eastAsia" w:ascii="宋体" w:hAnsi="宋体" w:eastAsia="宋体" w:cs="宋体"/>
          <w:bCs/>
          <w:color w:val="auto"/>
          <w:sz w:val="24"/>
        </w:rPr>
      </w:pPr>
      <w:r>
        <w:rPr>
          <w:rFonts w:hint="eastAsia" w:ascii="宋体" w:hAnsi="宋体" w:eastAsia="宋体" w:cs="宋体"/>
          <w:bCs/>
          <w:color w:val="auto"/>
          <w:sz w:val="24"/>
        </w:rPr>
        <w:t>5、其他</w:t>
      </w:r>
    </w:p>
    <w:p w14:paraId="797AE453">
      <w:pPr>
        <w:pStyle w:val="3"/>
        <w:spacing w:line="360" w:lineRule="auto"/>
        <w:ind w:firstLine="480"/>
        <w:rPr>
          <w:rFonts w:hint="eastAsia" w:ascii="宋体" w:hAnsi="宋体" w:eastAsia="宋体" w:cs="宋体"/>
          <w:bCs/>
          <w:color w:val="auto"/>
          <w:sz w:val="24"/>
        </w:rPr>
      </w:pPr>
    </w:p>
    <w:p w14:paraId="2538AA27">
      <w:pPr>
        <w:pStyle w:val="3"/>
        <w:spacing w:line="360" w:lineRule="auto"/>
        <w:ind w:firstLine="480"/>
        <w:rPr>
          <w:rFonts w:ascii="宋体" w:hAnsi="宋体" w:eastAsia="宋体" w:cs="宋体"/>
          <w:bCs/>
          <w:color w:val="auto"/>
          <w:sz w:val="24"/>
        </w:rPr>
      </w:pPr>
    </w:p>
    <w:p w14:paraId="726F239C">
      <w:pPr>
        <w:pStyle w:val="3"/>
        <w:spacing w:line="360" w:lineRule="auto"/>
        <w:ind w:firstLine="480"/>
        <w:rPr>
          <w:rFonts w:ascii="宋体" w:hAnsi="宋体" w:eastAsia="宋体" w:cs="宋体"/>
          <w:bCs/>
          <w:color w:val="auto"/>
          <w:sz w:val="24"/>
        </w:rPr>
      </w:pPr>
    </w:p>
    <w:p w14:paraId="5FD39C43">
      <w:pPr>
        <w:pStyle w:val="3"/>
        <w:spacing w:line="360" w:lineRule="auto"/>
        <w:ind w:firstLine="480"/>
        <w:rPr>
          <w:rFonts w:hint="eastAsia" w:ascii="宋体" w:hAnsi="宋体" w:eastAsia="宋体" w:cs="宋体"/>
          <w:bCs/>
          <w:color w:val="auto"/>
          <w:sz w:val="24"/>
        </w:rPr>
      </w:pPr>
    </w:p>
    <w:p w14:paraId="4D00062D">
      <w:pPr>
        <w:pStyle w:val="3"/>
        <w:spacing w:line="360" w:lineRule="auto"/>
        <w:ind w:firstLine="480"/>
        <w:rPr>
          <w:rFonts w:hint="eastAsia" w:ascii="宋体" w:hAnsi="宋体" w:eastAsia="宋体" w:cs="宋体"/>
          <w:bCs/>
          <w:color w:val="auto"/>
          <w:sz w:val="24"/>
        </w:rPr>
      </w:pPr>
    </w:p>
    <w:p w14:paraId="275E54EC">
      <w:pPr>
        <w:pStyle w:val="3"/>
        <w:spacing w:line="360" w:lineRule="auto"/>
        <w:ind w:firstLine="480"/>
        <w:rPr>
          <w:rFonts w:hint="eastAsia" w:ascii="宋体" w:hAnsi="宋体" w:eastAsia="宋体" w:cs="宋体"/>
          <w:bCs/>
          <w:color w:val="auto"/>
          <w:sz w:val="24"/>
        </w:rPr>
      </w:pPr>
    </w:p>
    <w:p w14:paraId="1C8F88C7">
      <w:pPr>
        <w:pStyle w:val="3"/>
        <w:spacing w:line="360" w:lineRule="auto"/>
        <w:ind w:firstLine="480"/>
        <w:rPr>
          <w:rFonts w:hint="eastAsia" w:ascii="宋体" w:hAnsi="宋体" w:eastAsia="宋体" w:cs="宋体"/>
          <w:bCs/>
          <w:color w:val="auto"/>
          <w:sz w:val="24"/>
        </w:rPr>
      </w:pPr>
    </w:p>
    <w:p w14:paraId="7F5CA195">
      <w:pPr>
        <w:pStyle w:val="3"/>
        <w:spacing w:line="360" w:lineRule="auto"/>
        <w:ind w:firstLine="48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以下为签章页，无正文</w:t>
      </w:r>
      <w:r>
        <w:rPr>
          <w:rFonts w:hint="eastAsia" w:ascii="宋体" w:hAnsi="宋体" w:eastAsia="宋体" w:cs="宋体"/>
          <w:bCs/>
          <w:sz w:val="24"/>
          <w:highlight w:val="none"/>
          <w:lang w:val="en-US" w:eastAsia="zh-CN"/>
        </w:rPr>
        <w:t>--------------</w:t>
      </w:r>
    </w:p>
    <w:p w14:paraId="2CB3CC0E">
      <w:pPr>
        <w:pStyle w:val="3"/>
        <w:spacing w:line="360" w:lineRule="auto"/>
        <w:ind w:firstLine="480"/>
        <w:rPr>
          <w:rFonts w:hint="eastAsia" w:ascii="宋体" w:hAnsi="宋体" w:eastAsia="宋体" w:cs="宋体"/>
          <w:bCs/>
          <w:color w:val="auto"/>
          <w:sz w:val="24"/>
          <w:lang w:val="en-US" w:eastAsia="zh-CN"/>
        </w:rPr>
      </w:pPr>
    </w:p>
    <w:p w14:paraId="78CD4441">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 xml:space="preserve">甲方（盖章）：      </w:t>
      </w:r>
      <w:r>
        <w:rPr>
          <w:rFonts w:hint="eastAsia" w:ascii="宋体" w:hAnsi="宋体" w:eastAsia="宋体" w:cs="宋体"/>
          <w:bCs/>
          <w:color w:val="auto"/>
          <w:sz w:val="24"/>
        </w:rPr>
        <w:tab/>
      </w:r>
      <w:r>
        <w:rPr>
          <w:rFonts w:hint="eastAsia" w:ascii="宋体" w:hAnsi="宋体" w:eastAsia="宋体" w:cs="宋体"/>
          <w:bCs/>
          <w:color w:val="auto"/>
          <w:sz w:val="24"/>
        </w:rPr>
        <w:tab/>
      </w:r>
      <w:r>
        <w:rPr>
          <w:rFonts w:hint="eastAsia" w:ascii="宋体" w:hAnsi="宋体" w:eastAsia="宋体" w:cs="宋体"/>
          <w:bCs/>
          <w:color w:val="auto"/>
          <w:sz w:val="24"/>
        </w:rPr>
        <w:tab/>
      </w:r>
      <w:r>
        <w:rPr>
          <w:rFonts w:hint="eastAsia" w:ascii="宋体" w:hAnsi="宋体" w:eastAsia="宋体" w:cs="宋体"/>
          <w:bCs/>
          <w:color w:val="auto"/>
          <w:sz w:val="24"/>
        </w:rPr>
        <w:t xml:space="preserve">        乙方（盖章）：   </w:t>
      </w:r>
    </w:p>
    <w:p w14:paraId="5E34392A">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 xml:space="preserve">法定代表人（授权代表签字）：       </w:t>
      </w:r>
      <w:r>
        <w:rPr>
          <w:rFonts w:hint="eastAsia" w:ascii="宋体" w:hAnsi="宋体" w:eastAsia="宋体" w:cs="宋体"/>
          <w:bCs/>
          <w:color w:val="auto"/>
          <w:sz w:val="24"/>
          <w:lang w:val="en-US" w:eastAsia="zh-CN"/>
        </w:rPr>
        <w:t xml:space="preserve"> </w:t>
      </w:r>
      <w:r>
        <w:rPr>
          <w:rFonts w:hint="eastAsia" w:ascii="宋体" w:hAnsi="宋体" w:eastAsia="宋体" w:cs="宋体"/>
          <w:bCs/>
          <w:color w:val="auto"/>
          <w:sz w:val="24"/>
        </w:rPr>
        <w:t>法定代表人（授权代表签字）：</w:t>
      </w:r>
    </w:p>
    <w:p w14:paraId="371B8B9F">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地    址：                         地    址：</w:t>
      </w:r>
    </w:p>
    <w:p w14:paraId="13DCFA5E">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开户银行：                         开户银行：</w:t>
      </w:r>
    </w:p>
    <w:p w14:paraId="6C5AABE5">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账号：                             账号：</w:t>
      </w:r>
    </w:p>
    <w:p w14:paraId="4AE8B3C3">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电    话：                         电    话：</w:t>
      </w:r>
    </w:p>
    <w:p w14:paraId="39BE4F35">
      <w:pPr>
        <w:pStyle w:val="3"/>
        <w:spacing w:line="360" w:lineRule="auto"/>
        <w:ind w:firstLine="480"/>
        <w:rPr>
          <w:rFonts w:ascii="宋体" w:hAnsi="宋体" w:eastAsia="宋体" w:cs="宋体"/>
          <w:bCs/>
          <w:color w:val="auto"/>
          <w:sz w:val="24"/>
        </w:rPr>
      </w:pPr>
      <w:r>
        <w:rPr>
          <w:rFonts w:hint="eastAsia" w:ascii="宋体" w:hAnsi="宋体" w:eastAsia="宋体" w:cs="宋体"/>
          <w:bCs/>
          <w:color w:val="auto"/>
          <w:sz w:val="24"/>
        </w:rPr>
        <w:t>传    真：                         传    真：</w:t>
      </w:r>
    </w:p>
    <w:p w14:paraId="12A3D0D7">
      <w:pPr>
        <w:pStyle w:val="3"/>
        <w:spacing w:line="360" w:lineRule="auto"/>
        <w:ind w:firstLine="480"/>
        <w:rPr>
          <w:rFonts w:ascii="宋体" w:hAnsi="宋体" w:eastAsia="宋体" w:cs="宋体"/>
          <w:color w:val="auto"/>
          <w:sz w:val="24"/>
        </w:rPr>
      </w:pPr>
      <w:r>
        <w:rPr>
          <w:rFonts w:hint="eastAsia" w:ascii="宋体" w:hAnsi="宋体" w:eastAsia="宋体" w:cs="宋体"/>
          <w:bCs/>
          <w:color w:val="auto"/>
          <w:sz w:val="24"/>
        </w:rPr>
        <w:t xml:space="preserve">签约日期：   年   月   日 </w:t>
      </w:r>
      <w:r>
        <w:rPr>
          <w:rFonts w:hint="eastAsia" w:ascii="宋体" w:hAnsi="宋体" w:eastAsia="宋体" w:cs="宋体"/>
          <w:bCs/>
          <w:color w:val="auto"/>
          <w:sz w:val="24"/>
        </w:rPr>
        <w:tab/>
      </w:r>
      <w:r>
        <w:rPr>
          <w:rFonts w:hint="eastAsia" w:ascii="宋体" w:hAnsi="宋体" w:eastAsia="宋体" w:cs="宋体"/>
          <w:bCs/>
          <w:color w:val="auto"/>
          <w:sz w:val="24"/>
        </w:rPr>
        <w:tab/>
      </w:r>
      <w:r>
        <w:rPr>
          <w:rFonts w:hint="eastAsia" w:ascii="宋体" w:hAnsi="宋体" w:eastAsia="宋体" w:cs="宋体"/>
          <w:bCs/>
          <w:color w:val="auto"/>
          <w:sz w:val="24"/>
        </w:rPr>
        <w:tab/>
      </w:r>
      <w:r>
        <w:rPr>
          <w:rFonts w:hint="eastAsia" w:ascii="宋体" w:hAnsi="宋体" w:eastAsia="宋体" w:cs="宋体"/>
          <w:bCs/>
          <w:color w:val="auto"/>
          <w:sz w:val="24"/>
        </w:rPr>
        <w:t>签约日期：   年   月   日</w:t>
      </w:r>
    </w:p>
    <w:p w14:paraId="60578E10">
      <w:pPr>
        <w:spacing w:line="360" w:lineRule="auto"/>
        <w:rPr>
          <w:rFonts w:ascii="宋体" w:hAnsi="宋体" w:eastAsia="宋体" w:cs="宋体"/>
          <w:b/>
          <w:bCs/>
          <w:color w:val="auto"/>
          <w:sz w:val="24"/>
        </w:rPr>
      </w:pPr>
    </w:p>
    <w:p w14:paraId="70FE0DB3">
      <w:pPr>
        <w:spacing w:line="360" w:lineRule="auto"/>
        <w:rPr>
          <w:rFonts w:ascii="宋体" w:hAnsi="宋体" w:eastAsia="宋体" w:cs="宋体"/>
          <w:b/>
          <w:bCs/>
          <w:color w:val="auto"/>
          <w:sz w:val="24"/>
        </w:rPr>
      </w:pPr>
    </w:p>
    <w:p w14:paraId="40A7A6F0">
      <w:pPr>
        <w:spacing w:line="360" w:lineRule="auto"/>
        <w:rPr>
          <w:rFonts w:ascii="宋体" w:hAnsi="宋体" w:eastAsia="宋体" w:cs="宋体"/>
          <w:sz w:val="24"/>
        </w:rPr>
      </w:pPr>
      <w:r>
        <w:rPr>
          <w:rFonts w:hint="eastAsia" w:ascii="宋体" w:hAnsi="宋体" w:eastAsia="宋体" w:cs="宋体"/>
          <w:b/>
          <w:bCs/>
          <w:color w:val="auto"/>
          <w:sz w:val="24"/>
        </w:rPr>
        <w:t>（说明：合同主要条款仅列出重要条款，合同主要条款未尽事宜签约后由甲乙双方商定订立补充协议</w:t>
      </w:r>
      <w:r>
        <w:rPr>
          <w:rFonts w:hint="eastAsia" w:ascii="宋体" w:hAnsi="宋体" w:eastAsia="宋体" w:cs="宋体"/>
          <w:b/>
          <w:bCs/>
          <w:sz w:val="24"/>
        </w:rPr>
        <w:t>）</w:t>
      </w:r>
      <w:bookmarkEnd w:id="0"/>
    </w:p>
    <w:p w14:paraId="0C0C8827">
      <w:pPr>
        <w:sectPr>
          <w:footerReference r:id="rId4" w:type="default"/>
          <w:pgSz w:w="11906" w:h="16838"/>
          <w:pgMar w:top="1440" w:right="1463" w:bottom="1440" w:left="1463" w:header="851" w:footer="992" w:gutter="0"/>
          <w:pgNumType w:start="1"/>
          <w:cols w:space="425" w:num="1"/>
          <w:docGrid w:type="lines" w:linePitch="312" w:charSpace="0"/>
        </w:sectPr>
      </w:pPr>
    </w:p>
    <w:p w14:paraId="5F3298EC">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b w:val="0"/>
          <w:bCs w:val="0"/>
          <w:color w:val="auto"/>
          <w:sz w:val="32"/>
          <w:szCs w:val="32"/>
          <w:highlight w:val="none"/>
          <w:vertAlign w:val="baseline"/>
          <w:lang w:val="en-US" w:eastAsia="zh-CN"/>
        </w:rPr>
      </w:pPr>
      <w:r>
        <w:rPr>
          <w:rFonts w:hint="eastAsia" w:ascii="黑体" w:hAnsi="黑体" w:eastAsia="黑体" w:cs="黑体"/>
          <w:b w:val="0"/>
          <w:bCs w:val="0"/>
          <w:color w:val="auto"/>
          <w:sz w:val="32"/>
          <w:szCs w:val="32"/>
          <w:highlight w:val="none"/>
          <w:vertAlign w:val="baseline"/>
          <w:lang w:val="en-US" w:eastAsia="zh-CN"/>
        </w:rPr>
        <w:t>附：</w:t>
      </w:r>
    </w:p>
    <w:p w14:paraId="08A92761">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b w:val="0"/>
          <w:bCs w:val="0"/>
          <w:color w:val="auto"/>
          <w:sz w:val="44"/>
          <w:szCs w:val="44"/>
          <w:highlight w:val="none"/>
          <w:vertAlign w:val="baseline"/>
          <w:lang w:val="en-US" w:eastAsia="zh-CN"/>
        </w:rPr>
      </w:pPr>
    </w:p>
    <w:p w14:paraId="64E66925">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《汉中市中心城区道路竖向专项规划》</w:t>
      </w:r>
    </w:p>
    <w:p w14:paraId="50AF0F02">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设计任务书</w:t>
      </w:r>
    </w:p>
    <w:p w14:paraId="7AFA38F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p>
    <w:p w14:paraId="63F518C8">
      <w:pPr>
        <w:spacing w:beforeLines="0" w:afterLines="0"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规划背景</w:t>
      </w:r>
    </w:p>
    <w:p w14:paraId="6F743485">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为深入贯彻落实中央城市工作会议精神和高质量发展要求，支撑城市空间有序发展，</w:t>
      </w:r>
      <w:r>
        <w:rPr>
          <w:rFonts w:hint="eastAsia" w:ascii="仿宋_GB2312" w:hAnsi="宋体" w:eastAsia="仿宋_GB2312" w:cs="仿宋_GB2312"/>
          <w:color w:val="auto"/>
          <w:kern w:val="0"/>
          <w:sz w:val="32"/>
          <w:szCs w:val="32"/>
          <w:highlight w:val="none"/>
          <w:lang w:val="en-US" w:eastAsia="zh-CN" w:bidi="ar"/>
        </w:rPr>
        <w:t>通过建立统筹协调的竖向管控框架，确保道路竖向布局与城市整体发展格局相契合，</w:t>
      </w:r>
      <w:r>
        <w:rPr>
          <w:rFonts w:hint="eastAsia" w:ascii="Times New Roman" w:hAnsi="Times New Roman" w:eastAsia="仿宋_GB2312" w:cs="Times New Roman"/>
          <w:color w:val="auto"/>
          <w:kern w:val="0"/>
          <w:sz w:val="32"/>
          <w:szCs w:val="32"/>
          <w:highlight w:val="none"/>
          <w:lang w:val="en-US" w:eastAsia="zh-CN" w:bidi="ar"/>
        </w:rPr>
        <w:t>提升排水系统性能，减少城市内涝问题，协调道路与周边地块的高程关系，保障城市基础设施的正常运行和城市的安全发展，开展汉中市中心城区道路竖向专项规划编制工作，为中心城区道路建设与管理提供科学依据。</w:t>
      </w:r>
    </w:p>
    <w:p w14:paraId="628A4804">
      <w:pPr>
        <w:spacing w:beforeLines="0" w:afterLines="0" w:line="560" w:lineRule="exact"/>
        <w:ind w:firstLine="640" w:firstLineChars="200"/>
        <w:rPr>
          <w:rFonts w:hint="eastAsia"/>
          <w:color w:val="auto"/>
          <w:sz w:val="32"/>
          <w:szCs w:val="32"/>
          <w:highlight w:val="none"/>
        </w:rPr>
      </w:pPr>
      <w:r>
        <w:rPr>
          <w:rFonts w:hint="eastAsia" w:ascii="Times New Roman" w:hAnsi="Times New Roman" w:eastAsia="黑体" w:cs="Times New Roman"/>
          <w:color w:val="auto"/>
          <w:sz w:val="32"/>
          <w:szCs w:val="32"/>
          <w:highlight w:val="none"/>
        </w:rPr>
        <w:t>二、编制依据</w:t>
      </w:r>
    </w:p>
    <w:p w14:paraId="0D9A8697">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《中华人民共和国城乡规划法》（2019年修订）；</w:t>
      </w:r>
    </w:p>
    <w:p w14:paraId="660A8DE5">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2</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《中华人民共和国土地管理法》（2019年修订）；</w:t>
      </w:r>
    </w:p>
    <w:p w14:paraId="334A13D3">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3</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《城乡建设用地竖向规划规范》（CJJ83-2016）；</w:t>
      </w:r>
    </w:p>
    <w:p w14:paraId="598C5DDB">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4</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《汉中市国土空间总体规划（2021-2035年）》；</w:t>
      </w:r>
    </w:p>
    <w:p w14:paraId="6520100F">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5</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2025年中央城市工作会议精神及汉中市贯彻落实意见；</w:t>
      </w:r>
    </w:p>
    <w:p w14:paraId="56CF97E5">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s="黑体"/>
          <w:color w:val="auto"/>
          <w:kern w:val="0"/>
          <w:sz w:val="32"/>
          <w:szCs w:val="32"/>
          <w:highlight w:val="none"/>
        </w:rPr>
      </w:pPr>
      <w:r>
        <w:rPr>
          <w:rFonts w:hint="default" w:ascii="仿宋_GB2312" w:eastAsia="仿宋_GB2312" w:cs="黑体" w:hAnsiTheme="minorHAnsi"/>
          <w:color w:val="auto"/>
          <w:kern w:val="0"/>
          <w:sz w:val="32"/>
          <w:szCs w:val="32"/>
          <w:highlight w:val="none"/>
          <w:lang w:val="en-US" w:eastAsia="zh-CN" w:bidi="ar-SA"/>
        </w:rPr>
        <w:t>6</w:t>
      </w:r>
      <w:r>
        <w:rPr>
          <w:rFonts w:hint="eastAsia" w:ascii="仿宋_GB2312" w:eastAsia="仿宋_GB2312" w:cs="黑体"/>
          <w:color w:val="auto"/>
          <w:kern w:val="0"/>
          <w:sz w:val="32"/>
          <w:szCs w:val="32"/>
          <w:highlight w:val="none"/>
          <w:lang w:val="en-US" w:eastAsia="zh-CN" w:bidi="ar-SA"/>
        </w:rPr>
        <w:t>.</w:t>
      </w:r>
      <w:r>
        <w:rPr>
          <w:rFonts w:hint="eastAsia" w:ascii="仿宋_GB2312" w:eastAsia="仿宋_GB2312" w:cs="黑体"/>
          <w:color w:val="auto"/>
          <w:kern w:val="0"/>
          <w:sz w:val="32"/>
          <w:szCs w:val="32"/>
          <w:highlight w:val="none"/>
        </w:rPr>
        <w:t>中共汉中市委《关于深入学习贯彻习近平总书记来汉中考察重要指示精神努力建设环境优美绿色低碳宜居宜游的生态城市的决定》（汉发〔2023〕12号）；</w:t>
      </w:r>
    </w:p>
    <w:p w14:paraId="51814E4E">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s="黑体"/>
          <w:color w:val="auto"/>
          <w:kern w:val="0"/>
          <w:sz w:val="32"/>
          <w:szCs w:val="32"/>
          <w:highlight w:val="none"/>
        </w:rPr>
      </w:pPr>
      <w:r>
        <w:rPr>
          <w:rFonts w:hint="default" w:ascii="仿宋_GB2312" w:eastAsia="仿宋_GB2312" w:cs="黑体" w:hAnsiTheme="minorHAnsi"/>
          <w:color w:val="auto"/>
          <w:kern w:val="0"/>
          <w:sz w:val="32"/>
          <w:szCs w:val="32"/>
          <w:highlight w:val="none"/>
          <w:lang w:val="en-US" w:eastAsia="zh-CN" w:bidi="ar-SA"/>
        </w:rPr>
        <w:t>7</w:t>
      </w:r>
      <w:r>
        <w:rPr>
          <w:rFonts w:hint="eastAsia" w:ascii="仿宋_GB2312" w:eastAsia="仿宋_GB2312" w:cs="黑体"/>
          <w:color w:val="auto"/>
          <w:kern w:val="0"/>
          <w:sz w:val="32"/>
          <w:szCs w:val="32"/>
          <w:highlight w:val="none"/>
          <w:lang w:val="en-US" w:eastAsia="zh-CN" w:bidi="ar-SA"/>
        </w:rPr>
        <w:t>.</w:t>
      </w:r>
      <w:r>
        <w:rPr>
          <w:rFonts w:hint="eastAsia" w:ascii="仿宋_GB2312" w:eastAsia="仿宋_GB2312" w:cs="黑体"/>
          <w:color w:val="auto"/>
          <w:kern w:val="0"/>
          <w:sz w:val="32"/>
          <w:szCs w:val="32"/>
          <w:highlight w:val="none"/>
        </w:rPr>
        <w:t>国家、省、市关于</w:t>
      </w:r>
      <w:r>
        <w:rPr>
          <w:rFonts w:hint="eastAsia" w:ascii="仿宋_GB2312" w:eastAsia="仿宋_GB2312" w:cs="黑体"/>
          <w:color w:val="auto"/>
          <w:kern w:val="0"/>
          <w:sz w:val="32"/>
          <w:szCs w:val="32"/>
          <w:highlight w:val="none"/>
          <w:lang w:val="en-US" w:eastAsia="zh-CN"/>
        </w:rPr>
        <w:t>道路竖向</w:t>
      </w:r>
      <w:r>
        <w:rPr>
          <w:rFonts w:hint="eastAsia" w:ascii="仿宋_GB2312" w:eastAsia="仿宋_GB2312" w:cs="黑体"/>
          <w:color w:val="auto"/>
          <w:kern w:val="0"/>
          <w:sz w:val="32"/>
          <w:szCs w:val="32"/>
          <w:highlight w:val="none"/>
        </w:rPr>
        <w:t>工作的其他相关政策文件、标准规范及规划要求。</w:t>
      </w:r>
    </w:p>
    <w:p w14:paraId="7CC07526">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三、项目范围</w:t>
      </w:r>
    </w:p>
    <w:p w14:paraId="5FE384B2">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bidi="ar"/>
        </w:rPr>
        <w:t>规划编制范围为汉中市国土空间总体规划确定的中心城区，城镇开发边界面积约161.42平方公里，其中江北区域城镇开发边界内117.19平方公里为新编规划，研判并纳入江南区域44.23平方公里的规划编制成果。</w:t>
      </w:r>
    </w:p>
    <w:p w14:paraId="5740CB42">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、规划主要内容</w:t>
      </w:r>
    </w:p>
    <w:p w14:paraId="61D0C13A">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规划主要内容</w:t>
      </w:r>
    </w:p>
    <w:p w14:paraId="0EB73D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研究分析坡度、控制高程和平衡土方等，合理规划道路节点的竖向高程，为城市道路和周边地块开发建设竖向控制和排水方向提供依据。</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应包括但不限于下列主要内容：</w:t>
      </w:r>
    </w:p>
    <w:p w14:paraId="73B933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1</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结合</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城市用地布局，做好用地地形、地貌和地质分析，充分利用与适当改造地形，确定主要控制点标高；</w:t>
      </w:r>
    </w:p>
    <w:p w14:paraId="0299DC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default" w:ascii="仿宋_GB2312" w:hAnsi="仿宋_GB2312" w:eastAsia="仿宋_GB2312" w:cs="仿宋_GB2312"/>
          <w:b w:val="0"/>
          <w:bCs/>
          <w:i w:val="0"/>
          <w:iCs w:val="0"/>
          <w:caps w:val="0"/>
          <w:color w:val="auto"/>
          <w:spacing w:val="8"/>
          <w:sz w:val="32"/>
          <w:szCs w:val="32"/>
          <w:highlight w:val="none"/>
          <w:shd w:val="clear" w:fill="FFFFFF"/>
          <w:lang w:val="en-US"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2</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城市快速路、主干路与高速公路、铁路主干线交叉点的控制标高；</w:t>
      </w:r>
    </w:p>
    <w:p w14:paraId="4701C8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3</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确定主次干道交叉点、变坡点的控制标高；</w:t>
      </w:r>
    </w:p>
    <w:p w14:paraId="55C992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4</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道路</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竖向</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及各类管线</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规划中所需的其他控制标高；</w:t>
      </w:r>
    </w:p>
    <w:p w14:paraId="069FAD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5</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确定</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道路两侧</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地块排水走向、控制高程；</w:t>
      </w:r>
    </w:p>
    <w:p w14:paraId="6F0323E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6</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明确道路穿越江、河、渠道等水系的高程控制要求；</w:t>
      </w:r>
    </w:p>
    <w:p w14:paraId="005EECB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7</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明确道路跨（穿）越铁路的高程控制要求；</w:t>
      </w:r>
    </w:p>
    <w:p w14:paraId="19F635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03" w:firstLineChars="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8</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河流水系对两岸道路竖向设计的要求。</w:t>
      </w:r>
    </w:p>
    <w:p w14:paraId="42C55668">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二</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环境影响评价</w:t>
      </w:r>
    </w:p>
    <w:p w14:paraId="57A609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14:paraId="58B36B26">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default"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三</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动画演示</w:t>
      </w:r>
    </w:p>
    <w:p w14:paraId="6F409C6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lang w:val="en-US" w:eastAsia="zh-CN"/>
        </w:rPr>
        <w:t>用动画动态演示规划，需充分展示规划的重点成果与关键节点，直观展示对比规划前后的效果。</w:t>
      </w:r>
    </w:p>
    <w:p w14:paraId="326AA2B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auto"/>
          <w:sz w:val="32"/>
          <w:szCs w:val="32"/>
          <w:highlight w:val="none"/>
          <w:vertAlign w:val="baseline"/>
          <w:lang w:val="en-US" w:eastAsia="zh-CN"/>
        </w:rPr>
      </w:pPr>
      <w:r>
        <w:rPr>
          <w:rFonts w:hint="eastAsia" w:ascii="黑体" w:hAnsi="黑体" w:eastAsia="黑体" w:cs="黑体"/>
          <w:b w:val="0"/>
          <w:bCs w:val="0"/>
          <w:color w:val="auto"/>
          <w:sz w:val="32"/>
          <w:szCs w:val="32"/>
          <w:highlight w:val="none"/>
          <w:vertAlign w:val="baseline"/>
          <w:lang w:val="en-US" w:eastAsia="zh-CN"/>
        </w:rPr>
        <w:t>五、成果要求</w:t>
      </w:r>
    </w:p>
    <w:p w14:paraId="413C62E2">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总体要求</w:t>
      </w:r>
    </w:p>
    <w:p w14:paraId="391A4D4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规划编制要符合《汉中市国土空间总体规划（2021-2035年）》等上位规划要求，纳入国土空间规划“一张图”实施监督系统和国土空间规划实施监测网络（CSPON）管理。规划内容和深度要符合《</w:t>
      </w:r>
      <w:r>
        <w:rPr>
          <w:rFonts w:hint="eastAsia" w:ascii="仿宋_GB2312" w:hAnsi="仿宋_GB2312" w:eastAsia="仿宋_GB2312" w:cs="仿宋_GB2312"/>
          <w:b w:val="0"/>
          <w:bCs w:val="0"/>
          <w:color w:val="auto"/>
          <w:sz w:val="32"/>
          <w:szCs w:val="32"/>
          <w:highlight w:val="none"/>
          <w:vertAlign w:val="baseline"/>
          <w:lang w:val="en-US" w:eastAsia="zh-CN"/>
        </w:rPr>
        <w:fldChar w:fldCharType="begin"/>
      </w:r>
      <w:r>
        <w:rPr>
          <w:rFonts w:hint="eastAsia" w:ascii="仿宋_GB2312" w:hAnsi="仿宋_GB2312" w:eastAsia="仿宋_GB2312" w:cs="仿宋_GB2312"/>
          <w:b w:val="0"/>
          <w:bCs w:val="0"/>
          <w:color w:val="auto"/>
          <w:sz w:val="32"/>
          <w:szCs w:val="32"/>
          <w:highlight w:val="none"/>
          <w:vertAlign w:val="baseline"/>
          <w:lang w:val="en-US" w:eastAsia="zh-CN"/>
        </w:rPr>
        <w:instrText xml:space="preserve"> HYPERLINK "https://zhida.zhihu.com/search?content_id=235344939&amp;content_type=Article&amp;match_order=1&amp;q=%E5%9F%8E%E4%B9%A1%E5%BB%BA%E8%AE%BE%E7%94%A8%E5%9C%B0%E7%AB%96%E5%90%91%E8%A7%84%E5%88%92%E8%A7%84%E8%8C%83&amp;zhida_source=entity" \t "https://zhuanlan.zhihu.com/p/_blank" </w:instrText>
      </w:r>
      <w:r>
        <w:rPr>
          <w:rFonts w:hint="eastAsia" w:ascii="仿宋_GB2312" w:hAnsi="仿宋_GB2312" w:eastAsia="仿宋_GB2312" w:cs="仿宋_GB2312"/>
          <w:b w:val="0"/>
          <w:bCs w:val="0"/>
          <w:color w:val="auto"/>
          <w:sz w:val="32"/>
          <w:szCs w:val="32"/>
          <w:highlight w:val="none"/>
          <w:vertAlign w:val="baseline"/>
          <w:lang w:val="en-US" w:eastAsia="zh-CN"/>
        </w:rPr>
        <w:fldChar w:fldCharType="separate"/>
      </w:r>
      <w:r>
        <w:rPr>
          <w:rFonts w:hint="eastAsia" w:ascii="仿宋_GB2312" w:hAnsi="仿宋_GB2312" w:eastAsia="仿宋_GB2312" w:cs="仿宋_GB2312"/>
          <w:b w:val="0"/>
          <w:bCs w:val="0"/>
          <w:color w:val="auto"/>
          <w:sz w:val="32"/>
          <w:szCs w:val="32"/>
          <w:highlight w:val="none"/>
          <w:vertAlign w:val="baseline"/>
          <w:lang w:val="en-US" w:eastAsia="zh-CN"/>
        </w:rPr>
        <w:t>城乡建设用地竖向规划规范</w:t>
      </w:r>
      <w:r>
        <w:rPr>
          <w:rFonts w:hint="eastAsia" w:ascii="仿宋_GB2312" w:hAnsi="仿宋_GB2312" w:eastAsia="仿宋_GB2312" w:cs="仿宋_GB2312"/>
          <w:b w:val="0"/>
          <w:bCs w:val="0"/>
          <w:color w:val="auto"/>
          <w:sz w:val="32"/>
          <w:szCs w:val="32"/>
          <w:highlight w:val="none"/>
          <w:vertAlign w:val="baseline"/>
          <w:lang w:val="en-US" w:eastAsia="zh-CN"/>
        </w:rPr>
        <w:fldChar w:fldCharType="end"/>
      </w:r>
      <w:r>
        <w:rPr>
          <w:rFonts w:hint="eastAsia" w:ascii="仿宋_GB2312" w:hAnsi="仿宋_GB2312" w:eastAsia="仿宋_GB2312" w:cs="仿宋_GB2312"/>
          <w:b w:val="0"/>
          <w:bCs w:val="0"/>
          <w:color w:val="auto"/>
          <w:sz w:val="32"/>
          <w:szCs w:val="32"/>
          <w:highlight w:val="none"/>
          <w:vertAlign w:val="baseline"/>
          <w:lang w:val="en-US" w:eastAsia="zh-CN"/>
        </w:rPr>
        <w:t>》CJJ 83-2016等相关规范标准要求。</w:t>
      </w:r>
    </w:p>
    <w:p w14:paraId="53D186AC">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二</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成果形式</w:t>
      </w:r>
    </w:p>
    <w:p w14:paraId="743578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1.现状资料。现状管线图（比例尺为1：500或1：1000，CAD文件或shp文件格式）</w:t>
      </w:r>
    </w:p>
    <w:p w14:paraId="312BE46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2.规划成果。包括文本、说明书、图纸、环境影响篇章或说明、数据库应能在汉中市国土空间规划“一张图”实施监督信息系统和国土空间规划实施监测网络（CSPON）上搭载应用、汇报演示文件等（文字为doc格式，图纸为dwg、GIS、jpg格式，数据库为mdb、gdb格式，效果图为jpg格式，供汇报展示用演示文件为ppt格式）。</w:t>
      </w:r>
    </w:p>
    <w:p w14:paraId="22EDEFDC">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六</w:t>
      </w:r>
      <w:r>
        <w:rPr>
          <w:rFonts w:hint="eastAsia" w:ascii="黑体" w:hAnsi="黑体" w:eastAsia="黑体" w:cs="黑体"/>
          <w:color w:val="auto"/>
          <w:sz w:val="32"/>
          <w:szCs w:val="32"/>
          <w:highlight w:val="none"/>
          <w:lang w:val="en-US" w:eastAsia="zh-CN"/>
        </w:rPr>
        <w:t>、其他要求</w:t>
      </w:r>
    </w:p>
    <w:p w14:paraId="5AA39E3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仿宋_GB2312" w:eastAsia="仿宋_GB2312" w:cs="仿宋_GB2312"/>
          <w:b w:val="0"/>
          <w:bCs w:val="0"/>
          <w:color w:val="auto"/>
          <w:sz w:val="32"/>
          <w:szCs w:val="32"/>
          <w:highlight w:val="none"/>
          <w:vertAlign w:val="baseline"/>
          <w:lang w:val="en-US" w:eastAsia="zh-CN"/>
        </w:rPr>
        <w:t>按照合同约定期限，参与中心城区市政基础设施相关的规划建设，并出具书面指导意见</w:t>
      </w:r>
      <w:r>
        <w:rPr>
          <w:rFonts w:hint="eastAsia" w:ascii="仿宋_GB2312" w:hAnsi="宋体" w:eastAsia="仿宋_GB2312" w:cs="仿宋_GB2312"/>
          <w:color w:val="auto"/>
          <w:kern w:val="0"/>
          <w:sz w:val="32"/>
          <w:szCs w:val="32"/>
          <w:highlight w:val="none"/>
          <w:lang w:val="en-US" w:eastAsia="zh-CN" w:bidi="ar"/>
        </w:rPr>
        <w:t>。</w:t>
      </w:r>
    </w:p>
    <w:p w14:paraId="465B7AD3">
      <w:pPr>
        <w:numPr>
          <w:ilvl w:val="0"/>
          <w:numId w:val="0"/>
        </w:numPr>
        <w:spacing w:beforeLines="0" w:afterLines="0"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Times New Roman" w:hAnsi="Times New Roman" w:eastAsia="黑体" w:cs="Times New Roman"/>
          <w:color w:val="auto"/>
          <w:sz w:val="32"/>
          <w:szCs w:val="32"/>
          <w:highlight w:val="none"/>
          <w:lang w:val="en-US" w:eastAsia="zh-CN"/>
        </w:rPr>
        <w:t>七</w:t>
      </w:r>
      <w:r>
        <w:rPr>
          <w:rFonts w:hint="eastAsia" w:ascii="Times New Roman" w:hAnsi="Times New Roman" w:eastAsia="黑体" w:cs="Times New Roman"/>
          <w:color w:val="auto"/>
          <w:sz w:val="32"/>
          <w:szCs w:val="32"/>
          <w:highlight w:val="none"/>
        </w:rPr>
        <w:t>、成果验收</w:t>
      </w:r>
    </w:p>
    <w:p w14:paraId="5146FE91">
      <w:pPr>
        <w:spacing w:beforeLines="0" w:afterLines="0" w:line="56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经汉</w:t>
      </w:r>
      <w:r>
        <w:rPr>
          <w:rFonts w:hint="eastAsia" w:ascii="仿宋_GB2312" w:hAnsi="仿宋_GB2312" w:eastAsia="仿宋_GB2312" w:cs="仿宋_GB2312"/>
          <w:color w:val="auto"/>
          <w:sz w:val="32"/>
          <w:szCs w:val="32"/>
          <w:highlight w:val="none"/>
        </w:rPr>
        <w:t>中市国土空间规划委员会审议通过后一个月内，设计方根据各阶段研究审议提出的修改、补充、完善意见，全面修改，达到纸质及电子文档最终成果提交要求，经</w:t>
      </w:r>
      <w:r>
        <w:rPr>
          <w:rFonts w:hint="eastAsia" w:ascii="仿宋_GB2312" w:hAnsi="仿宋_GB2312" w:eastAsia="仿宋_GB2312" w:cs="仿宋_GB2312"/>
          <w:color w:val="auto"/>
          <w:sz w:val="32"/>
          <w:szCs w:val="32"/>
          <w:highlight w:val="none"/>
          <w:lang w:eastAsia="zh-CN"/>
        </w:rPr>
        <w:t>市自然资源局联合相关行业主管部门</w:t>
      </w:r>
      <w:r>
        <w:rPr>
          <w:rFonts w:hint="eastAsia" w:ascii="仿宋_GB2312" w:hAnsi="仿宋_GB2312" w:eastAsia="仿宋_GB2312" w:cs="仿宋_GB2312"/>
          <w:color w:val="auto"/>
          <w:sz w:val="32"/>
          <w:szCs w:val="32"/>
          <w:highlight w:val="none"/>
        </w:rPr>
        <w:t>复核无误，出具</w:t>
      </w:r>
      <w:r>
        <w:rPr>
          <w:rFonts w:hint="eastAsia" w:ascii="仿宋_GB2312" w:eastAsia="仿宋_GB2312"/>
          <w:color w:val="auto"/>
          <w:sz w:val="32"/>
          <w:szCs w:val="32"/>
          <w:highlight w:val="none"/>
        </w:rPr>
        <w:t>书面成果接收清单后，方可视为正式通过验收。</w:t>
      </w:r>
    </w:p>
    <w:p w14:paraId="7081D0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宋体" w:eastAsia="仿宋_GB2312" w:cs="仿宋_GB2312"/>
          <w:color w:val="auto"/>
          <w:kern w:val="0"/>
          <w:sz w:val="32"/>
          <w:szCs w:val="32"/>
          <w:highlight w:val="none"/>
          <w:lang w:val="en-US" w:eastAsia="zh-CN" w:bidi="ar"/>
        </w:rPr>
        <w:sectPr>
          <w:footerReference r:id="rId5" w:type="default"/>
          <w:footerReference r:id="rId6" w:type="even"/>
          <w:pgSz w:w="11906" w:h="16838"/>
          <w:pgMar w:top="2098" w:right="1474" w:bottom="1984" w:left="1587" w:header="851" w:footer="1134" w:gutter="0"/>
          <w:pgNumType w:fmt="decimal" w:start="1"/>
          <w:cols w:space="425" w:num="1"/>
          <w:docGrid w:type="lines" w:linePitch="312" w:charSpace="0"/>
        </w:sectPr>
      </w:pPr>
    </w:p>
    <w:p w14:paraId="3B5B2A3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《汉中市中心城区排水防涝专项规划》</w:t>
      </w:r>
    </w:p>
    <w:p w14:paraId="33FB6F3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设计任务书</w:t>
      </w:r>
    </w:p>
    <w:p w14:paraId="630F03A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vertAlign w:val="baseline"/>
          <w:lang w:val="en-US" w:eastAsia="zh-CN"/>
        </w:rPr>
      </w:pPr>
    </w:p>
    <w:p w14:paraId="55FD4169">
      <w:pPr>
        <w:spacing w:beforeLines="0" w:afterLines="0"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规划背景</w:t>
      </w:r>
    </w:p>
    <w:p w14:paraId="3C0DF245">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为深入贯彻落实中央城市工作会议精神和高质量发展要求，补齐市政基础设施短板，明确中心城区排水防涝体系建设的总体方向、重点任务与实施路径，优化排水防涝设施布局，促进功能提升与管理增效，构建与城市发展相匹配的排水防涝运行体系，开展汉中市中心城区排水防涝专项规划编制工作，切实保障城市安全稳定运行和群众生命财产安全。</w:t>
      </w:r>
    </w:p>
    <w:p w14:paraId="4A797AB1">
      <w:pPr>
        <w:spacing w:beforeLines="0" w:afterLines="0" w:line="560" w:lineRule="exact"/>
        <w:ind w:firstLine="640" w:firstLineChars="200"/>
        <w:rPr>
          <w:rFonts w:hint="eastAsia"/>
          <w:color w:val="auto"/>
          <w:sz w:val="32"/>
          <w:szCs w:val="32"/>
          <w:highlight w:val="none"/>
        </w:rPr>
      </w:pPr>
      <w:r>
        <w:rPr>
          <w:rFonts w:hint="eastAsia" w:ascii="Times New Roman" w:hAnsi="Times New Roman" w:eastAsia="黑体" w:cs="Times New Roman"/>
          <w:color w:val="auto"/>
          <w:sz w:val="32"/>
          <w:szCs w:val="32"/>
          <w:highlight w:val="none"/>
        </w:rPr>
        <w:t>二、编制依据</w:t>
      </w:r>
    </w:p>
    <w:p w14:paraId="6FC351A3">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《中华人民共和国城乡规划法》（2019年修订）；</w:t>
      </w:r>
    </w:p>
    <w:p w14:paraId="653CB0DE">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2</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《中华人民共和国土地管理法》（2019年修订）；</w:t>
      </w:r>
    </w:p>
    <w:p w14:paraId="50C7C41D">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3.</w:t>
      </w:r>
      <w:r>
        <w:rPr>
          <w:rFonts w:hint="eastAsia" w:ascii="仿宋_GB2312" w:eastAsia="仿宋_GB2312"/>
          <w:color w:val="auto"/>
          <w:sz w:val="32"/>
          <w:szCs w:val="32"/>
          <w:highlight w:val="none"/>
        </w:rPr>
        <w:t>《中华人民共和国水法》；</w:t>
      </w:r>
    </w:p>
    <w:p w14:paraId="3E6C4DE9">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4.</w:t>
      </w:r>
      <w:r>
        <w:rPr>
          <w:rFonts w:hint="eastAsia" w:ascii="仿宋_GB2312" w:eastAsia="仿宋_GB2312"/>
          <w:color w:val="auto"/>
          <w:sz w:val="32"/>
          <w:szCs w:val="32"/>
          <w:highlight w:val="none"/>
        </w:rPr>
        <w:t>《中华人民共和国环境保护法》；</w:t>
      </w:r>
    </w:p>
    <w:p w14:paraId="0B89AEBC">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5.</w:t>
      </w:r>
      <w:r>
        <w:rPr>
          <w:rFonts w:hint="eastAsia" w:ascii="仿宋_GB2312" w:eastAsia="仿宋_GB2312"/>
          <w:color w:val="auto"/>
          <w:sz w:val="32"/>
          <w:szCs w:val="32"/>
          <w:highlight w:val="none"/>
        </w:rPr>
        <w:t>《城市防洪工程设计规范》（GB/T50805-2012）</w:t>
      </w:r>
      <w:r>
        <w:rPr>
          <w:rFonts w:hint="eastAsia" w:ascii="仿宋_GB2312" w:eastAsia="仿宋_GB2312"/>
          <w:color w:val="auto"/>
          <w:sz w:val="32"/>
          <w:szCs w:val="32"/>
          <w:highlight w:val="none"/>
          <w:lang w:eastAsia="zh-CN"/>
        </w:rPr>
        <w:t>；</w:t>
      </w:r>
    </w:p>
    <w:p w14:paraId="294DF4B7">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6.</w:t>
      </w:r>
      <w:r>
        <w:rPr>
          <w:rFonts w:hint="eastAsia" w:ascii="仿宋_GB2312" w:eastAsia="仿宋_GB2312"/>
          <w:color w:val="auto"/>
          <w:sz w:val="32"/>
          <w:szCs w:val="32"/>
          <w:highlight w:val="none"/>
        </w:rPr>
        <w:t>《城镇内涝防治技术规范》（GB51222-2017）</w:t>
      </w:r>
      <w:r>
        <w:rPr>
          <w:rFonts w:hint="eastAsia" w:ascii="仿宋_GB2312" w:eastAsia="仿宋_GB2312"/>
          <w:color w:val="auto"/>
          <w:sz w:val="32"/>
          <w:szCs w:val="32"/>
          <w:highlight w:val="none"/>
          <w:lang w:eastAsia="zh-CN"/>
        </w:rPr>
        <w:t>；</w:t>
      </w:r>
    </w:p>
    <w:p w14:paraId="0847A077">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7.</w:t>
      </w:r>
      <w:r>
        <w:rPr>
          <w:rFonts w:hint="eastAsia" w:ascii="仿宋_GB2312" w:eastAsia="仿宋_GB2312"/>
          <w:color w:val="auto"/>
          <w:sz w:val="32"/>
          <w:szCs w:val="32"/>
          <w:highlight w:val="none"/>
        </w:rPr>
        <w:t>《防洪标准》（GB50201-2014）</w:t>
      </w:r>
      <w:r>
        <w:rPr>
          <w:rFonts w:hint="eastAsia" w:ascii="仿宋_GB2312" w:eastAsia="仿宋_GB2312"/>
          <w:color w:val="auto"/>
          <w:sz w:val="32"/>
          <w:szCs w:val="32"/>
          <w:highlight w:val="none"/>
          <w:lang w:eastAsia="zh-CN"/>
        </w:rPr>
        <w:t>；</w:t>
      </w:r>
    </w:p>
    <w:p w14:paraId="4330D577">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eastAsia" w:ascii="仿宋_GB2312" w:eastAsia="仿宋_GB2312" w:cstheme="minorBidi"/>
          <w:color w:val="auto"/>
          <w:kern w:val="2"/>
          <w:sz w:val="32"/>
          <w:szCs w:val="32"/>
          <w:highlight w:val="none"/>
          <w:lang w:val="en-US" w:eastAsia="zh-CN" w:bidi="ar-SA"/>
        </w:rPr>
        <w:t>8.</w:t>
      </w:r>
      <w:r>
        <w:rPr>
          <w:rFonts w:hint="eastAsia" w:ascii="仿宋_GB2312" w:eastAsia="仿宋_GB2312"/>
          <w:color w:val="auto"/>
          <w:sz w:val="32"/>
          <w:szCs w:val="32"/>
          <w:highlight w:val="none"/>
        </w:rPr>
        <w:t>《城市排水工程规划规范》（GB50318-2017）</w:t>
      </w:r>
      <w:r>
        <w:rPr>
          <w:rFonts w:hint="eastAsia" w:ascii="仿宋_GB2312" w:eastAsia="仿宋_GB2312"/>
          <w:color w:val="auto"/>
          <w:sz w:val="32"/>
          <w:szCs w:val="32"/>
          <w:highlight w:val="none"/>
          <w:lang w:eastAsia="zh-CN"/>
        </w:rPr>
        <w:t>；</w:t>
      </w:r>
    </w:p>
    <w:p w14:paraId="321B2E77">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lang w:val="en-US" w:eastAsia="zh-CN"/>
        </w:rPr>
      </w:pPr>
      <w:r>
        <w:rPr>
          <w:rFonts w:hint="eastAsia" w:ascii="仿宋_GB2312" w:eastAsia="仿宋_GB2312" w:cstheme="minorBidi"/>
          <w:color w:val="auto"/>
          <w:kern w:val="2"/>
          <w:sz w:val="32"/>
          <w:szCs w:val="32"/>
          <w:highlight w:val="none"/>
          <w:lang w:val="en-US" w:eastAsia="zh-CN" w:bidi="ar-SA"/>
        </w:rPr>
        <w:t>9.</w:t>
      </w:r>
      <w:r>
        <w:rPr>
          <w:rFonts w:hint="eastAsia" w:ascii="仿宋_GB2312" w:eastAsia="仿宋_GB2312"/>
          <w:color w:val="auto"/>
          <w:sz w:val="32"/>
          <w:szCs w:val="32"/>
          <w:highlight w:val="none"/>
          <w:lang w:val="en-US" w:eastAsia="zh-CN"/>
        </w:rPr>
        <w:t>《城乡排水工程项目规范》（GB 55027-2022）；</w:t>
      </w:r>
    </w:p>
    <w:p w14:paraId="707FAC3A">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lang w:val="en-US" w:eastAsia="zh-CN"/>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cstheme="minorBidi"/>
          <w:color w:val="auto"/>
          <w:kern w:val="2"/>
          <w:sz w:val="32"/>
          <w:szCs w:val="32"/>
          <w:highlight w:val="none"/>
          <w:lang w:val="en-US" w:eastAsia="zh-CN" w:bidi="ar-SA"/>
        </w:rPr>
        <w:t>0.</w:t>
      </w:r>
      <w:r>
        <w:rPr>
          <w:rFonts w:hint="eastAsia" w:ascii="仿宋_GB2312" w:eastAsia="仿宋_GB2312"/>
          <w:color w:val="auto"/>
          <w:sz w:val="32"/>
          <w:szCs w:val="32"/>
          <w:highlight w:val="none"/>
          <w:lang w:val="en-US" w:eastAsia="zh-CN"/>
        </w:rPr>
        <w:t>《城市水系规划规范》（GB 50513-2009）；</w:t>
      </w:r>
    </w:p>
    <w:p w14:paraId="1F956638">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cstheme="minorBidi"/>
          <w:color w:val="auto"/>
          <w:kern w:val="2"/>
          <w:sz w:val="32"/>
          <w:szCs w:val="32"/>
          <w:highlight w:val="none"/>
          <w:lang w:val="en-US" w:eastAsia="zh-CN" w:bidi="ar-SA"/>
        </w:rPr>
        <w:t>1.</w:t>
      </w:r>
      <w:r>
        <w:rPr>
          <w:rFonts w:hint="eastAsia" w:ascii="仿宋_GB2312" w:eastAsia="仿宋_GB2312"/>
          <w:color w:val="auto"/>
          <w:sz w:val="32"/>
          <w:szCs w:val="32"/>
          <w:highlight w:val="none"/>
        </w:rPr>
        <w:t>《室外给水设计标准》（GB50013-2018）</w:t>
      </w:r>
      <w:r>
        <w:rPr>
          <w:rFonts w:hint="eastAsia" w:ascii="仿宋_GB2312" w:eastAsia="仿宋_GB2312"/>
          <w:color w:val="auto"/>
          <w:sz w:val="32"/>
          <w:szCs w:val="32"/>
          <w:highlight w:val="none"/>
          <w:lang w:eastAsia="zh-CN"/>
        </w:rPr>
        <w:t>；</w:t>
      </w:r>
    </w:p>
    <w:p w14:paraId="12547E1D">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cstheme="minorBidi"/>
          <w:color w:val="auto"/>
          <w:kern w:val="2"/>
          <w:sz w:val="32"/>
          <w:szCs w:val="32"/>
          <w:highlight w:val="none"/>
          <w:lang w:val="en-US" w:eastAsia="zh-CN" w:bidi="ar-SA"/>
        </w:rPr>
        <w:t>2.</w:t>
      </w:r>
      <w:r>
        <w:rPr>
          <w:rFonts w:hint="eastAsia" w:ascii="仿宋_GB2312" w:eastAsia="仿宋_GB2312"/>
          <w:color w:val="auto"/>
          <w:sz w:val="32"/>
          <w:szCs w:val="32"/>
          <w:highlight w:val="none"/>
        </w:rPr>
        <w:t>《室外排水设计标准》（GB50014-2021）</w:t>
      </w:r>
      <w:r>
        <w:rPr>
          <w:rFonts w:hint="eastAsia" w:ascii="仿宋_GB2312" w:eastAsia="仿宋_GB2312"/>
          <w:color w:val="auto"/>
          <w:sz w:val="32"/>
          <w:szCs w:val="32"/>
          <w:highlight w:val="none"/>
          <w:lang w:eastAsia="zh-CN"/>
        </w:rPr>
        <w:t>；</w:t>
      </w:r>
    </w:p>
    <w:p w14:paraId="13A27FA0">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cstheme="minorBidi"/>
          <w:color w:val="auto"/>
          <w:kern w:val="2"/>
          <w:sz w:val="32"/>
          <w:szCs w:val="32"/>
          <w:highlight w:val="none"/>
          <w:lang w:val="en-US" w:eastAsia="zh-CN" w:bidi="ar-SA"/>
        </w:rPr>
        <w:t>3.</w:t>
      </w:r>
      <w:r>
        <w:rPr>
          <w:rFonts w:hint="eastAsia" w:ascii="仿宋_GB2312" w:eastAsia="仿宋_GB2312"/>
          <w:color w:val="auto"/>
          <w:sz w:val="32"/>
          <w:szCs w:val="32"/>
          <w:highlight w:val="none"/>
        </w:rPr>
        <w:t>《汉中市国土空间总体规划（2021-2035年）》；</w:t>
      </w:r>
    </w:p>
    <w:p w14:paraId="79A66257">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4.</w:t>
      </w:r>
      <w:r>
        <w:rPr>
          <w:rFonts w:hint="eastAsia" w:ascii="仿宋_GB2312" w:eastAsia="仿宋_GB2312"/>
          <w:color w:val="auto"/>
          <w:sz w:val="32"/>
          <w:szCs w:val="32"/>
          <w:highlight w:val="none"/>
        </w:rPr>
        <w:t>2025年中央城市工作会议精神及汉中市贯彻落实意见；</w:t>
      </w:r>
    </w:p>
    <w:p w14:paraId="394E898D">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cstheme="minorBidi"/>
          <w:color w:val="auto"/>
          <w:kern w:val="2"/>
          <w:sz w:val="32"/>
          <w:szCs w:val="32"/>
          <w:highlight w:val="none"/>
          <w:lang w:val="en-US" w:eastAsia="zh-CN" w:bidi="ar-SA"/>
        </w:rPr>
        <w:t>5.</w:t>
      </w:r>
      <w:r>
        <w:rPr>
          <w:rFonts w:hint="eastAsia" w:ascii="仿宋_GB2312" w:eastAsia="仿宋_GB2312" w:cs="黑体"/>
          <w:color w:val="auto"/>
          <w:kern w:val="0"/>
          <w:sz w:val="32"/>
          <w:szCs w:val="32"/>
          <w:highlight w:val="none"/>
        </w:rPr>
        <w:t>中共汉中市委《关于深入学习贯彻习近平总书记来汉中考察重要指示精神努力建设环境优美绿色低碳宜居宜游的生态城市的决定》（汉发</w:t>
      </w:r>
      <w:r>
        <w:rPr>
          <w:rFonts w:hint="eastAsia" w:ascii="仿宋_GB2312" w:eastAsia="仿宋_GB2312"/>
          <w:color w:val="auto"/>
          <w:sz w:val="32"/>
          <w:szCs w:val="32"/>
          <w:highlight w:val="none"/>
        </w:rPr>
        <w:t>〔2023〕12号</w:t>
      </w:r>
      <w:r>
        <w:rPr>
          <w:rFonts w:hint="eastAsia" w:ascii="仿宋_GB2312" w:eastAsia="仿宋_GB2312" w:cs="黑体"/>
          <w:color w:val="auto"/>
          <w:kern w:val="0"/>
          <w:sz w:val="32"/>
          <w:szCs w:val="32"/>
          <w:highlight w:val="none"/>
        </w:rPr>
        <w:t>）</w:t>
      </w:r>
      <w:r>
        <w:rPr>
          <w:rFonts w:hint="eastAsia" w:ascii="仿宋_GB2312" w:eastAsia="仿宋_GB2312"/>
          <w:color w:val="auto"/>
          <w:sz w:val="32"/>
          <w:szCs w:val="32"/>
          <w:highlight w:val="none"/>
        </w:rPr>
        <w:t>；</w:t>
      </w:r>
    </w:p>
    <w:p w14:paraId="09C983E1">
      <w:pPr>
        <w:pStyle w:val="15"/>
        <w:numPr>
          <w:ilvl w:val="0"/>
          <w:numId w:val="0"/>
        </w:numPr>
        <w:spacing w:beforeLines="0" w:afterLines="0" w:line="560" w:lineRule="exact"/>
        <w:ind w:left="0" w:leftChars="0" w:firstLine="403" w:firstLineChars="0"/>
        <w:rPr>
          <w:rFonts w:hint="eastAsia" w:eastAsia="仿宋_GB2312"/>
          <w:color w:val="auto"/>
          <w:sz w:val="28"/>
          <w:szCs w:val="28"/>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hAnsiTheme="minorHAnsi" w:cstheme="minorBidi"/>
          <w:color w:val="auto"/>
          <w:kern w:val="2"/>
          <w:sz w:val="32"/>
          <w:szCs w:val="32"/>
          <w:highlight w:val="none"/>
          <w:lang w:val="en-US" w:eastAsia="zh-CN" w:bidi="ar-SA"/>
        </w:rPr>
        <w:t>6</w:t>
      </w:r>
      <w:r>
        <w:rPr>
          <w:rFonts w:hint="eastAsia" w:eastAsia="仿宋_GB2312" w:cs="仿宋"/>
          <w:color w:val="auto"/>
          <w:sz w:val="28"/>
          <w:szCs w:val="28"/>
          <w:highlight w:val="none"/>
          <w:lang w:val="en-US" w:eastAsia="zh-CN" w:bidi="ar-SA"/>
        </w:rPr>
        <w:t>.</w:t>
      </w:r>
      <w:r>
        <w:rPr>
          <w:rFonts w:hint="eastAsia" w:ascii="仿宋_GB2312" w:eastAsia="仿宋_GB2312"/>
          <w:color w:val="auto"/>
          <w:sz w:val="32"/>
          <w:szCs w:val="32"/>
          <w:highlight w:val="none"/>
        </w:rPr>
        <w:t>国家、省、市关于排水防涝工作的其他相关政策文件、标准规范及规划要求。</w:t>
      </w:r>
    </w:p>
    <w:p w14:paraId="1B7C1386">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三、项目范围</w:t>
      </w:r>
    </w:p>
    <w:p w14:paraId="77D31C39">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bidi="ar"/>
        </w:rPr>
        <w:t>规划编制范围为汉中市国土空间总体规划确定的中心城区，城镇开发边界面积约161.42平方公里，其中江北区域城镇开发边界内117.19平方公里为新编规划，研判并纳入江南区域44.23平方公里的规划编制成果。</w:t>
      </w:r>
    </w:p>
    <w:p w14:paraId="0089B56B">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、规划主要内容</w:t>
      </w:r>
    </w:p>
    <w:p w14:paraId="1B9FBD7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应包括但不限于下列主要内容：</w:t>
      </w:r>
    </w:p>
    <w:p w14:paraId="76C3517F">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规划主要内容</w:t>
      </w:r>
    </w:p>
    <w:p w14:paraId="7179747B">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default"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1</w:t>
      </w: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w:t>
      </w:r>
      <w:r>
        <w:rPr>
          <w:rFonts w:hint="eastAsia" w:ascii="仿宋_GB2312" w:hAnsi="仿宋_GB2312" w:eastAsia="仿宋_GB2312" w:cs="仿宋_GB2312"/>
          <w:color w:val="auto"/>
          <w:sz w:val="32"/>
          <w:szCs w:val="32"/>
          <w:highlight w:val="none"/>
          <w:vertAlign w:val="baseline"/>
          <w:lang w:val="zh-CN" w:eastAsia="zh-CN"/>
        </w:rPr>
        <w:t>现状调查与问题分析。</w:t>
      </w:r>
      <w:r>
        <w:rPr>
          <w:rFonts w:hint="eastAsia" w:ascii="仿宋_GB2312" w:hAnsi="仿宋_GB2312" w:eastAsia="仿宋_GB2312" w:cs="仿宋_GB2312"/>
          <w:color w:val="auto"/>
          <w:sz w:val="32"/>
          <w:szCs w:val="32"/>
          <w:highlight w:val="none"/>
          <w:vertAlign w:val="baseline"/>
          <w:lang w:val="en-US" w:eastAsia="zh-CN"/>
        </w:rPr>
        <w:t>对</w:t>
      </w:r>
      <w:r>
        <w:rPr>
          <w:rFonts w:hint="default" w:ascii="仿宋_GB2312" w:hAnsi="仿宋_GB2312" w:eastAsia="仿宋_GB2312" w:cs="仿宋_GB2312"/>
          <w:color w:val="auto"/>
          <w:sz w:val="32"/>
          <w:szCs w:val="32"/>
          <w:highlight w:val="none"/>
          <w:vertAlign w:val="baseline"/>
          <w:lang w:val="en-US" w:eastAsia="zh-CN"/>
        </w:rPr>
        <w:t>自然条件</w:t>
      </w:r>
      <w:r>
        <w:rPr>
          <w:rFonts w:hint="eastAsia" w:ascii="仿宋_GB2312" w:hAnsi="仿宋_GB2312" w:eastAsia="仿宋_GB2312" w:cs="仿宋_GB2312"/>
          <w:color w:val="auto"/>
          <w:sz w:val="32"/>
          <w:szCs w:val="32"/>
          <w:highlight w:val="none"/>
          <w:vertAlign w:val="baseline"/>
          <w:lang w:val="en-US" w:eastAsia="zh-CN"/>
        </w:rPr>
        <w:t>、排水设施、</w:t>
      </w:r>
      <w:r>
        <w:rPr>
          <w:rFonts w:hint="default" w:ascii="仿宋_GB2312" w:hAnsi="仿宋_GB2312" w:eastAsia="仿宋_GB2312" w:cs="仿宋_GB2312"/>
          <w:color w:val="auto"/>
          <w:sz w:val="32"/>
          <w:szCs w:val="32"/>
          <w:highlight w:val="none"/>
          <w:vertAlign w:val="baseline"/>
          <w:lang w:val="en-US" w:eastAsia="zh-CN"/>
        </w:rPr>
        <w:t>历史内涝情况</w:t>
      </w:r>
      <w:r>
        <w:rPr>
          <w:rFonts w:hint="eastAsia" w:ascii="仿宋_GB2312" w:hAnsi="仿宋_GB2312" w:eastAsia="仿宋_GB2312" w:cs="仿宋_GB2312"/>
          <w:color w:val="auto"/>
          <w:sz w:val="32"/>
          <w:szCs w:val="32"/>
          <w:highlight w:val="none"/>
          <w:vertAlign w:val="baseline"/>
          <w:lang w:val="en-US" w:eastAsia="zh-CN"/>
        </w:rPr>
        <w:t>等</w:t>
      </w:r>
      <w:r>
        <w:rPr>
          <w:rFonts w:hint="default" w:ascii="仿宋_GB2312" w:hAnsi="仿宋_GB2312" w:eastAsia="仿宋_GB2312" w:cs="仿宋_GB2312"/>
          <w:color w:val="auto"/>
          <w:sz w:val="32"/>
          <w:szCs w:val="32"/>
          <w:highlight w:val="none"/>
          <w:vertAlign w:val="baseline"/>
          <w:lang w:val="en-US" w:eastAsia="zh-CN"/>
        </w:rPr>
        <w:t>基础条件</w:t>
      </w:r>
      <w:r>
        <w:rPr>
          <w:rFonts w:hint="eastAsia" w:ascii="仿宋_GB2312" w:hAnsi="仿宋_GB2312" w:eastAsia="仿宋_GB2312" w:cs="仿宋_GB2312"/>
          <w:color w:val="auto"/>
          <w:sz w:val="32"/>
          <w:szCs w:val="32"/>
          <w:highlight w:val="none"/>
          <w:vertAlign w:val="baseline"/>
          <w:lang w:val="en-US" w:eastAsia="zh-CN"/>
        </w:rPr>
        <w:t>进行</w:t>
      </w:r>
      <w:r>
        <w:rPr>
          <w:rFonts w:hint="default" w:ascii="仿宋_GB2312" w:hAnsi="仿宋_GB2312" w:eastAsia="仿宋_GB2312" w:cs="仿宋_GB2312"/>
          <w:color w:val="auto"/>
          <w:sz w:val="32"/>
          <w:szCs w:val="32"/>
          <w:highlight w:val="none"/>
          <w:vertAlign w:val="baseline"/>
          <w:lang w:val="en-US" w:eastAsia="zh-CN"/>
        </w:rPr>
        <w:t>调查</w:t>
      </w:r>
      <w:r>
        <w:rPr>
          <w:rFonts w:hint="eastAsia" w:ascii="仿宋_GB2312" w:hAnsi="仿宋_GB2312" w:eastAsia="仿宋_GB2312" w:cs="仿宋_GB2312"/>
          <w:color w:val="auto"/>
          <w:sz w:val="32"/>
          <w:szCs w:val="32"/>
          <w:highlight w:val="none"/>
          <w:vertAlign w:val="baseline"/>
          <w:lang w:val="en-US" w:eastAsia="zh-CN"/>
        </w:rPr>
        <w:t>，对现状</w:t>
      </w:r>
      <w:r>
        <w:rPr>
          <w:rFonts w:hint="default" w:ascii="仿宋_GB2312" w:hAnsi="仿宋_GB2312" w:eastAsia="仿宋_GB2312" w:cs="仿宋_GB2312"/>
          <w:color w:val="auto"/>
          <w:sz w:val="32"/>
          <w:szCs w:val="32"/>
          <w:highlight w:val="none"/>
          <w:vertAlign w:val="baseline"/>
          <w:lang w:val="en-US" w:eastAsia="zh-CN"/>
        </w:rPr>
        <w:t>排水管网</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排涝设施</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监测与应急设施</w:t>
      </w:r>
      <w:r>
        <w:rPr>
          <w:rFonts w:hint="eastAsia" w:ascii="仿宋_GB2312" w:hAnsi="仿宋_GB2312" w:eastAsia="仿宋_GB2312" w:cs="仿宋_GB2312"/>
          <w:color w:val="auto"/>
          <w:sz w:val="32"/>
          <w:szCs w:val="32"/>
          <w:highlight w:val="none"/>
          <w:vertAlign w:val="baseline"/>
          <w:lang w:val="en-US" w:eastAsia="zh-CN"/>
        </w:rPr>
        <w:t>等进行评估，并提出存在问题。</w:t>
      </w:r>
    </w:p>
    <w:p w14:paraId="5BA3688A">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2.</w:t>
      </w:r>
      <w:r>
        <w:rPr>
          <w:rFonts w:hint="eastAsia" w:ascii="仿宋_GB2312" w:hAnsi="仿宋_GB2312" w:eastAsia="仿宋_GB2312" w:cs="仿宋_GB2312"/>
          <w:color w:val="auto"/>
          <w:sz w:val="32"/>
          <w:szCs w:val="32"/>
          <w:highlight w:val="none"/>
          <w:vertAlign w:val="baseline"/>
          <w:lang w:val="en-US" w:eastAsia="zh-CN"/>
        </w:rPr>
        <w:t>雨水工程专项规划。合理确定雨水管渠的布置形式、走向和管径，规划雨水资源化利用设施，提高雨水资源的利用率。</w:t>
      </w:r>
    </w:p>
    <w:p w14:paraId="5F0801B7">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3.</w:t>
      </w:r>
      <w:r>
        <w:rPr>
          <w:rFonts w:hint="default" w:ascii="仿宋_GB2312" w:hAnsi="仿宋_GB2312" w:eastAsia="仿宋_GB2312" w:cs="仿宋_GB2312"/>
          <w:color w:val="auto"/>
          <w:sz w:val="32"/>
          <w:szCs w:val="32"/>
          <w:highlight w:val="none"/>
          <w:vertAlign w:val="baseline"/>
          <w:lang w:val="en-US" w:eastAsia="zh-CN"/>
        </w:rPr>
        <w:t>源头减排系统规划</w:t>
      </w:r>
      <w:r>
        <w:rPr>
          <w:rFonts w:hint="eastAsia" w:ascii="仿宋_GB2312" w:hAnsi="仿宋_GB2312" w:eastAsia="仿宋_GB2312" w:cs="仿宋_GB2312"/>
          <w:color w:val="auto"/>
          <w:sz w:val="32"/>
          <w:szCs w:val="32"/>
          <w:highlight w:val="none"/>
          <w:vertAlign w:val="baseline"/>
          <w:lang w:val="en-US" w:eastAsia="zh-CN"/>
        </w:rPr>
        <w:t>。规划</w:t>
      </w:r>
      <w:r>
        <w:rPr>
          <w:rFonts w:hint="default" w:ascii="仿宋_GB2312" w:hAnsi="仿宋_GB2312" w:eastAsia="仿宋_GB2312" w:cs="仿宋_GB2312"/>
          <w:color w:val="auto"/>
          <w:sz w:val="32"/>
          <w:szCs w:val="32"/>
          <w:highlight w:val="none"/>
          <w:vertAlign w:val="baseline"/>
          <w:lang w:val="en-US" w:eastAsia="zh-CN"/>
        </w:rPr>
        <w:t>低影响开发设施</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明确各类设施的建设位置、规模、技术参数及设计要求，计算源头减排量与削减率</w:t>
      </w:r>
      <w:r>
        <w:rPr>
          <w:rFonts w:hint="eastAsia" w:ascii="仿宋_GB2312" w:hAnsi="仿宋_GB2312" w:eastAsia="仿宋_GB2312" w:cs="仿宋_GB2312"/>
          <w:color w:val="auto"/>
          <w:sz w:val="32"/>
          <w:szCs w:val="32"/>
          <w:highlight w:val="none"/>
          <w:vertAlign w:val="baseline"/>
          <w:lang w:val="en-US" w:eastAsia="zh-CN"/>
        </w:rPr>
        <w:t>。</w:t>
      </w:r>
    </w:p>
    <w:p w14:paraId="4DDE6327">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4.</w:t>
      </w:r>
      <w:r>
        <w:rPr>
          <w:rFonts w:hint="default" w:ascii="仿宋_GB2312" w:hAnsi="仿宋_GB2312" w:eastAsia="仿宋_GB2312" w:cs="仿宋_GB2312"/>
          <w:color w:val="auto"/>
          <w:sz w:val="32"/>
          <w:szCs w:val="32"/>
          <w:highlight w:val="none"/>
          <w:vertAlign w:val="baseline"/>
          <w:lang w:val="en-US" w:eastAsia="zh-CN"/>
        </w:rPr>
        <w:t>排涝除险系统规划</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在低洼易涝片区、管网末端等关键位置，规划新建或升级改造雨水泵站</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规划建设雨水调蓄池、人工湿地、调蓄湖泊等调蓄设施，明确设施的位置、调蓄容量</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整治与疏浚城市内河、沟渠等排涝通道</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明确排涝通道的保护范围，保障排涝通道畅通。</w:t>
      </w:r>
    </w:p>
    <w:p w14:paraId="178F2DB2">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b w:val="0"/>
          <w:bCs/>
          <w:i w:val="0"/>
          <w:iCs w:val="0"/>
          <w:caps w:val="0"/>
          <w:color w:val="auto"/>
          <w:spacing w:val="8"/>
          <w:kern w:val="2"/>
          <w:sz w:val="32"/>
          <w:szCs w:val="32"/>
          <w:highlight w:val="none"/>
          <w:shd w:val="clear" w:fill="FFFFFF"/>
          <w:lang w:val="en-US" w:eastAsia="zh-CN" w:bidi="ar-SA"/>
        </w:rPr>
        <w:t>5.</w:t>
      </w:r>
      <w:r>
        <w:rPr>
          <w:rFonts w:hint="default" w:ascii="仿宋_GB2312" w:hAnsi="仿宋_GB2312" w:eastAsia="仿宋_GB2312" w:cs="仿宋_GB2312"/>
          <w:color w:val="auto"/>
          <w:sz w:val="32"/>
          <w:szCs w:val="32"/>
          <w:highlight w:val="none"/>
          <w:vertAlign w:val="baseline"/>
          <w:lang w:val="en-US" w:eastAsia="zh-CN"/>
        </w:rPr>
        <w:t>应急管理系统规划</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建设监测预警体系，实现内涝风险实时预警</w:t>
      </w:r>
      <w:r>
        <w:rPr>
          <w:rFonts w:hint="eastAsia" w:ascii="仿宋_GB2312" w:hAnsi="仿宋_GB2312" w:eastAsia="仿宋_GB2312" w:cs="仿宋_GB2312"/>
          <w:color w:val="auto"/>
          <w:sz w:val="32"/>
          <w:szCs w:val="32"/>
          <w:highlight w:val="none"/>
          <w:vertAlign w:val="baseline"/>
          <w:lang w:val="en-US" w:eastAsia="zh-CN"/>
        </w:rPr>
        <w:t>。</w:t>
      </w:r>
    </w:p>
    <w:p w14:paraId="4179DD7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（二）</w:t>
      </w:r>
      <w:r>
        <w:rPr>
          <w:rFonts w:hint="default" w:ascii="仿宋_GB2312" w:hAnsi="仿宋_GB2312" w:eastAsia="仿宋_GB2312" w:cs="仿宋_GB2312"/>
          <w:color w:val="auto"/>
          <w:sz w:val="32"/>
          <w:szCs w:val="32"/>
          <w:highlight w:val="none"/>
          <w:vertAlign w:val="baseline"/>
          <w:lang w:val="en-US" w:eastAsia="zh-CN"/>
        </w:rPr>
        <w:t>内涝风险评估</w:t>
      </w:r>
      <w:r>
        <w:rPr>
          <w:rFonts w:hint="eastAsia" w:ascii="仿宋_GB2312" w:hAnsi="仿宋_GB2312" w:eastAsia="仿宋_GB2312" w:cs="仿宋_GB2312"/>
          <w:color w:val="auto"/>
          <w:sz w:val="32"/>
          <w:szCs w:val="32"/>
          <w:highlight w:val="none"/>
          <w:vertAlign w:val="baseline"/>
          <w:lang w:val="en-US" w:eastAsia="zh-CN"/>
        </w:rPr>
        <w:t>研究与</w:t>
      </w:r>
      <w:r>
        <w:rPr>
          <w:rFonts w:hint="default" w:ascii="仿宋_GB2312" w:hAnsi="仿宋_GB2312" w:eastAsia="仿宋_GB2312" w:cs="仿宋_GB2312"/>
          <w:color w:val="auto"/>
          <w:sz w:val="32"/>
          <w:szCs w:val="32"/>
          <w:highlight w:val="none"/>
          <w:vertAlign w:val="baseline"/>
          <w:lang w:val="en-US" w:eastAsia="zh-CN"/>
        </w:rPr>
        <w:t>防治分区</w:t>
      </w:r>
      <w:r>
        <w:rPr>
          <w:rFonts w:hint="eastAsia" w:ascii="仿宋_GB2312" w:hAnsi="仿宋_GB2312" w:eastAsia="仿宋_GB2312" w:cs="仿宋_GB2312"/>
          <w:color w:val="auto"/>
          <w:sz w:val="32"/>
          <w:szCs w:val="32"/>
          <w:highlight w:val="none"/>
          <w:vertAlign w:val="baseline"/>
          <w:lang w:val="en-US" w:eastAsia="zh-CN"/>
        </w:rPr>
        <w:t>规划</w:t>
      </w:r>
    </w:p>
    <w:p w14:paraId="08343F6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1.</w:t>
      </w:r>
      <w:r>
        <w:rPr>
          <w:rFonts w:hint="default" w:ascii="仿宋_GB2312" w:hAnsi="仿宋_GB2312" w:eastAsia="仿宋_GB2312" w:cs="仿宋_GB2312"/>
          <w:color w:val="auto"/>
          <w:sz w:val="32"/>
          <w:szCs w:val="32"/>
          <w:highlight w:val="none"/>
          <w:vertAlign w:val="baseline"/>
          <w:lang w:val="en-US" w:eastAsia="zh-CN"/>
        </w:rPr>
        <w:t>内涝风险评估</w:t>
      </w:r>
      <w:r>
        <w:rPr>
          <w:rFonts w:hint="eastAsia" w:ascii="仿宋_GB2312" w:hAnsi="仿宋_GB2312" w:eastAsia="仿宋_GB2312" w:cs="仿宋_GB2312"/>
          <w:color w:val="auto"/>
          <w:sz w:val="32"/>
          <w:szCs w:val="32"/>
          <w:highlight w:val="none"/>
          <w:vertAlign w:val="baseline"/>
          <w:lang w:val="en-US" w:eastAsia="zh-CN"/>
        </w:rPr>
        <w:t>研究。</w:t>
      </w:r>
      <w:r>
        <w:rPr>
          <w:rFonts w:hint="default" w:ascii="仿宋_GB2312" w:hAnsi="仿宋_GB2312" w:eastAsia="仿宋_GB2312" w:cs="仿宋_GB2312"/>
          <w:color w:val="auto"/>
          <w:sz w:val="32"/>
          <w:szCs w:val="32"/>
          <w:highlight w:val="none"/>
          <w:vertAlign w:val="baseline"/>
          <w:lang w:val="en-US" w:eastAsia="zh-CN"/>
        </w:rPr>
        <w:t>采用水文水力模型，结合现状排水防涝设施条件及不同暴雨重现期的降雨情景，模拟雨水径流过程、管网水力状态及内涝积水情况，评估规划范围内不同区域的内涝风险等级，绘制内涝风险评估图</w:t>
      </w:r>
      <w:r>
        <w:rPr>
          <w:rFonts w:hint="eastAsia" w:ascii="仿宋_GB2312" w:hAnsi="仿宋_GB2312" w:eastAsia="仿宋_GB2312" w:cs="仿宋_GB2312"/>
          <w:color w:val="auto"/>
          <w:sz w:val="32"/>
          <w:szCs w:val="32"/>
          <w:highlight w:val="none"/>
          <w:vertAlign w:val="baseline"/>
          <w:lang w:val="en-US" w:eastAsia="zh-CN"/>
        </w:rPr>
        <w:t>，分析内涝存在原因及解决方式，优化完善规划方案。</w:t>
      </w:r>
    </w:p>
    <w:p w14:paraId="5992A9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2.</w:t>
      </w:r>
      <w:r>
        <w:rPr>
          <w:rFonts w:hint="default" w:ascii="仿宋_GB2312" w:hAnsi="仿宋_GB2312" w:eastAsia="仿宋_GB2312" w:cs="仿宋_GB2312"/>
          <w:color w:val="auto"/>
          <w:sz w:val="32"/>
          <w:szCs w:val="32"/>
          <w:highlight w:val="none"/>
          <w:vertAlign w:val="baseline"/>
          <w:lang w:val="en-US" w:eastAsia="zh-CN"/>
        </w:rPr>
        <w:t>防治分区</w:t>
      </w:r>
      <w:r>
        <w:rPr>
          <w:rFonts w:hint="eastAsia" w:ascii="仿宋_GB2312" w:hAnsi="仿宋_GB2312" w:eastAsia="仿宋_GB2312" w:cs="仿宋_GB2312"/>
          <w:color w:val="auto"/>
          <w:sz w:val="32"/>
          <w:szCs w:val="32"/>
          <w:highlight w:val="none"/>
          <w:vertAlign w:val="baseline"/>
          <w:lang w:val="en-US" w:eastAsia="zh-CN"/>
        </w:rPr>
        <w:t>规划。</w:t>
      </w:r>
      <w:r>
        <w:rPr>
          <w:rFonts w:hint="default" w:ascii="仿宋_GB2312" w:hAnsi="仿宋_GB2312" w:eastAsia="仿宋_GB2312" w:cs="仿宋_GB2312"/>
          <w:color w:val="auto"/>
          <w:sz w:val="32"/>
          <w:szCs w:val="32"/>
          <w:highlight w:val="none"/>
          <w:vertAlign w:val="baseline"/>
          <w:lang w:val="en-US" w:eastAsia="zh-CN"/>
        </w:rPr>
        <w:t>根据内涝风险评估结果、用地性质及城市发展规划，将规划范围划分为不同的排水防涝防治分区（如源头减排重点区、管网改造区、调蓄设施建设区、应急抢险核心区等），明确各分区的防治目标、重点任务及技术措施，为后续规划实施提供针对性指导。</w:t>
      </w:r>
    </w:p>
    <w:p w14:paraId="720FD377">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default"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三</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动画演示</w:t>
      </w:r>
    </w:p>
    <w:p w14:paraId="05CEE71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lang w:val="en-US" w:eastAsia="zh-CN"/>
        </w:rPr>
        <w:t>用动画动态演示规划，需充分展示规划的重点成果与关键节点，直观展示对比规划前后的效果。</w:t>
      </w:r>
    </w:p>
    <w:p w14:paraId="02C59A84">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四</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环境影响评价</w:t>
      </w:r>
    </w:p>
    <w:p w14:paraId="74933AB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14:paraId="2333C5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b w:val="0"/>
          <w:bCs w:val="0"/>
          <w:color w:val="auto"/>
          <w:sz w:val="32"/>
          <w:szCs w:val="32"/>
          <w:highlight w:val="none"/>
          <w:vertAlign w:val="baseline"/>
          <w:lang w:val="en-US" w:eastAsia="zh-CN"/>
        </w:rPr>
      </w:pPr>
      <w:r>
        <w:rPr>
          <w:rFonts w:hint="eastAsia" w:ascii="黑体" w:hAnsi="黑体" w:eastAsia="黑体" w:cs="黑体"/>
          <w:b w:val="0"/>
          <w:bCs w:val="0"/>
          <w:color w:val="auto"/>
          <w:sz w:val="32"/>
          <w:szCs w:val="32"/>
          <w:highlight w:val="none"/>
          <w:vertAlign w:val="baseline"/>
          <w:lang w:val="en-US" w:eastAsia="zh-CN"/>
        </w:rPr>
        <w:t>五、成果要求</w:t>
      </w:r>
    </w:p>
    <w:p w14:paraId="37E58DA9">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总体要求</w:t>
      </w:r>
    </w:p>
    <w:p w14:paraId="2DDD38D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规划编制要符合《汉中市国土空间总体规划（2021-2035年）》等上位规划要求，纳入国土空间规划“一张图”实施监督系统和国土空间规划实施监测网络（CSPON）管理。规划内容和深度要符合《城市排水工程规划规范》GB 50318-2017、《城乡排水工程项目规范》GB 55027-2022、《城市水系规划规范》GB 50513-2009等相关规范标准要求。</w:t>
      </w:r>
    </w:p>
    <w:p w14:paraId="36E87D3D">
      <w:pPr>
        <w:keepNext w:val="0"/>
        <w:keepLines w:val="0"/>
        <w:pageBreakBefore w:val="0"/>
        <w:widowControl w:val="0"/>
        <w:kinsoku/>
        <w:wordWrap/>
        <w:overflowPunct/>
        <w:topLinePunct w:val="0"/>
        <w:autoSpaceDE/>
        <w:autoSpaceDN/>
        <w:bidi w:val="0"/>
        <w:adjustRightInd/>
        <w:snapToGrid/>
        <w:spacing w:line="56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二</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成果形式</w:t>
      </w:r>
    </w:p>
    <w:p w14:paraId="7BD042B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1.现状资料。现状管线图（比例尺为1：500或1：1000，CAD文件或shp文件格式）</w:t>
      </w:r>
    </w:p>
    <w:p w14:paraId="62188C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2.规划成果。包括文本、说明书、图纸、环境影响篇章或说明、数据库应能在汉中市国土空间规划“一张图”实施监督信息系统和国土空间规划实施监测网络（CSPON）上搭载应用、汇报演示文件、动画演示等（文字为doc格式，图纸为dwg、GIS、jpg格式，数据库为mdb、gdb格式，效果图为jpg格式，供汇报展示用演示文件为ppt格式）。</w:t>
      </w:r>
    </w:p>
    <w:p w14:paraId="6A15036F">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六</w:t>
      </w:r>
      <w:r>
        <w:rPr>
          <w:rFonts w:hint="eastAsia" w:ascii="黑体" w:hAnsi="黑体" w:eastAsia="黑体" w:cs="黑体"/>
          <w:color w:val="auto"/>
          <w:sz w:val="32"/>
          <w:szCs w:val="32"/>
          <w:highlight w:val="none"/>
          <w:lang w:val="en-US" w:eastAsia="zh-CN"/>
        </w:rPr>
        <w:t>、其他要求</w:t>
      </w:r>
    </w:p>
    <w:p w14:paraId="6D2880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仿宋_GB2312" w:eastAsia="仿宋_GB2312" w:cs="仿宋_GB2312"/>
          <w:b w:val="0"/>
          <w:bCs w:val="0"/>
          <w:color w:val="auto"/>
          <w:sz w:val="32"/>
          <w:szCs w:val="32"/>
          <w:highlight w:val="none"/>
          <w:vertAlign w:val="baseline"/>
          <w:lang w:val="en-US" w:eastAsia="zh-CN"/>
        </w:rPr>
        <w:t>按照合同约定期限，参与中心城区市政基础设施相关的规划建设，并出具书面指导意见</w:t>
      </w:r>
      <w:r>
        <w:rPr>
          <w:rFonts w:hint="eastAsia" w:ascii="仿宋_GB2312" w:hAnsi="宋体" w:eastAsia="仿宋_GB2312" w:cs="仿宋_GB2312"/>
          <w:color w:val="auto"/>
          <w:kern w:val="0"/>
          <w:sz w:val="32"/>
          <w:szCs w:val="32"/>
          <w:highlight w:val="none"/>
          <w:lang w:val="en-US" w:eastAsia="zh-CN" w:bidi="ar"/>
        </w:rPr>
        <w:t>。</w:t>
      </w:r>
    </w:p>
    <w:p w14:paraId="35952DF8">
      <w:pPr>
        <w:numPr>
          <w:ilvl w:val="0"/>
          <w:numId w:val="0"/>
        </w:numPr>
        <w:spacing w:beforeLines="0" w:afterLines="0"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Times New Roman" w:hAnsi="Times New Roman" w:eastAsia="黑体" w:cs="Times New Roman"/>
          <w:color w:val="auto"/>
          <w:sz w:val="32"/>
          <w:szCs w:val="32"/>
          <w:highlight w:val="none"/>
          <w:lang w:val="en-US" w:eastAsia="zh-CN"/>
        </w:rPr>
        <w:t>七</w:t>
      </w:r>
      <w:r>
        <w:rPr>
          <w:rFonts w:hint="eastAsia" w:ascii="Times New Roman" w:hAnsi="Times New Roman" w:eastAsia="黑体" w:cs="Times New Roman"/>
          <w:color w:val="auto"/>
          <w:sz w:val="32"/>
          <w:szCs w:val="32"/>
          <w:highlight w:val="none"/>
        </w:rPr>
        <w:t>、成果验收</w:t>
      </w:r>
    </w:p>
    <w:p w14:paraId="406D3F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sectPr>
          <w:footerReference r:id="rId7" w:type="even"/>
          <w:pgSz w:w="11906" w:h="16838"/>
          <w:pgMar w:top="2098" w:right="1474" w:bottom="1984" w:left="1587" w:header="851" w:footer="1134" w:gutter="0"/>
          <w:pgNumType w:fmt="decimal"/>
          <w:cols w:space="425" w:num="1"/>
          <w:docGrid w:type="lines" w:linePitch="312" w:charSpace="0"/>
        </w:sectPr>
      </w:pPr>
      <w:r>
        <w:rPr>
          <w:rFonts w:hint="eastAsia" w:ascii="仿宋_GB2312" w:hAnsi="仿宋_GB2312" w:eastAsia="仿宋_GB2312" w:cs="仿宋_GB2312"/>
          <w:color w:val="auto"/>
          <w:sz w:val="32"/>
          <w:szCs w:val="32"/>
          <w:highlight w:val="none"/>
        </w:rPr>
        <w:t>经汉中市国土空间规划委员会审议通过后一个月内，设计方根据各阶段研究审议提出的修改、补充、完善意见，全面修改，达到纸质及电子文档最终成果提交要求，经</w:t>
      </w:r>
      <w:r>
        <w:rPr>
          <w:rFonts w:hint="eastAsia" w:ascii="仿宋_GB2312" w:hAnsi="仿宋_GB2312" w:eastAsia="仿宋_GB2312" w:cs="仿宋_GB2312"/>
          <w:color w:val="auto"/>
          <w:sz w:val="32"/>
          <w:szCs w:val="32"/>
          <w:highlight w:val="none"/>
          <w:lang w:eastAsia="zh-CN"/>
        </w:rPr>
        <w:t>市自然资源局联合相关行业主管部门</w:t>
      </w:r>
      <w:r>
        <w:rPr>
          <w:rFonts w:hint="eastAsia" w:ascii="仿宋_GB2312" w:hAnsi="仿宋_GB2312" w:eastAsia="仿宋_GB2312" w:cs="仿宋_GB2312"/>
          <w:color w:val="auto"/>
          <w:sz w:val="32"/>
          <w:szCs w:val="32"/>
          <w:highlight w:val="none"/>
        </w:rPr>
        <w:t>复核无误，出具书面成果接收清单后，方可视为正式通过验</w:t>
      </w:r>
    </w:p>
    <w:p w14:paraId="487BBA6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《汉中市中心城区污水工程专项规划》</w:t>
      </w:r>
    </w:p>
    <w:p w14:paraId="1698D5E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设计任务书</w:t>
      </w:r>
    </w:p>
    <w:p w14:paraId="1CA51F9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p>
    <w:p w14:paraId="7F6C6C3F">
      <w:pPr>
        <w:spacing w:beforeLines="0" w:afterLines="0" w:line="560" w:lineRule="exact"/>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规划背景</w:t>
      </w:r>
    </w:p>
    <w:p w14:paraId="2748A91D">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为深入贯彻落实中央城市工作会议精神和高质量发展要求，通过完善污水收集处理体系、推进污水管网建设、提升设施处理能力与资源化利用水平，补齐城市污水治理短板，改善人居环境与水环境质量，形成具有科学性、前瞻性、实用性的汉中市中心城区污水工程专项规划成果，构建与生态城市定位相适应的现代化污水治理体系。</w:t>
      </w:r>
    </w:p>
    <w:p w14:paraId="34BD9DB6">
      <w:pPr>
        <w:spacing w:beforeLines="0" w:afterLines="0" w:line="560" w:lineRule="exact"/>
        <w:ind w:firstLine="640" w:firstLineChars="200"/>
        <w:rPr>
          <w:rFonts w:hint="eastAsia"/>
          <w:color w:val="auto"/>
          <w:sz w:val="32"/>
          <w:szCs w:val="32"/>
          <w:highlight w:val="none"/>
        </w:rPr>
      </w:pPr>
      <w:r>
        <w:rPr>
          <w:rFonts w:hint="eastAsia" w:ascii="Times New Roman" w:hAnsi="Times New Roman" w:eastAsia="黑体" w:cs="Times New Roman"/>
          <w:color w:val="auto"/>
          <w:sz w:val="32"/>
          <w:szCs w:val="32"/>
          <w:highlight w:val="none"/>
        </w:rPr>
        <w:t>二、编制依据</w:t>
      </w:r>
    </w:p>
    <w:p w14:paraId="414DE436">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《中华人民共和国城乡规划法》；</w:t>
      </w:r>
    </w:p>
    <w:p w14:paraId="43398FE2">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2</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《中华人民共和国土地管理法》；</w:t>
      </w:r>
    </w:p>
    <w:p w14:paraId="2EF17A36">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3</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《中华人民共和国水法》</w:t>
      </w:r>
      <w:r>
        <w:rPr>
          <w:rFonts w:hint="eastAsia" w:ascii="仿宋_GB2312" w:eastAsia="仿宋_GB2312"/>
          <w:color w:val="auto"/>
          <w:sz w:val="32"/>
          <w:szCs w:val="32"/>
          <w:highlight w:val="none"/>
          <w:lang w:eastAsia="zh-CN"/>
        </w:rPr>
        <w:t>；</w:t>
      </w:r>
    </w:p>
    <w:p w14:paraId="6D193AF8">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4</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《中华人民共和国环境保护法》</w:t>
      </w:r>
      <w:r>
        <w:rPr>
          <w:rFonts w:hint="eastAsia" w:ascii="仿宋_GB2312" w:eastAsia="仿宋_GB2312"/>
          <w:color w:val="auto"/>
          <w:sz w:val="32"/>
          <w:szCs w:val="32"/>
          <w:highlight w:val="none"/>
          <w:lang w:eastAsia="zh-CN"/>
        </w:rPr>
        <w:t>；</w:t>
      </w:r>
    </w:p>
    <w:p w14:paraId="460FCD24">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5</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《城市排水工程规划规范》（GB50318-2017）</w:t>
      </w:r>
      <w:r>
        <w:rPr>
          <w:rFonts w:hint="eastAsia" w:ascii="仿宋_GB2312" w:eastAsia="仿宋_GB2312"/>
          <w:color w:val="auto"/>
          <w:sz w:val="32"/>
          <w:szCs w:val="32"/>
          <w:highlight w:val="none"/>
          <w:lang w:eastAsia="zh-CN"/>
        </w:rPr>
        <w:t>；</w:t>
      </w:r>
    </w:p>
    <w:p w14:paraId="50133447">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lang w:val="en-US" w:eastAsia="zh-CN"/>
        </w:rPr>
      </w:pPr>
      <w:r>
        <w:rPr>
          <w:rFonts w:hint="default" w:ascii="仿宋_GB2312" w:eastAsia="仿宋_GB2312" w:hAnsiTheme="minorHAnsi" w:cstheme="minorBidi"/>
          <w:color w:val="auto"/>
          <w:kern w:val="2"/>
          <w:sz w:val="32"/>
          <w:szCs w:val="32"/>
          <w:highlight w:val="none"/>
          <w:lang w:val="en-US" w:eastAsia="zh-CN" w:bidi="ar-SA"/>
        </w:rPr>
        <w:t>6</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《城乡排水工程项目规范》（GB55027-2022）；</w:t>
      </w:r>
    </w:p>
    <w:p w14:paraId="30E55BC0">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lang w:val="en-US" w:eastAsia="zh-CN"/>
        </w:rPr>
      </w:pPr>
      <w:r>
        <w:rPr>
          <w:rFonts w:hint="default" w:ascii="仿宋_GB2312" w:eastAsia="仿宋_GB2312" w:hAnsiTheme="minorHAnsi" w:cstheme="minorBidi"/>
          <w:color w:val="auto"/>
          <w:kern w:val="2"/>
          <w:sz w:val="32"/>
          <w:szCs w:val="32"/>
          <w:highlight w:val="none"/>
          <w:lang w:val="en-US" w:eastAsia="zh-CN" w:bidi="ar-SA"/>
        </w:rPr>
        <w:t>7</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《城市水系规划规范》（GB50513-2009）</w:t>
      </w:r>
      <w:r>
        <w:rPr>
          <w:rFonts w:hint="eastAsia" w:ascii="仿宋_GB2312"/>
          <w:color w:val="auto"/>
          <w:sz w:val="32"/>
          <w:szCs w:val="32"/>
          <w:highlight w:val="none"/>
          <w:lang w:val="en-US" w:eastAsia="zh-CN"/>
        </w:rPr>
        <w:t>（2016年版）</w:t>
      </w:r>
      <w:r>
        <w:rPr>
          <w:rFonts w:hint="eastAsia" w:ascii="仿宋_GB2312" w:eastAsia="仿宋_GB2312"/>
          <w:color w:val="auto"/>
          <w:sz w:val="32"/>
          <w:szCs w:val="32"/>
          <w:highlight w:val="none"/>
          <w:lang w:val="en-US" w:eastAsia="zh-CN"/>
        </w:rPr>
        <w:t>；</w:t>
      </w:r>
    </w:p>
    <w:p w14:paraId="3AE19F5A">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8</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《室外给水设计标准》（GB50013-2018）</w:t>
      </w:r>
      <w:r>
        <w:rPr>
          <w:rFonts w:hint="eastAsia" w:ascii="仿宋_GB2312" w:eastAsia="仿宋_GB2312"/>
          <w:color w:val="auto"/>
          <w:sz w:val="32"/>
          <w:szCs w:val="32"/>
          <w:highlight w:val="none"/>
          <w:lang w:eastAsia="zh-CN"/>
        </w:rPr>
        <w:t>；</w:t>
      </w:r>
    </w:p>
    <w:p w14:paraId="6E75FB8D">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9</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《室外排水设计标准》（GB50014-2021）</w:t>
      </w:r>
      <w:r>
        <w:rPr>
          <w:rFonts w:hint="eastAsia" w:ascii="仿宋_GB2312" w:eastAsia="仿宋_GB2312"/>
          <w:color w:val="auto"/>
          <w:sz w:val="32"/>
          <w:szCs w:val="32"/>
          <w:highlight w:val="none"/>
          <w:lang w:eastAsia="zh-CN"/>
        </w:rPr>
        <w:t>；</w:t>
      </w:r>
    </w:p>
    <w:p w14:paraId="3FE826AC">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10</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《汉中市国土空间总体规划（2021-2035年）》；</w:t>
      </w:r>
    </w:p>
    <w:p w14:paraId="4CD4F5C4">
      <w:pPr>
        <w:pStyle w:val="15"/>
        <w:numPr>
          <w:ilvl w:val="0"/>
          <w:numId w:val="0"/>
        </w:numPr>
        <w:spacing w:beforeLines="0" w:afterLines="0" w:line="560" w:lineRule="exact"/>
        <w:ind w:left="0" w:leftChars="0" w:firstLine="403" w:firstLineChars="0"/>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2025年中央城市工作会议精神及汉中市贯彻落实意见；</w:t>
      </w:r>
    </w:p>
    <w:p w14:paraId="79B4125B">
      <w:pPr>
        <w:numPr>
          <w:ilvl w:val="0"/>
          <w:numId w:val="0"/>
        </w:numPr>
        <w:autoSpaceDE w:val="0"/>
        <w:autoSpaceDN w:val="0"/>
        <w:adjustRightInd w:val="0"/>
        <w:spacing w:beforeLines="0" w:afterLines="0" w:line="560" w:lineRule="exact"/>
        <w:ind w:left="0" w:leftChars="0" w:firstLine="403" w:firstLineChars="0"/>
        <w:jc w:val="left"/>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12</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s="黑体"/>
          <w:color w:val="auto"/>
          <w:kern w:val="0"/>
          <w:sz w:val="32"/>
          <w:szCs w:val="32"/>
          <w:highlight w:val="none"/>
        </w:rPr>
        <w:t>中共汉中市委《关于深入学习贯彻习近平总书记来汉中考察重要指示精神努力建设环境优美绿色低碳宜居宜游的生态城市的决定》（汉发</w:t>
      </w:r>
      <w:r>
        <w:rPr>
          <w:rFonts w:hint="eastAsia" w:ascii="仿宋_GB2312" w:eastAsia="仿宋_GB2312"/>
          <w:color w:val="auto"/>
          <w:sz w:val="32"/>
          <w:szCs w:val="32"/>
          <w:highlight w:val="none"/>
        </w:rPr>
        <w:t>〔2023〕12号</w:t>
      </w:r>
      <w:r>
        <w:rPr>
          <w:rFonts w:hint="eastAsia" w:ascii="仿宋_GB2312" w:eastAsia="仿宋_GB2312" w:cs="黑体"/>
          <w:color w:val="auto"/>
          <w:kern w:val="0"/>
          <w:sz w:val="32"/>
          <w:szCs w:val="32"/>
          <w:highlight w:val="none"/>
        </w:rPr>
        <w:t>）</w:t>
      </w:r>
      <w:r>
        <w:rPr>
          <w:rFonts w:hint="eastAsia" w:ascii="仿宋_GB2312" w:eastAsia="仿宋_GB2312"/>
          <w:color w:val="auto"/>
          <w:sz w:val="32"/>
          <w:szCs w:val="32"/>
          <w:highlight w:val="none"/>
        </w:rPr>
        <w:t>；</w:t>
      </w:r>
    </w:p>
    <w:p w14:paraId="17352F4D">
      <w:pPr>
        <w:pStyle w:val="15"/>
        <w:numPr>
          <w:ilvl w:val="0"/>
          <w:numId w:val="0"/>
        </w:numPr>
        <w:spacing w:beforeLines="0" w:afterLines="0" w:line="560" w:lineRule="exact"/>
        <w:ind w:left="0" w:leftChars="0" w:firstLine="403" w:firstLineChars="0"/>
        <w:rPr>
          <w:rFonts w:hint="eastAsia" w:eastAsia="仿宋_GB2312"/>
          <w:color w:val="auto"/>
          <w:sz w:val="28"/>
          <w:szCs w:val="28"/>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hAnsiTheme="minorHAnsi" w:cstheme="minorBidi"/>
          <w:color w:val="auto"/>
          <w:kern w:val="2"/>
          <w:sz w:val="32"/>
          <w:szCs w:val="32"/>
          <w:highlight w:val="none"/>
          <w:lang w:val="en-US" w:eastAsia="zh-CN" w:bidi="ar-SA"/>
        </w:rPr>
        <w:t>3</w:t>
      </w:r>
      <w:r>
        <w:rPr>
          <w:rFonts w:hint="eastAsia" w:eastAsia="仿宋_GB2312" w:cs="仿宋"/>
          <w:color w:val="auto"/>
          <w:sz w:val="28"/>
          <w:szCs w:val="28"/>
          <w:highlight w:val="none"/>
          <w:lang w:val="en-US" w:eastAsia="zh-CN" w:bidi="ar-SA"/>
        </w:rPr>
        <w:t>.</w:t>
      </w:r>
      <w:r>
        <w:rPr>
          <w:rFonts w:hint="eastAsia" w:ascii="仿宋_GB2312" w:eastAsia="仿宋_GB2312"/>
          <w:color w:val="auto"/>
          <w:sz w:val="32"/>
          <w:szCs w:val="32"/>
          <w:highlight w:val="none"/>
        </w:rPr>
        <w:t>国家、省、市关于污水工程工作的其他相关政策文件、标准规范及规划要求。</w:t>
      </w:r>
    </w:p>
    <w:p w14:paraId="488F45F6">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三、项目范围</w:t>
      </w:r>
    </w:p>
    <w:p w14:paraId="3B6E52BF">
      <w:pPr>
        <w:spacing w:beforeLines="0" w:afterLines="0" w:line="560" w:lineRule="exact"/>
        <w:ind w:firstLine="640" w:firstLineChars="200"/>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bidi="ar"/>
        </w:rPr>
        <w:t>规划编制范围为汉中市国土空间总体规划确定的中心城区，城镇开发边界面积约161.42平方公里，其中江北区域城镇开发边界内117.19平方公里为新编规划，研判并纳入江南区域44.23平方公里的规划编制成果。</w:t>
      </w:r>
    </w:p>
    <w:p w14:paraId="5A6E8E5C">
      <w:pPr>
        <w:spacing w:beforeLines="0" w:afterLines="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、规划主要内容</w:t>
      </w:r>
    </w:p>
    <w:p w14:paraId="16F85E7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划分中心城区污水分区，规划污水管网的管径、高程、坡向、污水泵站以及污水处理设施的位置和处理能力，为污水设施建设提供指导。应包括但不限于下列主要内容：</w:t>
      </w:r>
    </w:p>
    <w:p w14:paraId="4B6056D2">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规划主要内容</w:t>
      </w:r>
    </w:p>
    <w:p w14:paraId="24AA2F9B">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eastAsia="仿宋_GB2312" w:cstheme="minorBidi"/>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vertAlign w:val="baseline"/>
          <w:lang w:val="en-US" w:eastAsia="zh-CN"/>
        </w:rPr>
        <w:t>现状调查与分析。对现状基础情况、污水系统、水文气象等进行全面、细致的调查，找出当前排水系统存在的主要问题，并分析问题产生的原因。</w:t>
      </w:r>
    </w:p>
    <w:p w14:paraId="31FF56B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default" w:ascii="仿宋_GB2312" w:eastAsia="仿宋_GB2312" w:hAnsiTheme="minorHAnsi" w:cstheme="minorBidi"/>
          <w:color w:val="auto"/>
          <w:kern w:val="2"/>
          <w:sz w:val="32"/>
          <w:szCs w:val="32"/>
          <w:highlight w:val="none"/>
          <w:lang w:val="en-US" w:eastAsia="zh-CN" w:bidi="ar-SA"/>
        </w:rPr>
        <w:t>2</w:t>
      </w:r>
      <w:r>
        <w:rPr>
          <w:rFonts w:hint="eastAsia" w:ascii="仿宋_GB2312" w:eastAsia="仿宋_GB2312" w:cstheme="minorBidi"/>
          <w:color w:val="auto"/>
          <w:kern w:val="2"/>
          <w:sz w:val="32"/>
          <w:szCs w:val="32"/>
          <w:highlight w:val="none"/>
          <w:lang w:val="en-US" w:eastAsia="zh-CN" w:bidi="ar-SA"/>
        </w:rPr>
        <w:t>.</w:t>
      </w:r>
      <w:r>
        <w:rPr>
          <w:rFonts w:hint="eastAsia" w:ascii="仿宋_GB2312" w:hAnsi="仿宋_GB2312" w:eastAsia="仿宋_GB2312" w:cs="仿宋_GB2312"/>
          <w:color w:val="auto"/>
          <w:sz w:val="32"/>
          <w:szCs w:val="32"/>
          <w:highlight w:val="none"/>
          <w:vertAlign w:val="baseline"/>
          <w:lang w:val="en-US" w:eastAsia="zh-CN"/>
        </w:rPr>
        <w:t>污水排水分区。以规划地形、地势及路网、水系布局为依据，科学、合理地划分污水系统分区，保证污水管渠系统的布置，主干管走向、污水厂及排水口位置等应能满足城市规划布局的要求。</w:t>
      </w:r>
    </w:p>
    <w:p w14:paraId="57961A4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eastAsia="仿宋_GB2312" w:cstheme="minorBidi"/>
          <w:color w:val="auto"/>
          <w:kern w:val="2"/>
          <w:sz w:val="32"/>
          <w:szCs w:val="32"/>
          <w:highlight w:val="none"/>
          <w:lang w:val="en-US" w:eastAsia="zh-CN" w:bidi="ar-SA"/>
        </w:rPr>
        <w:t>3.</w:t>
      </w:r>
      <w:r>
        <w:rPr>
          <w:rFonts w:hint="eastAsia" w:ascii="仿宋_GB2312" w:hAnsi="仿宋_GB2312" w:eastAsia="仿宋_GB2312" w:cs="仿宋_GB2312"/>
          <w:color w:val="auto"/>
          <w:sz w:val="32"/>
          <w:szCs w:val="32"/>
          <w:highlight w:val="none"/>
          <w:vertAlign w:val="baseline"/>
          <w:lang w:val="en-US" w:eastAsia="zh-CN"/>
        </w:rPr>
        <w:t>污水量测算。片区污水量测算结合用地规划特点，采用多种方式进行污水量预测，并综合比较得出污水量预测值。</w:t>
      </w:r>
    </w:p>
    <w:p w14:paraId="47D389C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eastAsia="仿宋_GB2312" w:cstheme="minorBidi"/>
          <w:color w:val="auto"/>
          <w:kern w:val="2"/>
          <w:sz w:val="32"/>
          <w:szCs w:val="32"/>
          <w:highlight w:val="none"/>
          <w:lang w:val="en-US" w:eastAsia="zh-CN" w:bidi="ar-SA"/>
        </w:rPr>
        <w:t>4.</w:t>
      </w:r>
      <w:r>
        <w:rPr>
          <w:rFonts w:hint="eastAsia" w:ascii="仿宋_GB2312" w:hAnsi="仿宋_GB2312" w:eastAsia="仿宋_GB2312" w:cs="仿宋_GB2312"/>
          <w:color w:val="auto"/>
          <w:sz w:val="32"/>
          <w:szCs w:val="32"/>
          <w:highlight w:val="none"/>
          <w:vertAlign w:val="baseline"/>
          <w:lang w:val="en-US" w:eastAsia="zh-CN"/>
        </w:rPr>
        <w:t>污水管网布局。尽量减小管道埋深，减少污水提升次数，强化排放环境保护。衔接现状管网与污水处理厂进水要求，合理布局污水管线走向，确定管线坡度、长度、管径、管材等。</w:t>
      </w:r>
    </w:p>
    <w:p w14:paraId="1D076C76">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eastAsia="仿宋_GB2312" w:cstheme="minorBidi"/>
          <w:color w:val="auto"/>
          <w:kern w:val="2"/>
          <w:sz w:val="32"/>
          <w:szCs w:val="32"/>
          <w:highlight w:val="none"/>
          <w:lang w:val="en-US" w:eastAsia="zh-CN" w:bidi="ar-SA"/>
        </w:rPr>
        <w:t>5.</w:t>
      </w:r>
      <w:r>
        <w:rPr>
          <w:rFonts w:hint="eastAsia" w:ascii="仿宋_GB2312" w:hAnsi="仿宋_GB2312" w:eastAsia="仿宋_GB2312" w:cs="仿宋_GB2312"/>
          <w:color w:val="auto"/>
          <w:sz w:val="32"/>
          <w:szCs w:val="32"/>
          <w:highlight w:val="none"/>
          <w:vertAlign w:val="baseline"/>
          <w:lang w:val="en-US" w:eastAsia="zh-CN"/>
        </w:rPr>
        <w:t>提升泵站布局。结合管线布局，综合考虑管道埋深控制、污水处理需求、邻避设施影响控制以及管理便利性等因素，以最经济合理布局设置污水提升泵站。</w:t>
      </w:r>
    </w:p>
    <w:p w14:paraId="3B04746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eastAsia="仿宋_GB2312" w:cstheme="minorBidi"/>
          <w:color w:val="auto"/>
          <w:kern w:val="2"/>
          <w:sz w:val="32"/>
          <w:szCs w:val="32"/>
          <w:highlight w:val="none"/>
          <w:lang w:val="en-US" w:eastAsia="zh-CN" w:bidi="ar-SA"/>
        </w:rPr>
        <w:t>6.</w:t>
      </w:r>
      <w:r>
        <w:rPr>
          <w:rFonts w:hint="eastAsia" w:ascii="仿宋_GB2312" w:hAnsi="仿宋_GB2312" w:eastAsia="仿宋_GB2312" w:cs="仿宋_GB2312"/>
          <w:color w:val="auto"/>
          <w:sz w:val="32"/>
          <w:szCs w:val="32"/>
          <w:highlight w:val="none"/>
          <w:vertAlign w:val="baseline"/>
          <w:lang w:val="en-US" w:eastAsia="zh-CN"/>
        </w:rPr>
        <w:t>资源化回用规划。</w:t>
      </w:r>
      <w:r>
        <w:rPr>
          <w:rFonts w:hint="default" w:ascii="仿宋_GB2312" w:hAnsi="仿宋_GB2312" w:eastAsia="仿宋_GB2312" w:cs="仿宋_GB2312"/>
          <w:color w:val="auto"/>
          <w:sz w:val="32"/>
          <w:szCs w:val="32"/>
          <w:highlight w:val="none"/>
          <w:vertAlign w:val="baseline"/>
          <w:lang w:val="en-US" w:eastAsia="zh-CN"/>
        </w:rPr>
        <w:t>明确再生水用途（市政杂用、工业补水、生态补给等）</w:t>
      </w:r>
      <w:r>
        <w:rPr>
          <w:rFonts w:hint="eastAsia" w:ascii="仿宋_GB2312" w:hAnsi="仿宋_GB2312" w:eastAsia="仿宋_GB2312" w:cs="仿宋_GB2312"/>
          <w:color w:val="auto"/>
          <w:sz w:val="32"/>
          <w:szCs w:val="32"/>
          <w:highlight w:val="none"/>
          <w:vertAlign w:val="baseline"/>
          <w:lang w:val="en-US" w:eastAsia="zh-CN"/>
        </w:rPr>
        <w:t>，</w:t>
      </w:r>
      <w:r>
        <w:rPr>
          <w:rFonts w:hint="default" w:ascii="仿宋_GB2312" w:hAnsi="仿宋_GB2312" w:eastAsia="仿宋_GB2312" w:cs="仿宋_GB2312"/>
          <w:color w:val="auto"/>
          <w:sz w:val="32"/>
          <w:szCs w:val="32"/>
          <w:highlight w:val="none"/>
          <w:vertAlign w:val="baseline"/>
          <w:lang w:val="en-US" w:eastAsia="zh-CN"/>
        </w:rPr>
        <w:t>规划回用规模、处理工艺及输配系统。</w:t>
      </w:r>
    </w:p>
    <w:p w14:paraId="080177E2">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Style w:val="12"/>
          <w:rFonts w:hint="default" w:ascii="仿宋_GB2312" w:hAnsi="仿宋_GB2312" w:eastAsia="仿宋_GB2312" w:cs="仿宋_GB2312"/>
          <w:b w:val="0"/>
          <w:bCs/>
          <w:i w:val="0"/>
          <w:iCs w:val="0"/>
          <w:caps w:val="0"/>
          <w:color w:val="auto"/>
          <w:spacing w:val="8"/>
          <w:sz w:val="32"/>
          <w:szCs w:val="32"/>
          <w:highlight w:val="none"/>
          <w:shd w:val="clear" w:fill="FFFFFF"/>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二</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动画演示</w:t>
      </w:r>
    </w:p>
    <w:p w14:paraId="4C7FC82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bCs/>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lang w:val="en-US" w:eastAsia="zh-CN"/>
        </w:rPr>
        <w:t>用动画动态演示规划，需充分展示规划的重点成果与关键节点，直观展示对比规划前后的效果。</w:t>
      </w:r>
    </w:p>
    <w:p w14:paraId="3507FE0E">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三</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环境影响评价</w:t>
      </w:r>
    </w:p>
    <w:p w14:paraId="63F0C04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14:paraId="2FA023A1">
      <w:pPr>
        <w:spacing w:beforeLines="0" w:afterLines="0" w:line="560" w:lineRule="exact"/>
        <w:ind w:firstLine="640" w:firstLineChars="20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五、成果要求</w:t>
      </w:r>
    </w:p>
    <w:p w14:paraId="3F98E5D5">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一</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总体要求</w:t>
      </w:r>
    </w:p>
    <w:p w14:paraId="3EE504E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规划编制要符合《汉中市国土空间总体规划（2021-2035年）》等上位规划要求，纳入国土空间规划“一张图”实施监督系统和国土空间规划实施监测网络（CSPON）管理。规划内容和深度要符合《城市排水工程规划规范》GB 50318-2017、《城乡排水工程项目规范》GB 55027-2022、《城市水系规划规范》GB 50513-2009等相关规范标准要求。</w:t>
      </w:r>
    </w:p>
    <w:p w14:paraId="28057A03">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二</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Fonts w:hint="eastAsia" w:ascii="仿宋_GB2312" w:hAnsi="仿宋_GB2312" w:eastAsia="仿宋_GB2312" w:cs="仿宋_GB2312"/>
          <w:b w:val="0"/>
          <w:bCs w:val="0"/>
          <w:color w:val="auto"/>
          <w:sz w:val="32"/>
          <w:szCs w:val="32"/>
          <w:highlight w:val="none"/>
          <w:vertAlign w:val="baseline"/>
          <w:lang w:val="en-US" w:eastAsia="zh-CN"/>
        </w:rPr>
        <w:t>成果形式</w:t>
      </w:r>
    </w:p>
    <w:p w14:paraId="0102B7D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1.现状资料。现状管线图（比例尺为1：500或1：1000，CAD文件或shp文件格式）</w:t>
      </w:r>
    </w:p>
    <w:p w14:paraId="6B8EE2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2.规划成果。包括文本、说明书、图纸、环境影响篇章或说明、数据库应能在汉中市国土空间规划“一张图”实施监督信息系统和国土空间规划实施监测网络（CSPON）上搭载应用、汇报演示文件、动画演示等（文字为doc格式，图纸为dwg、GIS、jpg格式，数据库为mdb、gdb格式，效果图为jpg格式，供汇报展示用演示文件为ppt格式）。</w:t>
      </w:r>
    </w:p>
    <w:p w14:paraId="57CCD424">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六</w:t>
      </w:r>
      <w:r>
        <w:rPr>
          <w:rFonts w:hint="eastAsia" w:ascii="黑体" w:hAnsi="黑体" w:eastAsia="黑体" w:cs="黑体"/>
          <w:color w:val="auto"/>
          <w:sz w:val="32"/>
          <w:szCs w:val="32"/>
          <w:highlight w:val="none"/>
          <w:lang w:val="en-US" w:eastAsia="zh-CN"/>
        </w:rPr>
        <w:t>、其他要求</w:t>
      </w:r>
    </w:p>
    <w:p w14:paraId="6E323D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color w:val="auto"/>
          <w:kern w:val="0"/>
          <w:sz w:val="32"/>
          <w:szCs w:val="32"/>
          <w:highlight w:val="none"/>
          <w:lang w:val="en-US" w:eastAsia="zh-CN" w:bidi="ar"/>
        </w:rPr>
      </w:pPr>
      <w:r>
        <w:rPr>
          <w:rFonts w:hint="eastAsia" w:ascii="仿宋_GB2312" w:hAnsi="仿宋_GB2312" w:eastAsia="仿宋_GB2312" w:cs="仿宋_GB2312"/>
          <w:b w:val="0"/>
          <w:bCs w:val="0"/>
          <w:color w:val="auto"/>
          <w:sz w:val="32"/>
          <w:szCs w:val="32"/>
          <w:highlight w:val="none"/>
          <w:vertAlign w:val="baseline"/>
          <w:lang w:val="en-US" w:eastAsia="zh-CN"/>
        </w:rPr>
        <w:t>按照合同约定期限，参与中心城区市政基础设施相关的规划建设，并出具书面指导意见</w:t>
      </w:r>
      <w:r>
        <w:rPr>
          <w:rFonts w:hint="eastAsia" w:ascii="仿宋_GB2312" w:hAnsi="宋体" w:eastAsia="仿宋_GB2312" w:cs="仿宋_GB2312"/>
          <w:color w:val="auto"/>
          <w:kern w:val="0"/>
          <w:sz w:val="32"/>
          <w:szCs w:val="32"/>
          <w:highlight w:val="none"/>
          <w:lang w:val="en-US" w:eastAsia="zh-CN" w:bidi="ar"/>
        </w:rPr>
        <w:t>。</w:t>
      </w:r>
    </w:p>
    <w:p w14:paraId="22363976">
      <w:pPr>
        <w:numPr>
          <w:ilvl w:val="0"/>
          <w:numId w:val="0"/>
        </w:numPr>
        <w:spacing w:beforeLines="0" w:afterLines="0"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Times New Roman" w:hAnsi="Times New Roman" w:eastAsia="黑体" w:cs="Times New Roman"/>
          <w:color w:val="auto"/>
          <w:sz w:val="32"/>
          <w:szCs w:val="32"/>
          <w:highlight w:val="none"/>
          <w:lang w:val="en-US" w:eastAsia="zh-CN"/>
        </w:rPr>
        <w:t>七</w:t>
      </w:r>
      <w:r>
        <w:rPr>
          <w:rFonts w:hint="eastAsia" w:ascii="Times New Roman" w:hAnsi="Times New Roman" w:eastAsia="黑体" w:cs="Times New Roman"/>
          <w:color w:val="auto"/>
          <w:sz w:val="32"/>
          <w:szCs w:val="32"/>
          <w:highlight w:val="none"/>
        </w:rPr>
        <w:t>、成果验收</w:t>
      </w:r>
    </w:p>
    <w:p w14:paraId="0E26A0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cs="仿宋_GB2312"/>
          <w:b/>
          <w:bCs/>
          <w:color w:val="auto"/>
          <w:kern w:val="0"/>
          <w:sz w:val="32"/>
          <w:szCs w:val="32"/>
          <w:highlight w:val="none"/>
          <w:lang w:val="en-US" w:eastAsia="zh-CN" w:bidi="ar"/>
        </w:rPr>
        <w:sectPr>
          <w:pgSz w:w="11906" w:h="16838"/>
          <w:pgMar w:top="2098" w:right="1474" w:bottom="1984" w:left="1587" w:header="851" w:footer="1134" w:gutter="0"/>
          <w:pgNumType w:fmt="decimal"/>
          <w:cols w:space="425" w:num="1"/>
          <w:docGrid w:type="lines" w:linePitch="312" w:charSpace="0"/>
        </w:sectPr>
      </w:pPr>
      <w:r>
        <w:rPr>
          <w:rFonts w:hint="eastAsia" w:ascii="仿宋_GB2312" w:eastAsia="仿宋_GB2312"/>
          <w:color w:val="auto"/>
          <w:sz w:val="32"/>
          <w:szCs w:val="32"/>
          <w:highlight w:val="none"/>
        </w:rPr>
        <w:t>经汉中市国土空间规划委员会审议通过后一个月内，设计方</w:t>
      </w:r>
      <w:r>
        <w:rPr>
          <w:rFonts w:hint="eastAsia" w:ascii="仿宋_GB2312" w:hAnsi="Times New Roman" w:eastAsia="仿宋_GB2312" w:cs="Times New Roman"/>
          <w:color w:val="auto"/>
          <w:sz w:val="32"/>
          <w:szCs w:val="32"/>
          <w:highlight w:val="none"/>
        </w:rPr>
        <w:t>根据各阶段研究审议提出的修改、补充、完善意见，全面修改，达到纸质及电子文档最终成果提交要求，经</w:t>
      </w:r>
      <w:r>
        <w:rPr>
          <w:rFonts w:hint="eastAsia" w:ascii="仿宋_GB2312" w:hAnsi="Times New Roman" w:eastAsia="仿宋_GB2312" w:cs="Times New Roman"/>
          <w:color w:val="auto"/>
          <w:sz w:val="32"/>
          <w:szCs w:val="32"/>
          <w:highlight w:val="none"/>
          <w:lang w:eastAsia="zh-CN"/>
        </w:rPr>
        <w:t>市自然资源局联合相关行业主管部门</w:t>
      </w:r>
      <w:r>
        <w:rPr>
          <w:rFonts w:hint="eastAsia" w:ascii="仿宋_GB2312" w:hAnsi="Times New Roman" w:eastAsia="仿宋_GB2312" w:cs="Times New Roman"/>
          <w:color w:val="auto"/>
          <w:sz w:val="32"/>
          <w:szCs w:val="32"/>
          <w:highlight w:val="none"/>
        </w:rPr>
        <w:t>复核无误，出具书面成果接收清单后，方可视为</w:t>
      </w:r>
      <w:r>
        <w:rPr>
          <w:rFonts w:hint="eastAsia" w:ascii="仿宋_GB2312" w:eastAsia="仿宋_GB2312"/>
          <w:color w:val="auto"/>
          <w:sz w:val="32"/>
          <w:szCs w:val="32"/>
          <w:highlight w:val="none"/>
        </w:rPr>
        <w:t>正式通过验收。</w:t>
      </w:r>
    </w:p>
    <w:p w14:paraId="748EE236">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《汉中市中心城区雨污分流专项规划》</w:t>
      </w:r>
    </w:p>
    <w:p w14:paraId="5C8E7C81">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设计任务书</w:t>
      </w:r>
    </w:p>
    <w:p w14:paraId="706D6730">
      <w:pPr>
        <w:spacing w:line="600" w:lineRule="exact"/>
        <w:rPr>
          <w:rFonts w:ascii="Times New Roman" w:hAnsi="Times New Roman" w:eastAsia="仿宋" w:cs="Times New Roman"/>
          <w:color w:val="auto"/>
          <w:sz w:val="32"/>
          <w:szCs w:val="32"/>
          <w:highlight w:val="none"/>
        </w:rPr>
      </w:pPr>
    </w:p>
    <w:p w14:paraId="0D0D8B5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一、</w:t>
      </w:r>
      <w:r>
        <w:rPr>
          <w:rFonts w:hint="eastAsia" w:ascii="Times New Roman" w:hAnsi="Times New Roman" w:eastAsia="黑体" w:cs="Times New Roman"/>
          <w:color w:val="auto"/>
          <w:sz w:val="32"/>
          <w:szCs w:val="32"/>
          <w:highlight w:val="none"/>
          <w:lang w:val="en-US" w:eastAsia="zh-CN"/>
        </w:rPr>
        <w:t>规划</w:t>
      </w:r>
      <w:r>
        <w:rPr>
          <w:rFonts w:ascii="Times New Roman" w:hAnsi="Times New Roman" w:eastAsia="黑体" w:cs="Times New Roman"/>
          <w:color w:val="auto"/>
          <w:sz w:val="32"/>
          <w:szCs w:val="32"/>
          <w:highlight w:val="none"/>
        </w:rPr>
        <w:t>背景</w:t>
      </w:r>
    </w:p>
    <w:p w14:paraId="4FBE5006">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hAnsi="Calibri" w:eastAsia="仿宋_GB2312" w:cs="仿宋"/>
          <w:color w:val="auto"/>
          <w:sz w:val="32"/>
          <w:szCs w:val="32"/>
          <w:highlight w:val="none"/>
          <w:lang w:val="en-US" w:eastAsia="zh-CN" w:bidi="ar-SA"/>
        </w:rPr>
      </w:pPr>
      <w:r>
        <w:rPr>
          <w:rFonts w:hint="eastAsia" w:ascii="仿宋_GB2312" w:hAnsi="Calibri" w:eastAsia="仿宋_GB2312" w:cs="仿宋"/>
          <w:color w:val="auto"/>
          <w:sz w:val="32"/>
          <w:szCs w:val="32"/>
          <w:highlight w:val="none"/>
          <w:lang w:val="en-US" w:eastAsia="zh-CN" w:bidi="ar-SA"/>
        </w:rPr>
        <w:t>为推进生态环境保护，从严从实抓好中央环保督察组指出和交办问题及典型案例问题整改，筑牢中心城区雨污分流管网建设改造的基础支撑，加强南水北调中线工程水源地系统性保护，确保“一泓清水永续北上”，提高城市安全韧性水平，开展</w:t>
      </w:r>
      <w:r>
        <w:rPr>
          <w:rFonts w:hint="eastAsia" w:ascii="仿宋_GB2312" w:eastAsia="仿宋_GB2312" w:cs="仿宋"/>
          <w:color w:val="auto"/>
          <w:sz w:val="32"/>
          <w:szCs w:val="32"/>
          <w:highlight w:val="none"/>
          <w:lang w:val="en-US" w:eastAsia="zh-CN" w:bidi="ar-SA"/>
        </w:rPr>
        <w:t>本次</w:t>
      </w:r>
      <w:r>
        <w:rPr>
          <w:rFonts w:hint="eastAsia" w:ascii="仿宋_GB2312" w:hAnsi="Calibri" w:eastAsia="仿宋_GB2312" w:cs="仿宋"/>
          <w:color w:val="auto"/>
          <w:sz w:val="32"/>
          <w:szCs w:val="32"/>
          <w:highlight w:val="none"/>
          <w:lang w:val="en-US" w:eastAsia="zh-CN" w:bidi="ar-SA"/>
        </w:rPr>
        <w:t>中心城区雨污分流专项规划</w:t>
      </w:r>
      <w:r>
        <w:rPr>
          <w:rFonts w:hint="eastAsia" w:ascii="仿宋_GB2312" w:eastAsia="仿宋_GB2312" w:cs="仿宋"/>
          <w:color w:val="auto"/>
          <w:sz w:val="32"/>
          <w:szCs w:val="32"/>
          <w:highlight w:val="none"/>
          <w:lang w:val="en-US" w:eastAsia="zh-CN" w:bidi="ar-SA"/>
        </w:rPr>
        <w:t>编制</w:t>
      </w:r>
      <w:r>
        <w:rPr>
          <w:rFonts w:hint="eastAsia" w:ascii="仿宋_GB2312" w:hAnsi="Calibri" w:eastAsia="仿宋_GB2312" w:cs="仿宋"/>
          <w:color w:val="auto"/>
          <w:sz w:val="32"/>
          <w:szCs w:val="32"/>
          <w:highlight w:val="none"/>
          <w:lang w:val="en-US" w:eastAsia="zh-CN" w:bidi="ar-SA"/>
        </w:rPr>
        <w:t>工作。</w:t>
      </w:r>
    </w:p>
    <w:p w14:paraId="3A6456B4">
      <w:pPr>
        <w:keepNext w:val="0"/>
        <w:keepLines w:val="0"/>
        <w:pageBreakBefore w:val="0"/>
        <w:widowControl w:val="0"/>
        <w:kinsoku/>
        <w:wordWrap/>
        <w:overflowPunct/>
        <w:topLinePunct w:val="0"/>
        <w:bidi w:val="0"/>
        <w:snapToGrid/>
        <w:spacing w:beforeLines="0" w:afterLines="0" w:line="520" w:lineRule="exact"/>
        <w:ind w:firstLine="640" w:firstLineChars="200"/>
        <w:textAlignment w:val="auto"/>
        <w:rPr>
          <w:rFonts w:hint="eastAsia"/>
          <w:color w:val="auto"/>
          <w:sz w:val="32"/>
          <w:szCs w:val="32"/>
          <w:highlight w:val="none"/>
        </w:rPr>
      </w:pPr>
      <w:r>
        <w:rPr>
          <w:rFonts w:hint="eastAsia" w:ascii="Times New Roman" w:hAnsi="Times New Roman" w:eastAsia="黑体" w:cs="Times New Roman"/>
          <w:color w:val="auto"/>
          <w:sz w:val="32"/>
          <w:szCs w:val="32"/>
          <w:highlight w:val="none"/>
        </w:rPr>
        <w:t>二、编制依据</w:t>
      </w:r>
    </w:p>
    <w:p w14:paraId="316D8517">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《中华人民共和国城乡规划法》；</w:t>
      </w:r>
    </w:p>
    <w:p w14:paraId="77F1E8C0">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2</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《中华人民共和国土地管理法》；</w:t>
      </w:r>
    </w:p>
    <w:p w14:paraId="0620895B">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3</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《中华人民共和国水法》</w:t>
      </w:r>
      <w:r>
        <w:rPr>
          <w:rFonts w:hint="eastAsia" w:ascii="仿宋_GB2312" w:eastAsia="仿宋_GB2312"/>
          <w:color w:val="auto"/>
          <w:sz w:val="32"/>
          <w:szCs w:val="32"/>
          <w:highlight w:val="none"/>
          <w:lang w:eastAsia="zh-CN"/>
        </w:rPr>
        <w:t>；</w:t>
      </w:r>
    </w:p>
    <w:p w14:paraId="009DF7DA">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4</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《中华人民共和国环境保护法》</w:t>
      </w:r>
      <w:r>
        <w:rPr>
          <w:rFonts w:hint="eastAsia" w:ascii="仿宋_GB2312" w:eastAsia="仿宋_GB2312"/>
          <w:color w:val="auto"/>
          <w:sz w:val="32"/>
          <w:szCs w:val="32"/>
          <w:highlight w:val="none"/>
          <w:lang w:eastAsia="zh-CN"/>
        </w:rPr>
        <w:t>；</w:t>
      </w:r>
    </w:p>
    <w:p w14:paraId="77C06A30">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5</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《城市排水工程规划规范》（GB50318-2017）</w:t>
      </w:r>
      <w:r>
        <w:rPr>
          <w:rFonts w:hint="eastAsia" w:ascii="仿宋_GB2312" w:eastAsia="仿宋_GB2312"/>
          <w:color w:val="auto"/>
          <w:sz w:val="32"/>
          <w:szCs w:val="32"/>
          <w:highlight w:val="none"/>
          <w:lang w:eastAsia="zh-CN"/>
        </w:rPr>
        <w:t>；</w:t>
      </w:r>
    </w:p>
    <w:p w14:paraId="6D400953">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lang w:val="en-US" w:eastAsia="zh-CN"/>
        </w:rPr>
      </w:pPr>
      <w:r>
        <w:rPr>
          <w:rFonts w:hint="default" w:ascii="仿宋_GB2312" w:eastAsia="仿宋_GB2312" w:hAnsiTheme="minorHAnsi" w:cstheme="minorBidi"/>
          <w:color w:val="auto"/>
          <w:kern w:val="2"/>
          <w:sz w:val="32"/>
          <w:szCs w:val="32"/>
          <w:highlight w:val="none"/>
          <w:lang w:val="en-US" w:eastAsia="zh-CN" w:bidi="ar-SA"/>
        </w:rPr>
        <w:t>6</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《城乡排水工程项目规范》（GB55027-2022）；</w:t>
      </w:r>
    </w:p>
    <w:p w14:paraId="0834C0EF">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lang w:val="en-US" w:eastAsia="zh-CN"/>
        </w:rPr>
      </w:pPr>
      <w:r>
        <w:rPr>
          <w:rFonts w:hint="default" w:ascii="仿宋_GB2312" w:eastAsia="仿宋_GB2312" w:hAnsiTheme="minorHAnsi" w:cstheme="minorBidi"/>
          <w:color w:val="auto"/>
          <w:kern w:val="2"/>
          <w:sz w:val="32"/>
          <w:szCs w:val="32"/>
          <w:highlight w:val="none"/>
          <w:lang w:val="en-US" w:eastAsia="zh-CN" w:bidi="ar-SA"/>
        </w:rPr>
        <w:t>7</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《城市水系规划规范》（GB50513-2009）</w:t>
      </w:r>
      <w:r>
        <w:rPr>
          <w:rFonts w:hint="eastAsia" w:ascii="仿宋_GB2312"/>
          <w:color w:val="auto"/>
          <w:sz w:val="32"/>
          <w:szCs w:val="32"/>
          <w:highlight w:val="none"/>
          <w:lang w:val="en-US" w:eastAsia="zh-CN"/>
        </w:rPr>
        <w:t>（2016年版）</w:t>
      </w:r>
      <w:r>
        <w:rPr>
          <w:rFonts w:hint="eastAsia" w:ascii="仿宋_GB2312" w:eastAsia="仿宋_GB2312"/>
          <w:color w:val="auto"/>
          <w:sz w:val="32"/>
          <w:szCs w:val="32"/>
          <w:highlight w:val="none"/>
          <w:lang w:val="en-US" w:eastAsia="zh-CN"/>
        </w:rPr>
        <w:t>；</w:t>
      </w:r>
    </w:p>
    <w:p w14:paraId="25AE14B3">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8</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《室外给水设计标准》（GB50013-2018）</w:t>
      </w:r>
      <w:r>
        <w:rPr>
          <w:rFonts w:hint="eastAsia" w:ascii="仿宋_GB2312" w:eastAsia="仿宋_GB2312"/>
          <w:color w:val="auto"/>
          <w:sz w:val="32"/>
          <w:szCs w:val="32"/>
          <w:highlight w:val="none"/>
          <w:lang w:eastAsia="zh-CN"/>
        </w:rPr>
        <w:t>；</w:t>
      </w:r>
    </w:p>
    <w:p w14:paraId="3672274E">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9</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《室外排水设计标准》（GB50014-2021）</w:t>
      </w:r>
      <w:r>
        <w:rPr>
          <w:rFonts w:hint="eastAsia" w:ascii="仿宋_GB2312" w:eastAsia="仿宋_GB2312"/>
          <w:color w:val="auto"/>
          <w:sz w:val="32"/>
          <w:szCs w:val="32"/>
          <w:highlight w:val="none"/>
          <w:lang w:eastAsia="zh-CN"/>
        </w:rPr>
        <w:t>；</w:t>
      </w:r>
    </w:p>
    <w:p w14:paraId="331E1B5F">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10</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《汉中市国土空间总体规划（2021-2035年）》；</w:t>
      </w:r>
    </w:p>
    <w:p w14:paraId="78CBA9F4">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2025年中央城市工作会议精神及汉中市贯彻落实意见；</w:t>
      </w:r>
    </w:p>
    <w:p w14:paraId="168884CF">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20" w:lineRule="exact"/>
        <w:ind w:left="0" w:leftChars="0" w:firstLine="403" w:firstLineChars="0"/>
        <w:jc w:val="left"/>
        <w:textAlignment w:val="auto"/>
        <w:rPr>
          <w:rFonts w:hint="eastAsia" w:ascii="仿宋_GB2312" w:eastAsia="仿宋_GB2312"/>
          <w:color w:val="auto"/>
          <w:sz w:val="32"/>
          <w:szCs w:val="32"/>
          <w:highlight w:val="none"/>
        </w:rPr>
      </w:pPr>
      <w:r>
        <w:rPr>
          <w:rFonts w:hint="default" w:ascii="仿宋_GB2312" w:eastAsia="仿宋_GB2312" w:hAnsiTheme="minorHAnsi" w:cstheme="minorBidi"/>
          <w:color w:val="auto"/>
          <w:kern w:val="2"/>
          <w:sz w:val="32"/>
          <w:szCs w:val="32"/>
          <w:highlight w:val="none"/>
          <w:lang w:val="en-US" w:eastAsia="zh-CN" w:bidi="ar-SA"/>
        </w:rPr>
        <w:t>12</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s="黑体"/>
          <w:color w:val="auto"/>
          <w:kern w:val="0"/>
          <w:sz w:val="32"/>
          <w:szCs w:val="32"/>
          <w:highlight w:val="none"/>
        </w:rPr>
        <w:t>中共汉中市委《关于深入学习贯彻习近平总书记来汉中考察重要指示精神努力建设环境优美绿色低碳宜居宜游的生态城市的决定》（汉发</w:t>
      </w:r>
      <w:r>
        <w:rPr>
          <w:rFonts w:hint="eastAsia" w:ascii="仿宋_GB2312" w:eastAsia="仿宋_GB2312"/>
          <w:color w:val="auto"/>
          <w:sz w:val="32"/>
          <w:szCs w:val="32"/>
          <w:highlight w:val="none"/>
        </w:rPr>
        <w:t>〔2023〕12号</w:t>
      </w:r>
      <w:r>
        <w:rPr>
          <w:rFonts w:hint="eastAsia" w:ascii="仿宋_GB2312" w:eastAsia="仿宋_GB2312" w:cs="黑体"/>
          <w:color w:val="auto"/>
          <w:kern w:val="0"/>
          <w:sz w:val="32"/>
          <w:szCs w:val="32"/>
          <w:highlight w:val="none"/>
        </w:rPr>
        <w:t>）</w:t>
      </w:r>
      <w:r>
        <w:rPr>
          <w:rFonts w:hint="eastAsia" w:ascii="仿宋_GB2312" w:eastAsia="仿宋_GB2312"/>
          <w:color w:val="auto"/>
          <w:sz w:val="32"/>
          <w:szCs w:val="32"/>
          <w:highlight w:val="none"/>
        </w:rPr>
        <w:t>；</w:t>
      </w:r>
    </w:p>
    <w:p w14:paraId="2A31B0CB">
      <w:pPr>
        <w:pStyle w:val="15"/>
        <w:keepNext w:val="0"/>
        <w:keepLines w:val="0"/>
        <w:pageBreakBefore w:val="0"/>
        <w:widowControl w:val="0"/>
        <w:numPr>
          <w:ilvl w:val="0"/>
          <w:numId w:val="0"/>
        </w:numPr>
        <w:kinsoku/>
        <w:wordWrap/>
        <w:overflowPunct/>
        <w:topLinePunct w:val="0"/>
        <w:bidi w:val="0"/>
        <w:snapToGrid/>
        <w:spacing w:beforeLines="0" w:afterLines="0" w:line="520" w:lineRule="exact"/>
        <w:ind w:left="0" w:leftChars="0" w:firstLine="403" w:firstLineChars="0"/>
        <w:textAlignment w:val="auto"/>
        <w:rPr>
          <w:rFonts w:hint="eastAsia" w:eastAsia="仿宋_GB2312"/>
          <w:color w:val="auto"/>
          <w:sz w:val="28"/>
          <w:szCs w:val="28"/>
          <w:highlight w:val="none"/>
        </w:rPr>
      </w:pPr>
      <w:r>
        <w:rPr>
          <w:rFonts w:hint="default" w:ascii="仿宋_GB2312" w:eastAsia="仿宋_GB2312" w:hAnsiTheme="minorHAnsi" w:cstheme="minorBidi"/>
          <w:color w:val="auto"/>
          <w:kern w:val="2"/>
          <w:sz w:val="32"/>
          <w:szCs w:val="32"/>
          <w:highlight w:val="none"/>
          <w:lang w:val="en-US" w:eastAsia="zh-CN" w:bidi="ar-SA"/>
        </w:rPr>
        <w:t>1</w:t>
      </w:r>
      <w:r>
        <w:rPr>
          <w:rFonts w:hint="eastAsia" w:ascii="仿宋_GB2312" w:eastAsia="仿宋_GB2312" w:hAnsiTheme="minorHAnsi" w:cstheme="minorBidi"/>
          <w:color w:val="auto"/>
          <w:kern w:val="2"/>
          <w:sz w:val="32"/>
          <w:szCs w:val="32"/>
          <w:highlight w:val="none"/>
          <w:lang w:val="en-US" w:eastAsia="zh-CN" w:bidi="ar-SA"/>
        </w:rPr>
        <w:t>3</w:t>
      </w:r>
      <w:r>
        <w:rPr>
          <w:rFonts w:hint="eastAsia" w:eastAsia="仿宋_GB2312" w:cs="仿宋"/>
          <w:color w:val="auto"/>
          <w:sz w:val="28"/>
          <w:szCs w:val="28"/>
          <w:highlight w:val="none"/>
          <w:lang w:val="en-US" w:eastAsia="zh-CN" w:bidi="ar-SA"/>
        </w:rPr>
        <w:t>.</w:t>
      </w:r>
      <w:r>
        <w:rPr>
          <w:rFonts w:hint="eastAsia" w:ascii="仿宋_GB2312" w:eastAsia="仿宋_GB2312"/>
          <w:color w:val="auto"/>
          <w:sz w:val="32"/>
          <w:szCs w:val="32"/>
          <w:highlight w:val="none"/>
        </w:rPr>
        <w:t>国家、省、市关于污水工程工作的其他相关政策文件、标准规范及规划要求。</w:t>
      </w:r>
    </w:p>
    <w:p w14:paraId="0612255F">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三、项目范围</w:t>
      </w:r>
    </w:p>
    <w:p w14:paraId="4DE32792">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val="en-US" w:eastAsia="zh-CN" w:bidi="ar"/>
        </w:rPr>
        <w:t>规划</w:t>
      </w:r>
      <w:r>
        <w:rPr>
          <w:rFonts w:hint="eastAsia" w:ascii="Times New Roman" w:hAnsi="Times New Roman" w:eastAsia="仿宋_GB2312" w:cs="Times New Roman"/>
          <w:color w:val="auto"/>
          <w:kern w:val="0"/>
          <w:sz w:val="32"/>
          <w:szCs w:val="32"/>
          <w:highlight w:val="none"/>
          <w:lang w:bidi="ar"/>
        </w:rPr>
        <w:t>范围为《汉中市国土空间总体规划（2021-2035年）》确定的中心城区城镇开发边界内161.42平方公里。</w:t>
      </w:r>
    </w:p>
    <w:p w14:paraId="6A115529">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、规划主要内容</w:t>
      </w:r>
    </w:p>
    <w:p w14:paraId="3D7FAE24">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规划内容应包括现状及问题分析、雨污分流规划方案、规划建设项目等，应包含但不限于以下内容：</w:t>
      </w:r>
    </w:p>
    <w:p w14:paraId="1A792584">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现状及问题分析。</w:t>
      </w:r>
      <w:r>
        <w:rPr>
          <w:rFonts w:hint="eastAsia" w:ascii="仿宋_GB2312" w:hAnsi="Times New Roman" w:eastAsia="仿宋_GB2312" w:cs="Times New Roman"/>
          <w:color w:val="auto"/>
          <w:sz w:val="32"/>
          <w:szCs w:val="32"/>
          <w:highlight w:val="none"/>
          <w:lang w:val="en-US" w:eastAsia="zh-CN"/>
        </w:rPr>
        <w:t>对相关国土空间规划内容进行分析解读，做好规划衔接。梳理</w:t>
      </w:r>
      <w:r>
        <w:rPr>
          <w:rFonts w:hint="default" w:ascii="Times New Roman" w:hAnsi="Times New Roman" w:eastAsia="仿宋_GB2312" w:cs="Times New Roman"/>
          <w:color w:val="auto"/>
          <w:kern w:val="2"/>
          <w:sz w:val="32"/>
          <w:szCs w:val="32"/>
          <w:highlight w:val="none"/>
          <w:lang w:val="en-US" w:eastAsia="zh-CN" w:bidi="ar-SA"/>
        </w:rPr>
        <w:t>排水沟渠</w:t>
      </w:r>
      <w:r>
        <w:rPr>
          <w:rFonts w:hint="eastAsia" w:ascii="Times New Roman" w:hAnsi="Times New Roman" w:eastAsia="仿宋_GB2312" w:cs="Times New Roman"/>
          <w:color w:val="auto"/>
          <w:kern w:val="2"/>
          <w:sz w:val="32"/>
          <w:szCs w:val="32"/>
          <w:highlight w:val="none"/>
          <w:lang w:val="en-US" w:eastAsia="zh-CN" w:bidi="ar-SA"/>
        </w:rPr>
        <w:t>、污水处理设施、合流管道</w:t>
      </w:r>
      <w:r>
        <w:rPr>
          <w:rFonts w:hint="eastAsia" w:ascii="仿宋_GB2312" w:hAnsi="Times New Roman" w:eastAsia="仿宋_GB2312" w:cs="Times New Roman"/>
          <w:color w:val="auto"/>
          <w:sz w:val="32"/>
          <w:szCs w:val="32"/>
          <w:highlight w:val="none"/>
          <w:lang w:val="en-US" w:eastAsia="zh-CN"/>
        </w:rPr>
        <w:t>等问题，为后续规划提供基础依据。</w:t>
      </w:r>
    </w:p>
    <w:p w14:paraId="4A5D0879">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楷体_GB2312" w:hAnsi="楷体_GB2312" w:eastAsia="楷体_GB2312" w:cs="楷体_GB2312"/>
          <w:color w:val="auto"/>
          <w:sz w:val="32"/>
          <w:szCs w:val="32"/>
          <w:highlight w:val="none"/>
          <w:lang w:val="en-US" w:eastAsia="zh-CN"/>
        </w:rPr>
        <w:t>雨污分流规划方案。</w:t>
      </w:r>
      <w:r>
        <w:rPr>
          <w:rFonts w:hint="default" w:ascii="Times New Roman" w:hAnsi="Times New Roman" w:eastAsia="仿宋_GB2312" w:cs="Times New Roman"/>
          <w:color w:val="auto"/>
          <w:kern w:val="2"/>
          <w:sz w:val="32"/>
          <w:szCs w:val="32"/>
          <w:highlight w:val="none"/>
          <w:lang w:val="en-US" w:eastAsia="zh-CN" w:bidi="ar-SA"/>
        </w:rPr>
        <w:t>结合人口增长趋势，</w:t>
      </w:r>
      <w:r>
        <w:rPr>
          <w:rFonts w:hint="eastAsia" w:ascii="Times New Roman" w:hAnsi="Times New Roman" w:eastAsia="仿宋_GB2312" w:cs="Times New Roman"/>
          <w:color w:val="auto"/>
          <w:kern w:val="2"/>
          <w:sz w:val="32"/>
          <w:szCs w:val="32"/>
          <w:highlight w:val="none"/>
          <w:lang w:val="en-US" w:eastAsia="zh-CN" w:bidi="ar-SA"/>
        </w:rPr>
        <w:t>合理</w:t>
      </w:r>
      <w:r>
        <w:rPr>
          <w:rFonts w:hint="default" w:ascii="Times New Roman" w:hAnsi="Times New Roman" w:eastAsia="仿宋_GB2312" w:cs="Times New Roman"/>
          <w:color w:val="auto"/>
          <w:kern w:val="2"/>
          <w:sz w:val="32"/>
          <w:szCs w:val="32"/>
          <w:highlight w:val="none"/>
          <w:lang w:val="en-US" w:eastAsia="zh-CN" w:bidi="ar-SA"/>
        </w:rPr>
        <w:t>规划污水处理厂规模</w:t>
      </w:r>
      <w:r>
        <w:rPr>
          <w:rFonts w:hint="eastAsia" w:ascii="Times New Roman" w:hAnsi="Times New Roman" w:eastAsia="仿宋_GB2312" w:cs="Times New Roman"/>
          <w:color w:val="auto"/>
          <w:kern w:val="2"/>
          <w:sz w:val="32"/>
          <w:szCs w:val="32"/>
          <w:highlight w:val="none"/>
          <w:lang w:val="en-US" w:eastAsia="zh-CN" w:bidi="ar-SA"/>
        </w:rPr>
        <w:t>，规划</w:t>
      </w:r>
      <w:r>
        <w:rPr>
          <w:rFonts w:hint="default" w:ascii="Times New Roman" w:hAnsi="Times New Roman" w:eastAsia="仿宋_GB2312" w:cs="Times New Roman"/>
          <w:color w:val="auto"/>
          <w:kern w:val="2"/>
          <w:sz w:val="32"/>
          <w:szCs w:val="32"/>
          <w:highlight w:val="none"/>
          <w:lang w:val="en-US" w:eastAsia="zh-CN" w:bidi="ar-SA"/>
        </w:rPr>
        <w:t>污水</w:t>
      </w:r>
      <w:r>
        <w:rPr>
          <w:rFonts w:hint="eastAsia" w:ascii="Times New Roman" w:hAnsi="Times New Roman" w:eastAsia="仿宋_GB2312" w:cs="Times New Roman"/>
          <w:color w:val="auto"/>
          <w:kern w:val="2"/>
          <w:sz w:val="32"/>
          <w:szCs w:val="32"/>
          <w:highlight w:val="none"/>
          <w:lang w:val="en-US" w:eastAsia="zh-CN" w:bidi="ar-SA"/>
        </w:rPr>
        <w:t>干</w:t>
      </w:r>
      <w:r>
        <w:rPr>
          <w:rFonts w:hint="default" w:ascii="Times New Roman" w:hAnsi="Times New Roman" w:eastAsia="仿宋_GB2312" w:cs="Times New Roman"/>
          <w:color w:val="auto"/>
          <w:kern w:val="2"/>
          <w:sz w:val="32"/>
          <w:szCs w:val="32"/>
          <w:highlight w:val="none"/>
          <w:lang w:val="en-US" w:eastAsia="zh-CN" w:bidi="ar-SA"/>
        </w:rPr>
        <w:t>管</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补齐污水管网短板</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eastAsia="zh-CN" w:bidi="ar-SA"/>
        </w:rPr>
        <w:t>分流改造合流管道</w:t>
      </w:r>
      <w:r>
        <w:rPr>
          <w:rFonts w:hint="eastAsia" w:ascii="Times New Roman" w:hAnsi="Times New Roman" w:eastAsia="仿宋_GB2312" w:cs="Times New Roman"/>
          <w:color w:val="auto"/>
          <w:kern w:val="2"/>
          <w:sz w:val="32"/>
          <w:szCs w:val="32"/>
          <w:highlight w:val="none"/>
          <w:lang w:val="en-US" w:eastAsia="zh-CN" w:bidi="ar-SA"/>
        </w:rPr>
        <w:t>及设置</w:t>
      </w:r>
      <w:r>
        <w:rPr>
          <w:rFonts w:hint="default" w:ascii="Times New Roman" w:hAnsi="Times New Roman" w:eastAsia="仿宋_GB2312" w:cs="Times New Roman"/>
          <w:color w:val="auto"/>
          <w:kern w:val="2"/>
          <w:sz w:val="32"/>
          <w:szCs w:val="32"/>
          <w:highlight w:val="none"/>
          <w:lang w:val="en-US" w:eastAsia="zh-CN" w:bidi="ar-SA"/>
        </w:rPr>
        <w:t>截污管道，</w:t>
      </w:r>
      <w:r>
        <w:rPr>
          <w:rFonts w:hint="eastAsia" w:ascii="Times New Roman" w:hAnsi="Times New Roman" w:eastAsia="仿宋_GB2312" w:cs="Times New Roman"/>
          <w:color w:val="auto"/>
          <w:kern w:val="2"/>
          <w:sz w:val="32"/>
          <w:szCs w:val="32"/>
          <w:highlight w:val="none"/>
          <w:lang w:val="en-US" w:eastAsia="zh-CN" w:bidi="ar-SA"/>
        </w:rPr>
        <w:t>实现</w:t>
      </w:r>
      <w:r>
        <w:rPr>
          <w:rFonts w:hint="default" w:ascii="Times New Roman" w:hAnsi="Times New Roman" w:eastAsia="仿宋_GB2312" w:cs="Times New Roman"/>
          <w:color w:val="auto"/>
          <w:kern w:val="2"/>
          <w:sz w:val="32"/>
          <w:szCs w:val="32"/>
          <w:highlight w:val="none"/>
          <w:lang w:val="en-US" w:eastAsia="zh-CN" w:bidi="ar-SA"/>
        </w:rPr>
        <w:t>雨污水分流</w:t>
      </w:r>
      <w:r>
        <w:rPr>
          <w:rFonts w:hint="eastAsia" w:ascii="Times New Roman" w:hAnsi="Times New Roman" w:eastAsia="仿宋_GB2312" w:cs="Times New Roman"/>
          <w:color w:val="auto"/>
          <w:kern w:val="2"/>
          <w:sz w:val="32"/>
          <w:szCs w:val="32"/>
          <w:highlight w:val="none"/>
          <w:lang w:val="en-US" w:eastAsia="zh-CN" w:bidi="ar-SA"/>
        </w:rPr>
        <w:t>。</w:t>
      </w:r>
    </w:p>
    <w:p w14:paraId="6959E13D">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default" w:ascii="仿宋_GB2312" w:hAnsi="Times New Roman" w:eastAsia="仿宋_GB2312" w:cs="Times New Roman"/>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规划建设项目。</w:t>
      </w:r>
      <w:r>
        <w:rPr>
          <w:rFonts w:hint="default" w:ascii="Times New Roman" w:hAnsi="Times New Roman" w:eastAsia="仿宋_GB2312" w:cs="Times New Roman"/>
          <w:color w:val="auto"/>
          <w:kern w:val="2"/>
          <w:sz w:val="32"/>
          <w:szCs w:val="32"/>
          <w:highlight w:val="none"/>
          <w:lang w:val="en-US" w:eastAsia="zh-CN" w:bidi="ar-SA"/>
        </w:rPr>
        <w:t>结合</w:t>
      </w:r>
      <w:r>
        <w:rPr>
          <w:rFonts w:hint="eastAsia" w:ascii="Times New Roman" w:hAnsi="Times New Roman" w:eastAsia="仿宋_GB2312" w:cs="Times New Roman"/>
          <w:color w:val="auto"/>
          <w:kern w:val="2"/>
          <w:sz w:val="32"/>
          <w:szCs w:val="32"/>
          <w:highlight w:val="none"/>
          <w:lang w:val="en-US" w:eastAsia="zh-CN" w:bidi="ar-SA"/>
        </w:rPr>
        <w:t>相关文件要求</w:t>
      </w:r>
      <w:r>
        <w:rPr>
          <w:rFonts w:hint="default"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理清亟需开展改造的建设项目，</w:t>
      </w:r>
      <w:r>
        <w:rPr>
          <w:rFonts w:hint="default" w:ascii="Times New Roman" w:hAnsi="Times New Roman" w:eastAsia="仿宋_GB2312" w:cs="Times New Roman"/>
          <w:color w:val="auto"/>
          <w:kern w:val="2"/>
          <w:sz w:val="32"/>
          <w:szCs w:val="32"/>
          <w:highlight w:val="none"/>
          <w:lang w:val="en-US" w:eastAsia="zh-CN" w:bidi="ar-SA"/>
        </w:rPr>
        <w:t>合理安排近</w:t>
      </w:r>
      <w:r>
        <w:rPr>
          <w:rFonts w:hint="eastAsia" w:ascii="Times New Roman" w:hAnsi="Times New Roman" w:eastAsia="仿宋_GB2312" w:cs="Times New Roman"/>
          <w:color w:val="auto"/>
          <w:kern w:val="2"/>
          <w:sz w:val="32"/>
          <w:szCs w:val="32"/>
          <w:highlight w:val="none"/>
          <w:lang w:val="en-US" w:eastAsia="zh-CN" w:bidi="ar-SA"/>
        </w:rPr>
        <w:t>远期</w:t>
      </w:r>
      <w:r>
        <w:rPr>
          <w:rFonts w:hint="default" w:ascii="Times New Roman" w:hAnsi="Times New Roman" w:eastAsia="仿宋_GB2312" w:cs="Times New Roman"/>
          <w:color w:val="auto"/>
          <w:kern w:val="2"/>
          <w:sz w:val="32"/>
          <w:szCs w:val="32"/>
          <w:highlight w:val="none"/>
          <w:lang w:val="en-US" w:eastAsia="zh-CN" w:bidi="ar-SA"/>
        </w:rPr>
        <w:t>污水管网、截污管道</w:t>
      </w:r>
      <w:r>
        <w:rPr>
          <w:rFonts w:hint="eastAsia" w:ascii="Times New Roman" w:hAnsi="Times New Roman" w:eastAsia="仿宋_GB2312" w:cs="Times New Roman"/>
          <w:color w:val="auto"/>
          <w:kern w:val="2"/>
          <w:sz w:val="32"/>
          <w:szCs w:val="32"/>
          <w:highlight w:val="none"/>
          <w:lang w:val="en-US" w:eastAsia="zh-CN" w:bidi="ar-SA"/>
        </w:rPr>
        <w:t>的</w:t>
      </w:r>
      <w:r>
        <w:rPr>
          <w:rFonts w:hint="default" w:ascii="Times New Roman" w:hAnsi="Times New Roman" w:eastAsia="仿宋_GB2312" w:cs="Times New Roman"/>
          <w:color w:val="auto"/>
          <w:kern w:val="2"/>
          <w:sz w:val="32"/>
          <w:szCs w:val="32"/>
          <w:highlight w:val="none"/>
          <w:lang w:val="en-US" w:eastAsia="zh-CN" w:bidi="ar-SA"/>
        </w:rPr>
        <w:t>建设时序。</w:t>
      </w:r>
    </w:p>
    <w:p w14:paraId="658573B1">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eastAsia" w:ascii="Times New Roman" w:hAnsi="Times New Roman"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五、成果形式</w:t>
      </w:r>
    </w:p>
    <w:p w14:paraId="726B3572">
      <w:pPr>
        <w:keepNext w:val="0"/>
        <w:keepLines w:val="0"/>
        <w:pageBreakBefore w:val="0"/>
        <w:widowControl w:val="0"/>
        <w:kinsoku/>
        <w:wordWrap/>
        <w:overflowPunct/>
        <w:topLinePunct w:val="0"/>
        <w:autoSpaceDE/>
        <w:autoSpaceDN/>
        <w:bidi w:val="0"/>
        <w:adjustRightInd/>
        <w:snapToGrid/>
        <w:spacing w:line="51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包括文本、说明书、图纸、汇报演示文件等（文字为doc格式，图纸为dwg、GIS、jpg格式，效果图为jpg格式，供汇报展示用演示文件为ppt格式）。</w:t>
      </w:r>
    </w:p>
    <w:p w14:paraId="587B5B8A">
      <w:pPr>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rPr>
          <w:rFonts w:hint="eastAsia" w:ascii="仿宋_GB2312" w:hAnsi="宋体" w:eastAsia="仿宋_GB2312" w:cs="仿宋_GB2312"/>
          <w:color w:val="auto"/>
          <w:kern w:val="0"/>
          <w:sz w:val="32"/>
          <w:szCs w:val="32"/>
          <w:highlight w:val="none"/>
          <w:lang w:bidi="ar"/>
        </w:rPr>
      </w:pPr>
      <w:r>
        <w:rPr>
          <w:rFonts w:hint="eastAsia" w:ascii="Times New Roman" w:hAnsi="Times New Roman" w:eastAsia="黑体" w:cs="Times New Roman"/>
          <w:color w:val="auto"/>
          <w:sz w:val="32"/>
          <w:szCs w:val="32"/>
          <w:highlight w:val="none"/>
          <w:lang w:val="en-US" w:eastAsia="zh-CN"/>
        </w:rPr>
        <w:t>六</w:t>
      </w:r>
      <w:r>
        <w:rPr>
          <w:rFonts w:hint="eastAsia" w:ascii="Times New Roman" w:hAnsi="Times New Roman" w:eastAsia="黑体" w:cs="Times New Roman"/>
          <w:color w:val="auto"/>
          <w:sz w:val="32"/>
          <w:szCs w:val="32"/>
          <w:highlight w:val="none"/>
        </w:rPr>
        <w:t>、成果验收</w:t>
      </w:r>
    </w:p>
    <w:p w14:paraId="2249C44C">
      <w:pPr>
        <w:keepNext w:val="0"/>
        <w:keepLines w:val="0"/>
        <w:pageBreakBefore w:val="0"/>
        <w:widowControl w:val="0"/>
        <w:kinsoku/>
        <w:wordWrap/>
        <w:overflowPunct/>
        <w:topLinePunct w:val="0"/>
        <w:autoSpaceDE/>
        <w:autoSpaceDN/>
        <w:bidi w:val="0"/>
        <w:adjustRightInd/>
        <w:snapToGrid/>
        <w:spacing w:line="510" w:lineRule="exact"/>
        <w:ind w:firstLine="640" w:firstLineChars="200"/>
        <w:textAlignment w:val="auto"/>
        <w:rPr>
          <w:rFonts w:hint="default"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rPr>
        <w:t>经汉中市国土空间规划委员会审议通过后一个月内，设计方根据各阶段研究审议提出的修改、补充、完善意见，全</w:t>
      </w:r>
      <w:r>
        <w:rPr>
          <w:rFonts w:hint="eastAsia" w:ascii="仿宋_GB2312" w:hAnsi="仿宋_GB2312" w:eastAsia="仿宋_GB2312" w:cs="仿宋_GB2312"/>
          <w:b w:val="0"/>
          <w:bCs w:val="0"/>
          <w:color w:val="auto"/>
          <w:sz w:val="32"/>
          <w:szCs w:val="32"/>
          <w:highlight w:val="none"/>
          <w:vertAlign w:val="baseline"/>
          <w:lang w:val="en-US" w:eastAsia="zh-CN"/>
        </w:rPr>
        <w:t>面修改，达到纸质及电子文档最终成果提交要求，经市自然资源局联合相关行业主管部门复核无误，出具书面成果接收清单后，方可视为正式通过验收。</w:t>
      </w:r>
    </w:p>
    <w:p w14:paraId="56612084">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Cs w:val="32"/>
          <w:highlight w:val="none"/>
        </w:rPr>
        <w:sectPr>
          <w:pgSz w:w="11906" w:h="16838"/>
          <w:pgMar w:top="1440" w:right="1800" w:bottom="1440" w:left="1800" w:header="851" w:footer="992" w:gutter="0"/>
          <w:pgNumType w:fmt="decimal"/>
          <w:cols w:space="425" w:num="1"/>
          <w:docGrid w:type="lines" w:linePitch="312" w:charSpace="0"/>
        </w:sectPr>
      </w:pPr>
    </w:p>
    <w:p w14:paraId="31A5B7C9">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《汉中市中心城区管线综合专项规划》</w:t>
      </w:r>
    </w:p>
    <w:p w14:paraId="222C9CAF">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方正小标宋简体" w:hAnsi="方正小标宋简体" w:eastAsia="方正小标宋简体" w:cs="方正小标宋简体"/>
          <w:b w:val="0"/>
          <w:bCs w:val="0"/>
          <w:color w:val="auto"/>
          <w:sz w:val="44"/>
          <w:szCs w:val="44"/>
          <w:highlight w:val="none"/>
          <w:vertAlign w:val="baseline"/>
          <w:lang w:val="en-US" w:eastAsia="zh-CN"/>
        </w:rPr>
      </w:pPr>
      <w:r>
        <w:rPr>
          <w:rFonts w:hint="eastAsia" w:ascii="方正小标宋简体" w:hAnsi="方正小标宋简体" w:eastAsia="方正小标宋简体" w:cs="方正小标宋简体"/>
          <w:b w:val="0"/>
          <w:bCs w:val="0"/>
          <w:color w:val="auto"/>
          <w:sz w:val="44"/>
          <w:szCs w:val="44"/>
          <w:highlight w:val="none"/>
          <w:vertAlign w:val="baseline"/>
          <w:lang w:val="en-US" w:eastAsia="zh-CN"/>
        </w:rPr>
        <w:t>设计任务书</w:t>
      </w:r>
    </w:p>
    <w:p w14:paraId="277001B2">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ascii="黑体" w:hAnsi="黑体" w:eastAsia="黑体" w:cs="黑体"/>
          <w:color w:val="auto"/>
          <w:sz w:val="32"/>
          <w:szCs w:val="32"/>
          <w:highlight w:val="none"/>
        </w:rPr>
      </w:pPr>
    </w:p>
    <w:p w14:paraId="61A4E800">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rPr>
        <w:t>一、</w:t>
      </w:r>
      <w:r>
        <w:rPr>
          <w:rFonts w:hint="eastAsia" w:ascii="黑体" w:hAnsi="黑体" w:eastAsia="黑体" w:cs="黑体"/>
          <w:color w:val="auto"/>
          <w:sz w:val="32"/>
          <w:szCs w:val="32"/>
          <w:highlight w:val="none"/>
          <w:lang w:eastAsia="zh-CN"/>
        </w:rPr>
        <w:t>规划背景</w:t>
      </w:r>
    </w:p>
    <w:p w14:paraId="728DBE9A">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为深入贯彻落实中央城市工作会议精神和高质量发展要求，通过系统统筹给排水、燃气、供热、电力等各类管线的空间布局、建设时序与管理机制，加强地下管线建设的综合平衡，使城市道路地下管线做到统一规划、合理布局、综合设计、有序建设，开展汉中市中心城区管线综合专项规划编制。</w:t>
      </w:r>
    </w:p>
    <w:p w14:paraId="0418528F">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color w:val="auto"/>
          <w:sz w:val="32"/>
          <w:szCs w:val="32"/>
          <w:highlight w:val="none"/>
        </w:rPr>
      </w:pPr>
      <w:r>
        <w:rPr>
          <w:rFonts w:hint="eastAsia" w:ascii="Times New Roman" w:hAnsi="Times New Roman" w:eastAsia="黑体" w:cs="Times New Roman"/>
          <w:color w:val="auto"/>
          <w:sz w:val="32"/>
          <w:szCs w:val="32"/>
          <w:highlight w:val="none"/>
        </w:rPr>
        <w:t>二、编制依据</w:t>
      </w:r>
    </w:p>
    <w:p w14:paraId="3F7FE199">
      <w:pPr>
        <w:pStyle w:val="15"/>
        <w:keepNext w:val="0"/>
        <w:keepLines w:val="0"/>
        <w:pageBreakBefore w:val="0"/>
        <w:widowControl w:val="0"/>
        <w:numPr>
          <w:ilvl w:val="0"/>
          <w:numId w:val="0"/>
        </w:numPr>
        <w:kinsoku/>
        <w:wordWrap/>
        <w:overflowPunct/>
        <w:topLinePunct w:val="0"/>
        <w:bidi w:val="0"/>
        <w:snapToGrid/>
        <w:spacing w:beforeLines="0" w:afterLines="0" w:line="54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1</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《中华人民共和国城乡规划法》；</w:t>
      </w:r>
    </w:p>
    <w:p w14:paraId="3C5D9929">
      <w:pPr>
        <w:pStyle w:val="15"/>
        <w:keepNext w:val="0"/>
        <w:keepLines w:val="0"/>
        <w:pageBreakBefore w:val="0"/>
        <w:widowControl w:val="0"/>
        <w:numPr>
          <w:ilvl w:val="0"/>
          <w:numId w:val="0"/>
        </w:numPr>
        <w:kinsoku/>
        <w:wordWrap/>
        <w:overflowPunct/>
        <w:topLinePunct w:val="0"/>
        <w:bidi w:val="0"/>
        <w:snapToGrid/>
        <w:spacing w:beforeLines="0" w:afterLines="0" w:line="540" w:lineRule="exact"/>
        <w:ind w:left="0" w:leftChars="0" w:firstLine="403" w:firstLineChars="0"/>
        <w:textAlignment w:val="auto"/>
        <w:rPr>
          <w:rFonts w:hint="eastAsia" w:ascii="仿宋_GB2312" w:eastAsia="仿宋_GB2312"/>
          <w:color w:val="auto"/>
          <w:sz w:val="32"/>
          <w:szCs w:val="32"/>
          <w:highlight w:val="none"/>
        </w:rPr>
      </w:pPr>
      <w:r>
        <w:rPr>
          <w:rFonts w:hint="default" w:ascii="仿宋_GB2312" w:hAnsi="Calibri" w:eastAsia="仿宋_GB2312" w:cs="仿宋"/>
          <w:color w:val="auto"/>
          <w:sz w:val="32"/>
          <w:szCs w:val="32"/>
          <w:highlight w:val="none"/>
          <w:lang w:val="en-US" w:eastAsia="zh-CN" w:bidi="ar-SA"/>
        </w:rPr>
        <w:t>2</w:t>
      </w:r>
      <w:r>
        <w:rPr>
          <w:rFonts w:hint="eastAsia" w:ascii="仿宋_GB2312" w:eastAsia="仿宋_GB2312" w:cs="仿宋"/>
          <w:color w:val="auto"/>
          <w:sz w:val="32"/>
          <w:szCs w:val="32"/>
          <w:highlight w:val="none"/>
          <w:lang w:val="en-US" w:eastAsia="zh-CN" w:bidi="ar-SA"/>
        </w:rPr>
        <w:t>.</w:t>
      </w:r>
      <w:r>
        <w:rPr>
          <w:rFonts w:hint="eastAsia" w:ascii="仿宋_GB2312" w:eastAsia="仿宋_GB2312"/>
          <w:color w:val="auto"/>
          <w:sz w:val="32"/>
          <w:szCs w:val="32"/>
          <w:highlight w:val="none"/>
        </w:rPr>
        <w:t>《中华人民共和国土地管理法》；</w:t>
      </w:r>
    </w:p>
    <w:p w14:paraId="22757ABB">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40" w:lineRule="exact"/>
        <w:ind w:left="0" w:leftChars="0" w:firstLine="403" w:firstLineChars="0"/>
        <w:jc w:val="left"/>
        <w:textAlignment w:val="auto"/>
        <w:rPr>
          <w:rFonts w:hint="default" w:ascii="仿宋_GB2312" w:eastAsia="仿宋_GB2312" w:hAnsiTheme="minorHAnsi" w:cstheme="minorBidi"/>
          <w:color w:val="auto"/>
          <w:kern w:val="2"/>
          <w:sz w:val="32"/>
          <w:szCs w:val="32"/>
          <w:highlight w:val="none"/>
          <w:lang w:val="en-US" w:eastAsia="zh-CN" w:bidi="ar-SA"/>
        </w:rPr>
      </w:pPr>
      <w:r>
        <w:rPr>
          <w:rFonts w:hint="eastAsia" w:ascii="仿宋_GB2312" w:eastAsia="仿宋_GB2312" w:hAnsiTheme="minorHAnsi" w:cstheme="minorBidi"/>
          <w:color w:val="auto"/>
          <w:kern w:val="2"/>
          <w:sz w:val="32"/>
          <w:szCs w:val="32"/>
          <w:highlight w:val="none"/>
          <w:lang w:val="en-US" w:eastAsia="zh-CN" w:bidi="ar-SA"/>
        </w:rPr>
        <w:t>3.</w:t>
      </w:r>
      <w:r>
        <w:rPr>
          <w:rFonts w:hint="default" w:ascii="仿宋_GB2312" w:eastAsia="仿宋_GB2312" w:hAnsiTheme="minorHAnsi" w:cstheme="minorBidi"/>
          <w:color w:val="auto"/>
          <w:kern w:val="2"/>
          <w:sz w:val="32"/>
          <w:szCs w:val="32"/>
          <w:highlight w:val="none"/>
          <w:lang w:val="en-US" w:eastAsia="zh-CN" w:bidi="ar-SA"/>
        </w:rPr>
        <w:t>《城市工程管线综合规划规范》GB50289-2016</w:t>
      </w:r>
      <w:r>
        <w:rPr>
          <w:rFonts w:hint="eastAsia" w:ascii="仿宋_GB2312" w:eastAsia="仿宋_GB2312" w:hAnsiTheme="minorHAnsi" w:cstheme="minorBidi"/>
          <w:color w:val="auto"/>
          <w:kern w:val="2"/>
          <w:sz w:val="32"/>
          <w:szCs w:val="32"/>
          <w:highlight w:val="none"/>
          <w:lang w:val="en-US" w:eastAsia="zh-CN" w:bidi="ar-SA"/>
        </w:rPr>
        <w:t>；</w:t>
      </w:r>
    </w:p>
    <w:p w14:paraId="08B71080">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40" w:lineRule="exact"/>
        <w:ind w:left="0" w:leftChars="0" w:firstLine="403" w:firstLineChars="0"/>
        <w:jc w:val="left"/>
        <w:textAlignment w:val="auto"/>
        <w:rPr>
          <w:rFonts w:hint="eastAsia" w:ascii="仿宋_GB2312" w:eastAsia="仿宋_GB2312"/>
          <w:color w:val="auto"/>
          <w:sz w:val="32"/>
          <w:szCs w:val="32"/>
          <w:highlight w:val="none"/>
        </w:rPr>
      </w:pPr>
      <w:r>
        <w:rPr>
          <w:rFonts w:hint="eastAsia" w:ascii="仿宋_GB2312" w:eastAsia="仿宋_GB2312" w:hAnsiTheme="minorHAnsi" w:cstheme="minorBidi"/>
          <w:color w:val="auto"/>
          <w:kern w:val="2"/>
          <w:sz w:val="32"/>
          <w:szCs w:val="32"/>
          <w:highlight w:val="none"/>
          <w:lang w:val="en-US" w:eastAsia="zh-CN" w:bidi="ar-SA"/>
        </w:rPr>
        <w:t>4</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《汉中市国土空间总体规划（2021-2035年）》；</w:t>
      </w:r>
    </w:p>
    <w:p w14:paraId="029B0373">
      <w:pPr>
        <w:pStyle w:val="15"/>
        <w:keepNext w:val="0"/>
        <w:keepLines w:val="0"/>
        <w:pageBreakBefore w:val="0"/>
        <w:widowControl w:val="0"/>
        <w:numPr>
          <w:ilvl w:val="0"/>
          <w:numId w:val="0"/>
        </w:numPr>
        <w:kinsoku/>
        <w:wordWrap/>
        <w:overflowPunct/>
        <w:topLinePunct w:val="0"/>
        <w:bidi w:val="0"/>
        <w:snapToGrid/>
        <w:spacing w:beforeLines="0" w:afterLines="0" w:line="540" w:lineRule="exact"/>
        <w:ind w:left="0" w:leftChars="0" w:firstLine="403" w:firstLineChars="0"/>
        <w:textAlignment w:val="auto"/>
        <w:rPr>
          <w:rFonts w:hint="eastAsia" w:ascii="仿宋_GB2312" w:eastAsia="仿宋_GB2312"/>
          <w:color w:val="auto"/>
          <w:sz w:val="32"/>
          <w:szCs w:val="32"/>
          <w:highlight w:val="none"/>
        </w:rPr>
      </w:pPr>
      <w:r>
        <w:rPr>
          <w:rFonts w:hint="eastAsia" w:ascii="仿宋_GB2312" w:eastAsia="仿宋_GB2312" w:cs="仿宋"/>
          <w:color w:val="auto"/>
          <w:sz w:val="32"/>
          <w:szCs w:val="32"/>
          <w:highlight w:val="none"/>
          <w:lang w:val="en-US" w:eastAsia="zh-CN" w:bidi="ar-SA"/>
        </w:rPr>
        <w:t>5.</w:t>
      </w:r>
      <w:r>
        <w:rPr>
          <w:rFonts w:hint="eastAsia" w:ascii="仿宋_GB2312" w:eastAsia="仿宋_GB2312"/>
          <w:color w:val="auto"/>
          <w:sz w:val="32"/>
          <w:szCs w:val="32"/>
          <w:highlight w:val="none"/>
        </w:rPr>
        <w:t>2025年中央城市工作会议精神及汉中市贯彻落实意见；</w:t>
      </w:r>
    </w:p>
    <w:p w14:paraId="3E7A8CBC">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40" w:lineRule="exact"/>
        <w:ind w:left="0" w:leftChars="0" w:firstLine="403" w:firstLineChars="0"/>
        <w:jc w:val="left"/>
        <w:textAlignment w:val="auto"/>
        <w:rPr>
          <w:rFonts w:hint="eastAsia" w:ascii="仿宋_GB2312" w:eastAsia="仿宋_GB2312"/>
          <w:color w:val="auto"/>
          <w:sz w:val="32"/>
          <w:szCs w:val="32"/>
          <w:highlight w:val="none"/>
        </w:rPr>
      </w:pPr>
      <w:r>
        <w:rPr>
          <w:rFonts w:hint="eastAsia" w:ascii="仿宋_GB2312" w:eastAsia="仿宋_GB2312" w:hAnsiTheme="minorHAnsi" w:cstheme="minorBidi"/>
          <w:color w:val="auto"/>
          <w:kern w:val="2"/>
          <w:sz w:val="32"/>
          <w:szCs w:val="32"/>
          <w:highlight w:val="none"/>
          <w:lang w:val="en-US" w:eastAsia="zh-CN" w:bidi="ar-SA"/>
        </w:rPr>
        <w:t>6</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s="黑体"/>
          <w:color w:val="auto"/>
          <w:kern w:val="0"/>
          <w:sz w:val="32"/>
          <w:szCs w:val="32"/>
          <w:highlight w:val="none"/>
        </w:rPr>
        <w:t>中共汉中市委《关于深入学习贯彻习近平总书记来汉中考察重要指示精神努力建设环境优美绿色低碳宜居宜游的生态城市的决定》（汉发</w:t>
      </w:r>
      <w:r>
        <w:rPr>
          <w:rFonts w:hint="eastAsia" w:ascii="仿宋_GB2312" w:eastAsia="仿宋_GB2312"/>
          <w:color w:val="auto"/>
          <w:sz w:val="32"/>
          <w:szCs w:val="32"/>
          <w:highlight w:val="none"/>
        </w:rPr>
        <w:t>〔2023〕12号</w:t>
      </w:r>
      <w:r>
        <w:rPr>
          <w:rFonts w:hint="eastAsia" w:ascii="仿宋_GB2312" w:eastAsia="仿宋_GB2312" w:cs="黑体"/>
          <w:color w:val="auto"/>
          <w:kern w:val="0"/>
          <w:sz w:val="32"/>
          <w:szCs w:val="32"/>
          <w:highlight w:val="none"/>
        </w:rPr>
        <w:t>）</w:t>
      </w:r>
      <w:r>
        <w:rPr>
          <w:rFonts w:hint="eastAsia" w:ascii="仿宋_GB2312" w:eastAsia="仿宋_GB2312"/>
          <w:color w:val="auto"/>
          <w:sz w:val="32"/>
          <w:szCs w:val="32"/>
          <w:highlight w:val="none"/>
        </w:rPr>
        <w:t>；</w:t>
      </w:r>
    </w:p>
    <w:p w14:paraId="3773340A">
      <w:pPr>
        <w:pStyle w:val="15"/>
        <w:keepNext w:val="0"/>
        <w:keepLines w:val="0"/>
        <w:pageBreakBefore w:val="0"/>
        <w:widowControl w:val="0"/>
        <w:numPr>
          <w:ilvl w:val="0"/>
          <w:numId w:val="0"/>
        </w:numPr>
        <w:kinsoku/>
        <w:wordWrap/>
        <w:overflowPunct/>
        <w:topLinePunct w:val="0"/>
        <w:bidi w:val="0"/>
        <w:snapToGrid/>
        <w:spacing w:beforeLines="0" w:afterLines="0" w:line="540" w:lineRule="exact"/>
        <w:ind w:left="0" w:leftChars="0" w:firstLine="403" w:firstLineChars="0"/>
        <w:textAlignment w:val="auto"/>
        <w:rPr>
          <w:rFonts w:hint="eastAsia" w:eastAsia="仿宋_GB2312"/>
          <w:color w:val="auto"/>
          <w:sz w:val="28"/>
          <w:szCs w:val="28"/>
          <w:highlight w:val="none"/>
        </w:rPr>
      </w:pPr>
      <w:r>
        <w:rPr>
          <w:rFonts w:hint="eastAsia" w:ascii="仿宋_GB2312" w:eastAsia="仿宋_GB2312" w:hAnsiTheme="minorHAnsi" w:cstheme="minorBidi"/>
          <w:color w:val="auto"/>
          <w:kern w:val="2"/>
          <w:sz w:val="32"/>
          <w:szCs w:val="32"/>
          <w:highlight w:val="none"/>
          <w:lang w:val="en-US" w:eastAsia="zh-CN" w:bidi="ar-SA"/>
        </w:rPr>
        <w:t>7</w:t>
      </w:r>
      <w:r>
        <w:rPr>
          <w:rFonts w:hint="eastAsia" w:ascii="仿宋_GB2312" w:eastAsia="仿宋_GB2312" w:cstheme="minorBidi"/>
          <w:color w:val="auto"/>
          <w:kern w:val="2"/>
          <w:sz w:val="32"/>
          <w:szCs w:val="32"/>
          <w:highlight w:val="none"/>
          <w:lang w:val="en-US" w:eastAsia="zh-CN" w:bidi="ar-SA"/>
        </w:rPr>
        <w:t>.</w:t>
      </w:r>
      <w:r>
        <w:rPr>
          <w:rFonts w:hint="eastAsia" w:ascii="仿宋_GB2312" w:eastAsia="仿宋_GB2312"/>
          <w:color w:val="auto"/>
          <w:sz w:val="32"/>
          <w:szCs w:val="32"/>
          <w:highlight w:val="none"/>
        </w:rPr>
        <w:t>国家、省、市关于</w:t>
      </w:r>
      <w:r>
        <w:rPr>
          <w:rFonts w:hint="eastAsia" w:ascii="仿宋_GB2312" w:eastAsia="仿宋_GB2312"/>
          <w:color w:val="auto"/>
          <w:sz w:val="32"/>
          <w:szCs w:val="32"/>
          <w:highlight w:val="none"/>
          <w:lang w:val="en-US" w:eastAsia="zh-CN"/>
        </w:rPr>
        <w:t>管线规划建设</w:t>
      </w:r>
      <w:r>
        <w:rPr>
          <w:rFonts w:hint="eastAsia" w:ascii="仿宋_GB2312" w:eastAsia="仿宋_GB2312"/>
          <w:color w:val="auto"/>
          <w:sz w:val="32"/>
          <w:szCs w:val="32"/>
          <w:highlight w:val="none"/>
        </w:rPr>
        <w:t>的其他相关政策文件、标准规范及规划要求。</w:t>
      </w:r>
    </w:p>
    <w:p w14:paraId="2AFA4575">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三、项目范围</w:t>
      </w:r>
    </w:p>
    <w:p w14:paraId="68863A6E">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color w:val="auto"/>
          <w:kern w:val="0"/>
          <w:sz w:val="32"/>
          <w:szCs w:val="32"/>
          <w:highlight w:val="none"/>
          <w:lang w:val="en-US" w:eastAsia="zh-CN" w:bidi="ar"/>
        </w:rPr>
        <w:t>规划</w:t>
      </w:r>
      <w:r>
        <w:rPr>
          <w:rFonts w:hint="eastAsia" w:ascii="Times New Roman" w:hAnsi="Times New Roman" w:eastAsia="仿宋_GB2312" w:cs="Times New Roman"/>
          <w:color w:val="auto"/>
          <w:kern w:val="0"/>
          <w:sz w:val="32"/>
          <w:szCs w:val="32"/>
          <w:highlight w:val="none"/>
          <w:lang w:bidi="ar"/>
        </w:rPr>
        <w:t>范围为《汉中市国土空间总体规划（2021-2035年）》确定的中心城区城镇开发边界内161.42平方公里。</w:t>
      </w:r>
    </w:p>
    <w:p w14:paraId="3DC8CB9E">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四</w:t>
      </w:r>
      <w:r>
        <w:rPr>
          <w:rFonts w:hint="eastAsia" w:ascii="黑体" w:hAnsi="黑体" w:eastAsia="黑体" w:cs="黑体"/>
          <w:color w:val="auto"/>
          <w:sz w:val="32"/>
          <w:szCs w:val="32"/>
          <w:highlight w:val="none"/>
        </w:rPr>
        <w:t>、规划主要内容</w:t>
      </w:r>
    </w:p>
    <w:p w14:paraId="0ACBC317">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合理利用城市用地，统筹安排工程管线在地上和地下的空间位置，协调工程管线之间以及工程管线与其他相关工程设施之间的关系，保障城市安全运行并提升空间利用效率。</w:t>
      </w:r>
    </w:p>
    <w:p w14:paraId="3B1C25F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kern w:val="2"/>
          <w:sz w:val="32"/>
          <w:szCs w:val="32"/>
          <w:highlight w:val="none"/>
          <w:vertAlign w:val="baseline"/>
          <w:lang w:val="en-US" w:eastAsia="zh-CN" w:bidi="ar-SA"/>
        </w:rPr>
        <w:t>（一）</w:t>
      </w:r>
      <w:r>
        <w:rPr>
          <w:rFonts w:hint="eastAsia" w:ascii="仿宋_GB2312" w:hAnsi="仿宋_GB2312" w:eastAsia="仿宋_GB2312" w:cs="仿宋_GB2312"/>
          <w:color w:val="auto"/>
          <w:sz w:val="32"/>
          <w:szCs w:val="32"/>
          <w:highlight w:val="none"/>
          <w:vertAlign w:val="baseline"/>
          <w:lang w:val="en-US" w:eastAsia="zh-CN"/>
        </w:rPr>
        <w:t>规划内容</w:t>
      </w:r>
    </w:p>
    <w:p w14:paraId="1ED0E93F">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1.提出工程管线综合规划的目的及目标。</w:t>
      </w:r>
    </w:p>
    <w:p w14:paraId="1628E51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2.确定汉中市中心城区各工程管线的敷设方式及原则。</w:t>
      </w:r>
    </w:p>
    <w:p w14:paraId="46A80E4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3.根据现状管线与相关专项规划设计资料，统筹优化各专项规划中工程管线的布置方案，梳理城市干管廊道，集约高效整合城市地下空间；</w:t>
      </w:r>
    </w:p>
    <w:p w14:paraId="4301D62A">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4.制定城市地下管线综合规划基本技术规定，明确城市地下管线综合平面及竖向布置要求，提出管线穿越铁路、河流和沿桥敷设的布置原则和技术措施。</w:t>
      </w:r>
    </w:p>
    <w:p w14:paraId="09A6385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（二）地下管网三维可视化展示</w:t>
      </w:r>
    </w:p>
    <w:p w14:paraId="179CF02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color w:val="auto"/>
          <w:sz w:val="32"/>
          <w:szCs w:val="32"/>
          <w:highlight w:val="none"/>
          <w:vertAlign w:val="baseline"/>
          <w:lang w:val="en-US" w:eastAsia="zh-CN"/>
        </w:rPr>
      </w:pPr>
      <w:r>
        <w:rPr>
          <w:rFonts w:hint="eastAsia" w:ascii="仿宋_GB2312" w:hAnsi="仿宋_GB2312" w:eastAsia="仿宋_GB2312" w:cs="仿宋_GB2312"/>
          <w:color w:val="auto"/>
          <w:sz w:val="32"/>
          <w:szCs w:val="32"/>
          <w:highlight w:val="none"/>
          <w:vertAlign w:val="baseline"/>
          <w:lang w:val="en-US" w:eastAsia="zh-CN"/>
        </w:rPr>
        <w:t>基于BIM+GIS技术融合，可视化重要节点的地下空间结构与管线布局的三维场景，形象直观展示管线空间关系。</w:t>
      </w:r>
    </w:p>
    <w:p w14:paraId="57B8CBCE">
      <w:pPr>
        <w:keepNext w:val="0"/>
        <w:keepLines w:val="0"/>
        <w:pageBreakBefore w:val="0"/>
        <w:widowControl w:val="0"/>
        <w:kinsoku/>
        <w:wordWrap/>
        <w:overflowPunct/>
        <w:topLinePunct w:val="0"/>
        <w:autoSpaceDE/>
        <w:autoSpaceDN/>
        <w:bidi w:val="0"/>
        <w:adjustRightInd/>
        <w:snapToGrid/>
        <w:spacing w:line="540" w:lineRule="exact"/>
        <w:ind w:firstLine="672"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三</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eastAsia="zh-CN"/>
        </w:rPr>
        <w:t>）</w:t>
      </w:r>
      <w:r>
        <w:rPr>
          <w:rStyle w:val="12"/>
          <w:rFonts w:hint="eastAsia" w:ascii="仿宋_GB2312" w:hAnsi="仿宋_GB2312" w:eastAsia="仿宋_GB2312" w:cs="仿宋_GB2312"/>
          <w:b w:val="0"/>
          <w:bCs/>
          <w:i w:val="0"/>
          <w:iCs w:val="0"/>
          <w:caps w:val="0"/>
          <w:color w:val="auto"/>
          <w:spacing w:val="8"/>
          <w:sz w:val="32"/>
          <w:szCs w:val="32"/>
          <w:highlight w:val="none"/>
          <w:shd w:val="clear" w:fill="FFFFFF"/>
          <w:lang w:val="en-US" w:eastAsia="zh-CN"/>
        </w:rPr>
        <w:t>环境影响评价</w:t>
      </w:r>
    </w:p>
    <w:p w14:paraId="2824C5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bCs/>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依据生态环境主管部门关于规划环评的有关要求，应根据规划实施后可能对环境造成的影响，编写环境影响篇章或者说明，符合《规划环境影响评价技术导则总纲》《陕西省规划环境影响评价管理规程（试行）》等相关要求，并通过生态环境主管部门审批。</w:t>
      </w:r>
    </w:p>
    <w:p w14:paraId="7B74650F">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五、成果要求</w:t>
      </w:r>
    </w:p>
    <w:p w14:paraId="6E950264">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color w:val="auto"/>
          <w:kern w:val="2"/>
          <w:sz w:val="32"/>
          <w:szCs w:val="32"/>
          <w:highlight w:val="none"/>
          <w:vertAlign w:val="baseline"/>
          <w:lang w:val="en-US" w:eastAsia="zh-CN" w:bidi="ar-SA"/>
        </w:rPr>
        <w:t>（一）</w:t>
      </w:r>
      <w:r>
        <w:rPr>
          <w:rFonts w:hint="eastAsia" w:ascii="仿宋_GB2312" w:hAnsi="仿宋_GB2312" w:eastAsia="仿宋_GB2312" w:cs="仿宋_GB2312"/>
          <w:b w:val="0"/>
          <w:bCs w:val="0"/>
          <w:color w:val="auto"/>
          <w:sz w:val="32"/>
          <w:szCs w:val="32"/>
          <w:highlight w:val="none"/>
          <w:vertAlign w:val="baseline"/>
          <w:lang w:val="en-US" w:eastAsia="zh-CN"/>
        </w:rPr>
        <w:t>总体要求</w:t>
      </w:r>
    </w:p>
    <w:p w14:paraId="02C29ABE">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规划编制要符合《汉中市国土空间总体规划（2021-2035年）》等上位规划要求，纳入国土空间规划“一张图”实施监督系统和国土空间规划实施监测网络（CSPON）管理。规划内容和深度要符合《城市工程管线综合规划规范》GB50289-2016等相关规范标准要求。</w:t>
      </w:r>
    </w:p>
    <w:p w14:paraId="526BC4E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color w:val="auto"/>
          <w:kern w:val="2"/>
          <w:sz w:val="32"/>
          <w:szCs w:val="32"/>
          <w:highlight w:val="none"/>
          <w:vertAlign w:val="baseline"/>
          <w:lang w:val="en-US" w:eastAsia="zh-CN" w:bidi="ar-SA"/>
        </w:rPr>
        <w:t>（二）</w:t>
      </w:r>
      <w:r>
        <w:rPr>
          <w:rFonts w:hint="eastAsia" w:ascii="仿宋_GB2312" w:hAnsi="仿宋_GB2312" w:eastAsia="仿宋_GB2312" w:cs="仿宋_GB2312"/>
          <w:b w:val="0"/>
          <w:bCs w:val="0"/>
          <w:color w:val="auto"/>
          <w:sz w:val="32"/>
          <w:szCs w:val="32"/>
          <w:highlight w:val="none"/>
          <w:vertAlign w:val="baseline"/>
          <w:lang w:val="en-US" w:eastAsia="zh-CN"/>
        </w:rPr>
        <w:t>成果形式</w:t>
      </w:r>
    </w:p>
    <w:p w14:paraId="0E3E5C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1.现状资料。现状管线图（比例尺为1：500或1：1000，CAD文件或shp文件格式）</w:t>
      </w:r>
    </w:p>
    <w:p w14:paraId="3802921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2.规划成果。包括文本、说明书、图纸、环境影响篇章或说明、数据库应能在汉中市国土空间规划“一张图”实施监督信息系统和国土空间规划实施监测网络（CSPON）上搭载应用、汇报演示文件、</w:t>
      </w:r>
      <w:r>
        <w:rPr>
          <w:rFonts w:hint="eastAsia" w:ascii="仿宋_GB2312" w:hAnsi="仿宋_GB2312" w:eastAsia="仿宋_GB2312" w:cs="仿宋_GB2312"/>
          <w:color w:val="auto"/>
          <w:sz w:val="32"/>
          <w:szCs w:val="32"/>
          <w:highlight w:val="none"/>
          <w:vertAlign w:val="baseline"/>
          <w:lang w:val="en-US" w:eastAsia="zh-CN"/>
        </w:rPr>
        <w:t>地下管网三维可视化模型</w:t>
      </w:r>
      <w:r>
        <w:rPr>
          <w:rFonts w:hint="eastAsia" w:ascii="仿宋_GB2312" w:hAnsi="仿宋_GB2312" w:eastAsia="仿宋_GB2312" w:cs="仿宋_GB2312"/>
          <w:b w:val="0"/>
          <w:bCs w:val="0"/>
          <w:color w:val="auto"/>
          <w:sz w:val="32"/>
          <w:szCs w:val="32"/>
          <w:highlight w:val="none"/>
          <w:vertAlign w:val="baseline"/>
          <w:lang w:val="en-US" w:eastAsia="zh-CN"/>
        </w:rPr>
        <w:t>等（文字为doc格式，图纸为dwg、GIS、jpg格式，数据库为mdb、gdb格式，效果图为jpg格式，供汇报展示用演示文件为ppt格式）。</w:t>
      </w:r>
    </w:p>
    <w:p w14:paraId="31C68C44">
      <w:pPr>
        <w:keepNext w:val="0"/>
        <w:keepLines w:val="0"/>
        <w:pageBreakBefore w:val="0"/>
        <w:widowControl w:val="0"/>
        <w:kinsoku/>
        <w:wordWrap/>
        <w:overflowPunct/>
        <w:topLinePunct w:val="0"/>
        <w:bidi w:val="0"/>
        <w:snapToGrid/>
        <w:spacing w:beforeLines="0" w:afterLines="0" w:line="540" w:lineRule="exact"/>
        <w:ind w:firstLine="640" w:firstLineChars="200"/>
        <w:textAlignment w:val="auto"/>
        <w:rPr>
          <w:rFonts w:hint="default" w:ascii="黑体" w:hAnsi="黑体" w:eastAsia="黑体" w:cs="黑体"/>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六</w:t>
      </w:r>
      <w:r>
        <w:rPr>
          <w:rFonts w:hint="eastAsia" w:ascii="黑体" w:hAnsi="黑体" w:eastAsia="黑体" w:cs="黑体"/>
          <w:color w:val="auto"/>
          <w:sz w:val="32"/>
          <w:szCs w:val="32"/>
          <w:highlight w:val="none"/>
          <w:lang w:val="en-US" w:eastAsia="zh-CN"/>
        </w:rPr>
        <w:t>、其他要求</w:t>
      </w:r>
    </w:p>
    <w:p w14:paraId="53581DA5">
      <w:pPr>
        <w:numPr>
          <w:ilvl w:val="0"/>
          <w:numId w:val="0"/>
        </w:numPr>
        <w:spacing w:beforeLines="0" w:afterLines="0" w:line="560" w:lineRule="exact"/>
        <w:ind w:firstLine="640" w:firstLineChars="200"/>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1.按照合同约定期限，参与中心城区市政类专项规划的规划审查，并出具书面审查意见。</w:t>
      </w:r>
    </w:p>
    <w:p w14:paraId="652C55D7">
      <w:pPr>
        <w:numPr>
          <w:ilvl w:val="0"/>
          <w:numId w:val="0"/>
        </w:numPr>
        <w:spacing w:beforeLines="0" w:afterLines="0" w:line="560" w:lineRule="exact"/>
        <w:ind w:firstLine="640" w:firstLineChars="200"/>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hAnsi="仿宋_GB2312" w:eastAsia="仿宋_GB2312" w:cs="仿宋_GB2312"/>
          <w:b w:val="0"/>
          <w:bCs w:val="0"/>
          <w:color w:val="auto"/>
          <w:sz w:val="32"/>
          <w:szCs w:val="32"/>
          <w:highlight w:val="none"/>
          <w:vertAlign w:val="baseline"/>
          <w:lang w:val="en-US" w:eastAsia="zh-CN"/>
        </w:rPr>
        <w:t>2.按照合同约定期限，参与中心城区管线建设相关的规划审查，并出具书面指导意见。</w:t>
      </w:r>
    </w:p>
    <w:p w14:paraId="7B8EEE6F">
      <w:pPr>
        <w:numPr>
          <w:ilvl w:val="0"/>
          <w:numId w:val="0"/>
        </w:numPr>
        <w:spacing w:beforeLines="0" w:afterLines="0" w:line="560" w:lineRule="exact"/>
        <w:ind w:firstLine="640" w:firstLineChars="200"/>
        <w:rPr>
          <w:rFonts w:hint="eastAsia" w:ascii="仿宋_GB2312" w:hAnsi="宋体" w:eastAsia="仿宋_GB2312" w:cs="仿宋_GB2312"/>
          <w:color w:val="auto"/>
          <w:kern w:val="0"/>
          <w:sz w:val="32"/>
          <w:szCs w:val="32"/>
          <w:highlight w:val="none"/>
          <w:lang w:bidi="ar"/>
        </w:rPr>
      </w:pPr>
      <w:r>
        <w:rPr>
          <w:rFonts w:hint="eastAsia" w:ascii="Times New Roman" w:hAnsi="Times New Roman" w:eastAsia="黑体" w:cs="Times New Roman"/>
          <w:color w:val="auto"/>
          <w:sz w:val="32"/>
          <w:szCs w:val="32"/>
          <w:highlight w:val="none"/>
          <w:lang w:val="en-US" w:eastAsia="zh-CN"/>
        </w:rPr>
        <w:t>七</w:t>
      </w:r>
      <w:r>
        <w:rPr>
          <w:rFonts w:hint="eastAsia" w:ascii="Times New Roman" w:hAnsi="Times New Roman" w:eastAsia="黑体" w:cs="Times New Roman"/>
          <w:color w:val="auto"/>
          <w:sz w:val="32"/>
          <w:szCs w:val="32"/>
          <w:highlight w:val="none"/>
        </w:rPr>
        <w:t>、成果验收</w:t>
      </w:r>
    </w:p>
    <w:p w14:paraId="379CFFE1">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vertAlign w:val="baseline"/>
          <w:lang w:val="en-US" w:eastAsia="zh-CN"/>
        </w:rPr>
      </w:pPr>
      <w:r>
        <w:rPr>
          <w:rFonts w:hint="eastAsia" w:ascii="仿宋_GB2312" w:eastAsia="仿宋_GB2312"/>
          <w:color w:val="auto"/>
          <w:sz w:val="32"/>
          <w:szCs w:val="32"/>
          <w:highlight w:val="none"/>
        </w:rPr>
        <w:t>经汉中市国土空间规划委员会审议通过后一个月内，设计方根据各阶段研究审议提出的修改、补充、完善意见，全</w:t>
      </w:r>
      <w:r>
        <w:rPr>
          <w:rFonts w:hint="eastAsia" w:ascii="仿宋_GB2312" w:hAnsi="仿宋_GB2312" w:eastAsia="仿宋_GB2312" w:cs="仿宋_GB2312"/>
          <w:b w:val="0"/>
          <w:bCs w:val="0"/>
          <w:color w:val="auto"/>
          <w:sz w:val="32"/>
          <w:szCs w:val="32"/>
          <w:highlight w:val="none"/>
          <w:vertAlign w:val="baseline"/>
          <w:lang w:val="en-US" w:eastAsia="zh-CN"/>
        </w:rPr>
        <w:t>面修改，达到纸质及电子文档最终成果提交要求，经市自然资源局联合相关行业主管部门复核无误，出具书面成果接收清单后，方可视为正式通过验收。</w:t>
      </w:r>
    </w:p>
    <w:p w14:paraId="1FDD44E1"/>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DA0FE">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32C883">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B32C883">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8113C">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8290F6">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F8290F6">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5F18D">
    <w:pPr>
      <w:widowControl w:val="0"/>
      <w:tabs>
        <w:tab w:val="center" w:pos="4153"/>
        <w:tab w:val="right" w:pos="8306"/>
      </w:tabs>
      <w:snapToGrid w:val="0"/>
      <w:jc w:val="left"/>
      <w:rPr>
        <w:rFonts w:ascii="Times New Roman" w:hAnsi="Times New Roman" w:eastAsia="仿宋_GB2312" w:cs="Times New Roman"/>
        <w:kern w:val="2"/>
        <w:sz w:val="18"/>
        <w:szCs w:val="22"/>
        <w:lang w:val="en-US" w:eastAsia="zh-CN" w:bidi="ar-SA"/>
      </w:rPr>
    </w:pPr>
    <w:r>
      <w:rPr>
        <w:rFonts w:ascii="Times New Roman" w:hAnsi="Times New Roman" w:eastAsia="仿宋_GB2312" w:cs="Times New Roman"/>
        <w:kern w:val="2"/>
        <w:sz w:val="1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6993DA">
                          <w:pPr>
                            <w:widowControl w:val="0"/>
                            <w:tabs>
                              <w:tab w:val="center" w:pos="4153"/>
                              <w:tab w:val="right" w:pos="8306"/>
                            </w:tabs>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486993DA">
                    <w:pPr>
                      <w:widowControl w:val="0"/>
                      <w:tabs>
                        <w:tab w:val="center" w:pos="4153"/>
                        <w:tab w:val="right" w:pos="8306"/>
                      </w:tabs>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3</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3480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B7D3F6">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B7D3F6">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0155E3">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CF1851">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4CF1851">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16</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BE10E0"/>
    <w:rsid w:val="002A19EB"/>
    <w:rsid w:val="002F08AE"/>
    <w:rsid w:val="00525BDA"/>
    <w:rsid w:val="00546261"/>
    <w:rsid w:val="006835CE"/>
    <w:rsid w:val="0088009C"/>
    <w:rsid w:val="00914888"/>
    <w:rsid w:val="00DA1790"/>
    <w:rsid w:val="00F466B3"/>
    <w:rsid w:val="03082909"/>
    <w:rsid w:val="05931A29"/>
    <w:rsid w:val="062005AC"/>
    <w:rsid w:val="071958D0"/>
    <w:rsid w:val="08042D36"/>
    <w:rsid w:val="09082248"/>
    <w:rsid w:val="09DA7345"/>
    <w:rsid w:val="0D530879"/>
    <w:rsid w:val="0E705DC4"/>
    <w:rsid w:val="0E8C4475"/>
    <w:rsid w:val="0FFF2E90"/>
    <w:rsid w:val="12EA7CAB"/>
    <w:rsid w:val="140B236A"/>
    <w:rsid w:val="15FE0691"/>
    <w:rsid w:val="166A5177"/>
    <w:rsid w:val="17C14C78"/>
    <w:rsid w:val="1BB07E84"/>
    <w:rsid w:val="1CBA6C0D"/>
    <w:rsid w:val="1DD472AD"/>
    <w:rsid w:val="1F0B308C"/>
    <w:rsid w:val="1F571CA2"/>
    <w:rsid w:val="1F793A4D"/>
    <w:rsid w:val="20135C1B"/>
    <w:rsid w:val="21A7596D"/>
    <w:rsid w:val="22D60469"/>
    <w:rsid w:val="251D5F19"/>
    <w:rsid w:val="251D7336"/>
    <w:rsid w:val="254777C8"/>
    <w:rsid w:val="25B310C3"/>
    <w:rsid w:val="280A391E"/>
    <w:rsid w:val="2AC55FB0"/>
    <w:rsid w:val="2BD26FCC"/>
    <w:rsid w:val="2E165C6D"/>
    <w:rsid w:val="2F630314"/>
    <w:rsid w:val="33353887"/>
    <w:rsid w:val="3605102C"/>
    <w:rsid w:val="375F134B"/>
    <w:rsid w:val="376637C1"/>
    <w:rsid w:val="38907FDE"/>
    <w:rsid w:val="391F00CC"/>
    <w:rsid w:val="3C0B4937"/>
    <w:rsid w:val="3C3C0F95"/>
    <w:rsid w:val="3E2D1E59"/>
    <w:rsid w:val="3E4101FE"/>
    <w:rsid w:val="3F3441A5"/>
    <w:rsid w:val="42383AB5"/>
    <w:rsid w:val="494575E3"/>
    <w:rsid w:val="49C45812"/>
    <w:rsid w:val="4C1D359E"/>
    <w:rsid w:val="4CBB375E"/>
    <w:rsid w:val="4D4C6C16"/>
    <w:rsid w:val="4D626381"/>
    <w:rsid w:val="4DCB3F26"/>
    <w:rsid w:val="4E5F19C5"/>
    <w:rsid w:val="4EA66BE5"/>
    <w:rsid w:val="54354E06"/>
    <w:rsid w:val="55C71477"/>
    <w:rsid w:val="575710D7"/>
    <w:rsid w:val="5C3D7FCA"/>
    <w:rsid w:val="5CBE10E0"/>
    <w:rsid w:val="5F2416E8"/>
    <w:rsid w:val="5FAF3355"/>
    <w:rsid w:val="608A3BE5"/>
    <w:rsid w:val="60C1782B"/>
    <w:rsid w:val="650F07A8"/>
    <w:rsid w:val="69912070"/>
    <w:rsid w:val="6D071FFB"/>
    <w:rsid w:val="74361CD0"/>
    <w:rsid w:val="753E0FEC"/>
    <w:rsid w:val="777F415D"/>
    <w:rsid w:val="783201C2"/>
    <w:rsid w:val="78D16DE1"/>
    <w:rsid w:val="7AEC6BE2"/>
    <w:rsid w:val="7CA34861"/>
    <w:rsid w:val="7CAC2290"/>
    <w:rsid w:val="7CDC31AB"/>
    <w:rsid w:val="7DF63F6F"/>
    <w:rsid w:val="7FF54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style>
  <w:style w:type="paragraph" w:styleId="4">
    <w:name w:val="annotation text"/>
    <w:basedOn w:val="1"/>
    <w:qFormat/>
    <w:uiPriority w:val="0"/>
    <w:pPr>
      <w:jc w:val="left"/>
    </w:pPr>
  </w:style>
  <w:style w:type="paragraph" w:styleId="5">
    <w:name w:val="Body Text"/>
    <w:basedOn w:val="1"/>
    <w:next w:val="1"/>
    <w:qFormat/>
    <w:uiPriority w:val="0"/>
    <w:pPr>
      <w:spacing w:after="120"/>
    </w:pPr>
    <w:rPr>
      <w:rFonts w:ascii="Times New Roman" w:hAnsi="Times New Roman" w:eastAsia="宋体" w:cs="Times New Roma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character" w:customStyle="1" w:styleId="14">
    <w:name w:val="页眉 字符"/>
    <w:basedOn w:val="11"/>
    <w:link w:val="7"/>
    <w:qFormat/>
    <w:uiPriority w:val="0"/>
    <w:rPr>
      <w:kern w:val="2"/>
      <w:sz w:val="18"/>
      <w:szCs w:val="18"/>
    </w:rPr>
  </w:style>
  <w:style w:type="paragraph" w:customStyle="1" w:styleId="15">
    <w:name w:val="Default"/>
    <w:unhideWhenUsed/>
    <w:qFormat/>
    <w:uiPriority w:val="0"/>
    <w:pPr>
      <w:widowControl w:val="0"/>
      <w:autoSpaceDE w:val="0"/>
      <w:autoSpaceDN w:val="0"/>
      <w:adjustRightInd w:val="0"/>
      <w:spacing w:beforeLines="0" w:afterLines="0"/>
    </w:pPr>
    <w:rPr>
      <w:rFonts w:hint="eastAsia"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11755</Words>
  <Characters>12603</Characters>
  <Lines>36</Lines>
  <Paragraphs>10</Paragraphs>
  <TotalTime>0</TotalTime>
  <ScaleCrop>false</ScaleCrop>
  <LinksUpToDate>false</LinksUpToDate>
  <CharactersWithSpaces>13002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2026-01-08T03:58:00Z</dcterms:created>
  <dc:creator>一烨舟</dc:creator>
  <cp:lastModifiedBy>快乐猫</cp:lastModifiedBy>
  <cp:lastPrinted>2025-12-26T02:06:00Z</cp:lastPrinted>
  <dcterms:modified xsi:type="dcterms:W3CDTF">2026-03-02T01:50:46Z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869318D8C1E44D1F8C6F7050CEAB1529_13</vt:lpwstr>
  </property>
  <property fmtid="{D5CDD505-2E9C-101B-9397-08002B2CF9AE}" pid="4" name="KSOTemplateDocerSaveRecord">
    <vt:lpwstr>eyJoZGlkIjoiMTU3MTMyN2NjYzYyMzY3MzJlZWVhMWRkMWU1NDI4NmIiLCJ1c2VySWQiOiIyNTQ4OTM3MDkifQ==</vt:lpwstr>
  </property>
</Properties>
</file>