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版本号：SCZD2026-CS-0214-001R20260302001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640CT维保项目（二次）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SCZD2026-CS-0214-001R</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640CT维保项目（二次）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SCZD2026-CS-0214-001R</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640CT维保项目（二次）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1、维保设备品牌型号：佳能（AQUILION/ONE GENESIS）CT机1台。 2、使用年限：本CT机自2021年安装使用至今。 3、维保范围：设备整机全保（含球管，含探测器）。 4、维保服务期限：3年。 5、采购预算：180万元/年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1、特定资格要求：1供应商合法注册的法人或其他组织的营业执照等证明文件； 2供应商参加本项目的合法授权人授权委托书；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 3供应商应具有医疗器械经营许可证或经营备案凭证。4提供盖章的《汉中市政府采购供应商资格承诺函》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陈正许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0916-2682065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曹文渊、雷鹏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银行账号：103661558281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代理服务费收费标准：代理服务费以三年合计中标金额为基数，参照《国家计委关于印发&lt;招标代理服务收费管理暂行办法&gt;的通知》（计价格[2002]1980号）规定标准下浮20%按标段收取。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符合国家、行业现行的设计、安全、质量等相关标准规范要求，与采购文件、投标（响应）文件和承诺相一致。</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1、维保设备品牌型号：佳能（AQUILION/ONE GENESIS）CT机1台。 2、使用年限：本CT机自2021年安装使用至今。 3、维保范围：设备整机全保（含球管，含探测器）。 4、维保服务期限：3年。 5、采购预算：180万元/年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640CT维保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标的名称：640CT维保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、维保范围：设备整机全保（含球管，含探测器）。</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、投标人视设备故障维修的需要以全部零备件免费维修更换的方式为招标人提供基本零备件（含</w:t>
            </w:r>
            <w:r>
              <w:rPr>
                <w:rFonts w:ascii="仿宋_GB2312" w:hAnsi="仿宋_GB2312" w:cs="仿宋_GB2312" w:eastAsia="仿宋_GB2312"/>
                <w:sz w:val="24"/>
              </w:rPr>
              <w:t>CT</w:t>
            </w:r>
            <w:r>
              <w:rPr>
                <w:rFonts w:ascii="仿宋_GB2312" w:hAnsi="仿宋_GB2312" w:cs="仿宋_GB2312" w:eastAsia="仿宋_GB2312"/>
                <w:sz w:val="24"/>
              </w:rPr>
              <w:t>探测器、含球管）的更换（中标人回收更换下来的旧件）。更换的配件须具备报关单。</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、维修使用配件应为原厂生产的配件，并保证设备经维修后的技术参数与原机数据相同。</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、服务响应时间：设备发生故障时，投标人须在</w:t>
            </w:r>
            <w:r>
              <w:rPr>
                <w:rFonts w:ascii="仿宋_GB2312" w:hAnsi="仿宋_GB2312" w:cs="仿宋_GB2312" w:eastAsia="仿宋_GB2312"/>
                <w:sz w:val="24"/>
              </w:rPr>
              <w:t xml:space="preserve"> 2 </w:t>
            </w:r>
            <w:r>
              <w:rPr>
                <w:rFonts w:ascii="仿宋_GB2312" w:hAnsi="仿宋_GB2312" w:cs="仿宋_GB2312" w:eastAsia="仿宋_GB2312"/>
                <w:sz w:val="24"/>
              </w:rPr>
              <w:t xml:space="preserve">小时内响应，提供电话、网络等技术支持。如以上技术支持无法解决设备故障，投标人应在 </w:t>
            </w:r>
            <w:r>
              <w:rPr>
                <w:rFonts w:ascii="仿宋_GB2312" w:hAnsi="仿宋_GB2312" w:cs="仿宋_GB2312" w:eastAsia="仿宋_GB2312"/>
                <w:sz w:val="24"/>
              </w:rPr>
              <w:t xml:space="preserve">48 </w:t>
            </w:r>
            <w:r>
              <w:rPr>
                <w:rFonts w:ascii="仿宋_GB2312" w:hAnsi="仿宋_GB2312" w:cs="仿宋_GB2312" w:eastAsia="仿宋_GB2312"/>
                <w:sz w:val="24"/>
              </w:rPr>
              <w:t>小时内到达设备使用现场进行维修，排除故障。</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、具有</w:t>
            </w:r>
            <w:r>
              <w:rPr>
                <w:rFonts w:ascii="仿宋_GB2312" w:hAnsi="仿宋_GB2312" w:cs="仿宋_GB2312" w:eastAsia="仿宋_GB2312"/>
                <w:sz w:val="24"/>
              </w:rPr>
              <w:t xml:space="preserve">CT </w:t>
            </w:r>
            <w:r>
              <w:rPr>
                <w:rFonts w:ascii="仿宋_GB2312" w:hAnsi="仿宋_GB2312" w:cs="仿宋_GB2312" w:eastAsia="仿宋_GB2312"/>
                <w:sz w:val="24"/>
              </w:rPr>
              <w:t>保修项目的承接能力、合同的履约能力和服务能力、信誉良好的原厂制造商授权的维保单位（提供相应的证明材料）。</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、零配件的合法保障：投标人应具备取得设备厂家零配件的合法渠道，国内至少有一个保税库，并提供证明文件，以保证零配件应是符合国家相关规范要求的合格产品。</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、包含</w:t>
            </w:r>
            <w:r>
              <w:rPr>
                <w:rFonts w:ascii="仿宋_GB2312" w:hAnsi="仿宋_GB2312" w:cs="仿宋_GB2312" w:eastAsia="仿宋_GB2312"/>
                <w:sz w:val="24"/>
              </w:rPr>
              <w:t>AQUILION/ONE GENESIS</w:t>
            </w:r>
            <w:r>
              <w:rPr>
                <w:rFonts w:ascii="仿宋_GB2312" w:hAnsi="仿宋_GB2312" w:cs="仿宋_GB2312" w:eastAsia="仿宋_GB2312"/>
                <w:sz w:val="24"/>
              </w:rPr>
              <w:t>配置的一套深睿</w:t>
            </w:r>
            <w:r>
              <w:rPr>
                <w:rFonts w:ascii="仿宋_GB2312" w:hAnsi="仿宋_GB2312" w:cs="仿宋_GB2312" w:eastAsia="仿宋_GB2312"/>
                <w:sz w:val="24"/>
              </w:rPr>
              <w:t>AI</w:t>
            </w:r>
            <w:r>
              <w:rPr>
                <w:rFonts w:ascii="仿宋_GB2312" w:hAnsi="仿宋_GB2312" w:cs="仿宋_GB2312" w:eastAsia="仿宋_GB2312"/>
                <w:sz w:val="24"/>
              </w:rPr>
              <w:t>工作站的维保及硬件升级（包含骨龄及乳腺钼靶模块），并保障</w:t>
            </w:r>
            <w:r>
              <w:rPr>
                <w:rFonts w:ascii="仿宋_GB2312" w:hAnsi="仿宋_GB2312" w:cs="仿宋_GB2312" w:eastAsia="仿宋_GB2312"/>
                <w:sz w:val="24"/>
              </w:rPr>
              <w:t>AI</w:t>
            </w:r>
            <w:r>
              <w:rPr>
                <w:rFonts w:ascii="仿宋_GB2312" w:hAnsi="仿宋_GB2312" w:cs="仿宋_GB2312" w:eastAsia="仿宋_GB2312"/>
                <w:sz w:val="24"/>
              </w:rPr>
              <w:t>软件在日常工作中能够正常使用和运行。</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、保修服务认证：投标人应符合中国质量认证中心在医疗器械</w:t>
            </w:r>
            <w:r>
              <w:rPr>
                <w:rFonts w:ascii="仿宋_GB2312" w:hAnsi="仿宋_GB2312" w:cs="仿宋_GB2312" w:eastAsia="仿宋_GB2312"/>
                <w:sz w:val="24"/>
              </w:rPr>
              <w:t>—</w:t>
            </w:r>
            <w:r>
              <w:rPr>
                <w:rFonts w:ascii="仿宋_GB2312" w:hAnsi="仿宋_GB2312" w:cs="仿宋_GB2312" w:eastAsia="仿宋_GB2312"/>
                <w:sz w:val="24"/>
              </w:rPr>
              <w:t>质量管理体系中的</w:t>
            </w:r>
            <w:r>
              <w:rPr>
                <w:rFonts w:ascii="仿宋_GB2312" w:hAnsi="仿宋_GB2312" w:cs="仿宋_GB2312" w:eastAsia="仿宋_GB2312"/>
                <w:sz w:val="24"/>
              </w:rPr>
              <w:t>医疗器械质量管理体系</w:t>
            </w:r>
            <w:r>
              <w:rPr>
                <w:rFonts w:ascii="仿宋_GB2312" w:hAnsi="仿宋_GB2312" w:cs="仿宋_GB2312" w:eastAsia="仿宋_GB2312"/>
                <w:sz w:val="24"/>
              </w:rPr>
              <w:t>ISO13485</w:t>
            </w:r>
            <w:r>
              <w:rPr>
                <w:rFonts w:ascii="仿宋_GB2312" w:hAnsi="仿宋_GB2312" w:cs="仿宋_GB2312" w:eastAsia="仿宋_GB2312"/>
                <w:sz w:val="24"/>
              </w:rPr>
              <w:t>相关标准，并提供相关证书。</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、要求投标人所派工程师均为本</w:t>
            </w:r>
            <w:r>
              <w:rPr>
                <w:rFonts w:ascii="仿宋_GB2312" w:hAnsi="仿宋_GB2312" w:cs="仿宋_GB2312" w:eastAsia="仿宋_GB2312"/>
                <w:sz w:val="24"/>
              </w:rPr>
              <w:t xml:space="preserve">CT </w:t>
            </w:r>
            <w:r>
              <w:rPr>
                <w:rFonts w:ascii="仿宋_GB2312" w:hAnsi="仿宋_GB2312" w:cs="仿宋_GB2312" w:eastAsia="仿宋_GB2312"/>
                <w:sz w:val="24"/>
              </w:rPr>
              <w:t>原厂专业维修工程师并经原厂培训（投标文件中提供至少</w:t>
            </w:r>
            <w:r>
              <w:rPr>
                <w:rFonts w:ascii="仿宋_GB2312" w:hAnsi="仿宋_GB2312" w:cs="仿宋_GB2312" w:eastAsia="仿宋_GB2312"/>
                <w:sz w:val="24"/>
              </w:rPr>
              <w:t>5</w:t>
            </w:r>
            <w:r>
              <w:rPr>
                <w:rFonts w:ascii="仿宋_GB2312" w:hAnsi="仿宋_GB2312" w:cs="仿宋_GB2312" w:eastAsia="仿宋_GB2312"/>
                <w:sz w:val="24"/>
              </w:rPr>
              <w:t>个工程师的原厂的培训证书）。</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、要求投标人提供定期保养：在一年内至少提供</w:t>
            </w:r>
            <w:r>
              <w:rPr>
                <w:rFonts w:ascii="仿宋_GB2312" w:hAnsi="仿宋_GB2312" w:cs="仿宋_GB2312" w:eastAsia="仿宋_GB2312"/>
                <w:sz w:val="24"/>
              </w:rPr>
              <w:t>4</w:t>
            </w:r>
            <w:r>
              <w:rPr>
                <w:rFonts w:ascii="仿宋_GB2312" w:hAnsi="仿宋_GB2312" w:cs="仿宋_GB2312" w:eastAsia="仿宋_GB2312"/>
                <w:sz w:val="24"/>
              </w:rPr>
              <w:t>次定期维护。每次维护保养完成后，须向招标人提供维护保养报告。应在预期维护保养时间之前一周内通知招标人保养时间。</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、定期的维护保养服务包括：设备的安全检查、影像质量检查、设备除尘保养、运行状态检查等。</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color w:val="000000"/>
              </w:rPr>
              <w:t>设备开机率全年</w:t>
            </w:r>
            <w:r>
              <w:rPr>
                <w:rFonts w:ascii="仿宋_GB2312" w:hAnsi="仿宋_GB2312" w:cs="仿宋_GB2312" w:eastAsia="仿宋_GB2312"/>
                <w:sz w:val="24"/>
                <w:color w:val="000000"/>
              </w:rPr>
              <w:t>95%</w:t>
            </w:r>
            <w:r>
              <w:rPr>
                <w:rFonts w:ascii="仿宋_GB2312" w:hAnsi="仿宋_GB2312" w:cs="仿宋_GB2312" w:eastAsia="仿宋_GB2312"/>
                <w:sz w:val="24"/>
                <w:color w:val="000000"/>
              </w:rPr>
              <w:t>以上（以</w:t>
            </w:r>
            <w:r>
              <w:rPr>
                <w:rFonts w:ascii="仿宋_GB2312" w:hAnsi="仿宋_GB2312" w:cs="仿宋_GB2312" w:eastAsia="仿宋_GB2312"/>
                <w:sz w:val="24"/>
                <w:color w:val="000000"/>
              </w:rPr>
              <w:t>365</w:t>
            </w:r>
            <w:r>
              <w:rPr>
                <w:rFonts w:ascii="仿宋_GB2312" w:hAnsi="仿宋_GB2312" w:cs="仿宋_GB2312" w:eastAsia="仿宋_GB2312"/>
                <w:sz w:val="24"/>
                <w:color w:val="000000"/>
              </w:rPr>
              <w:t>天计算），如有不足时需通过延长保修期补足，补足的天数在合同期满后顺延执行。</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、全国范围内开通</w:t>
            </w:r>
            <w:r>
              <w:rPr>
                <w:rFonts w:ascii="仿宋_GB2312" w:hAnsi="仿宋_GB2312" w:cs="仿宋_GB2312" w:eastAsia="仿宋_GB2312"/>
                <w:sz w:val="24"/>
              </w:rPr>
              <w:t>400</w:t>
            </w:r>
            <w:r>
              <w:rPr>
                <w:rFonts w:ascii="仿宋_GB2312" w:hAnsi="仿宋_GB2312" w:cs="仿宋_GB2312" w:eastAsia="仿宋_GB2312"/>
                <w:sz w:val="24"/>
              </w:rPr>
              <w:t>、</w:t>
            </w:r>
            <w:r>
              <w:rPr>
                <w:rFonts w:ascii="仿宋_GB2312" w:hAnsi="仿宋_GB2312" w:cs="仿宋_GB2312" w:eastAsia="仿宋_GB2312"/>
                <w:sz w:val="24"/>
              </w:rPr>
              <w:t xml:space="preserve">800 </w:t>
            </w:r>
            <w:r>
              <w:rPr>
                <w:rFonts w:ascii="仿宋_GB2312" w:hAnsi="仿宋_GB2312" w:cs="仿宋_GB2312" w:eastAsia="仿宋_GB2312"/>
                <w:sz w:val="24"/>
              </w:rPr>
              <w:t>等服务热线电话，</w:t>
            </w:r>
            <w:r>
              <w:rPr>
                <w:rFonts w:ascii="仿宋_GB2312" w:hAnsi="仿宋_GB2312" w:cs="仿宋_GB2312" w:eastAsia="仿宋_GB2312"/>
                <w:sz w:val="24"/>
              </w:rPr>
              <w:t xml:space="preserve">24 </w:t>
            </w:r>
            <w:r>
              <w:rPr>
                <w:rFonts w:ascii="仿宋_GB2312" w:hAnsi="仿宋_GB2312" w:cs="仿宋_GB2312" w:eastAsia="仿宋_GB2312"/>
                <w:sz w:val="24"/>
              </w:rPr>
              <w:t>小时</w:t>
            </w:r>
            <w:r>
              <w:rPr>
                <w:rFonts w:ascii="仿宋_GB2312" w:hAnsi="仿宋_GB2312" w:cs="仿宋_GB2312" w:eastAsia="仿宋_GB2312"/>
                <w:sz w:val="24"/>
              </w:rPr>
              <w:t xml:space="preserve">×365 </w:t>
            </w:r>
            <w:r>
              <w:rPr>
                <w:rFonts w:ascii="仿宋_GB2312" w:hAnsi="仿宋_GB2312" w:cs="仿宋_GB2312" w:eastAsia="仿宋_GB2312"/>
                <w:sz w:val="24"/>
              </w:rPr>
              <w:t>天有工程师接听，为用户快速诊断和技术支持服务。</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、在保修合同执行期间，如厂家有新的软件版本（指设备的稳定性软件，非功能选件），投标人承诺将免费为医院升级。</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、投标人提供医院必要的临床科研支持。</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技能提升服务：投标人提供国内临床应用培训，每年度</w:t>
            </w:r>
            <w:r>
              <w:rPr>
                <w:rFonts w:ascii="仿宋_GB2312" w:hAnsi="仿宋_GB2312" w:cs="仿宋_GB2312" w:eastAsia="仿宋_GB2312"/>
                <w:sz w:val="24"/>
              </w:rPr>
              <w:t>6</w:t>
            </w:r>
            <w:r>
              <w:rPr>
                <w:rFonts w:ascii="仿宋_GB2312" w:hAnsi="仿宋_GB2312" w:cs="仿宋_GB2312" w:eastAsia="仿宋_GB2312"/>
                <w:sz w:val="24"/>
              </w:rPr>
              <w:t>人次。</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投标人维保服务包含我院同品牌车载</w:t>
            </w:r>
            <w:r>
              <w:rPr>
                <w:rFonts w:ascii="仿宋_GB2312" w:hAnsi="仿宋_GB2312" w:cs="仿宋_GB2312" w:eastAsia="仿宋_GB2312"/>
                <w:sz w:val="24"/>
              </w:rPr>
              <w:t>CT1</w:t>
            </w:r>
            <w:r>
              <w:rPr>
                <w:rFonts w:ascii="仿宋_GB2312" w:hAnsi="仿宋_GB2312" w:cs="仿宋_GB2312" w:eastAsia="仿宋_GB2312"/>
                <w:sz w:val="24"/>
              </w:rPr>
              <w:t>台技术保。</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汉中市中心医院指定地点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按年度金额付款，合同签署后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当年度合同履行至最后一个月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详见合同范本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合同价格包括：设备维修保养费、定期检查保养费、产品费、备品配件费用、维修人员的工时费、差旅费、运杂费、安装调试费、税费及其他一切费用。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响应函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1供应商合法注册的法人或其他组织的营业执照等证明文件； 2供应商参加本项目的合法授权人授权委托书；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 3供应商应具有医疗器械经营许可证或经营备案凭证。4提供盖章的《汉中市政府采购供应商资格承诺函》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汉中市政府采购供应商资格承诺函.docx 特定资格要求材料.docx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二、磋商小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供应商提交的相关说明和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投标分项报价表.docx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业绩一览表.docx 中小企业声明函 响应保证金支付凭证或担保函.docx 报价表 汉中市政府采购供应商资格承诺函.docx 特定资格要求材料.docx 响应文件封面 投标分项报价表.docx 残疾人福利性单位声明函 服务要求响应偏离表及相关证明资料.docx 服务方案 标的清单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投标分项报价表.docx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按照磋商文件的规定提交磋商保证金（包括形式及金额）</w:t>
            </w:r>
          </w:p>
        </w:tc>
        <w:tc>
          <w:tcPr>
            <w:tcW w:type="dxa" w:w="1661"/>
          </w:tcPr>
          <w:p>
            <w:pPr>
              <w:pStyle w:val="null3"/>
            </w:pPr>
            <w:r>
              <w:rPr>
                <w:rFonts w:ascii="仿宋_GB2312" w:hAnsi="仿宋_GB2312" w:cs="仿宋_GB2312" w:eastAsia="仿宋_GB2312"/>
              </w:rPr>
              <w:t>响应保证金支付凭证或担保函.docx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满足商务要求、响应内容无漏项或数量与要求不符，满足实质性要求</w:t>
            </w:r>
          </w:p>
        </w:tc>
        <w:tc>
          <w:tcPr>
            <w:tcW w:type="dxa" w:w="1661"/>
          </w:tcPr>
          <w:p>
            <w:pPr>
              <w:pStyle w:val="null3"/>
            </w:pPr>
            <w:r>
              <w:rPr>
                <w:rFonts w:ascii="仿宋_GB2312" w:hAnsi="仿宋_GB2312" w:cs="仿宋_GB2312" w:eastAsia="仿宋_GB2312"/>
              </w:rPr>
              <w:t>投标分项报价表.docx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服务要求响应偏离表及相关证明资料.docx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投标分项报价表.docx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技术评审</w:t>
            </w:r>
          </w:p>
        </w:tc>
        <w:tc>
          <w:tcPr>
            <w:tcW w:type="dxa" w:w="2492"/>
          </w:tcPr>
          <w:p>
            <w:pPr>
              <w:pStyle w:val="null3"/>
            </w:pPr>
            <w:r>
              <w:rPr>
                <w:rFonts w:ascii="仿宋_GB2312" w:hAnsi="仿宋_GB2312" w:cs="仿宋_GB2312" w:eastAsia="仿宋_GB2312"/>
              </w:rPr>
              <w:t>技术参数与性能指标：完全响应或优于采购要求得40分，一般项1项不满足扣2.5分，“▲”项1项不满足扣4分，扣完为止。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服务要求响应偏离表及相关证明资料.docx</w:t>
            </w:r>
          </w:p>
        </w:tc>
      </w:tr>
      <w:tr>
        <w:tc>
          <w:tcPr>
            <w:tcW w:type="dxa" w:w="831"/>
            <w:vMerge/>
          </w:tcPr>
          <w:p/>
        </w:tc>
        <w:tc>
          <w:tcPr>
            <w:tcW w:type="dxa" w:w="1661"/>
          </w:tcPr>
          <w:p>
            <w:pPr>
              <w:pStyle w:val="null3"/>
            </w:pPr>
            <w:r>
              <w:rPr>
                <w:rFonts w:ascii="仿宋_GB2312" w:hAnsi="仿宋_GB2312" w:cs="仿宋_GB2312" w:eastAsia="仿宋_GB2312"/>
              </w:rPr>
              <w:t>1：保养、维护计划方案</w:t>
            </w:r>
          </w:p>
        </w:tc>
        <w:tc>
          <w:tcPr>
            <w:tcW w:type="dxa" w:w="2492"/>
          </w:tcPr>
          <w:p>
            <w:pPr>
              <w:pStyle w:val="null3"/>
            </w:pPr>
            <w:r>
              <w:rPr>
                <w:rFonts w:ascii="仿宋_GB2312" w:hAnsi="仿宋_GB2312" w:cs="仿宋_GB2312" w:eastAsia="仿宋_GB2312"/>
              </w:rPr>
              <w:t>供应商对本项目提供的保养、维护计划方案： ①内容完整、可实施、且有针对性得10分； ②内容完整、可实施得7分； ③方案基本完整得4分； ④未提供不得分。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2：故障紧急应急预案</w:t>
            </w:r>
          </w:p>
        </w:tc>
        <w:tc>
          <w:tcPr>
            <w:tcW w:type="dxa" w:w="2492"/>
          </w:tcPr>
          <w:p>
            <w:pPr>
              <w:pStyle w:val="null3"/>
            </w:pPr>
            <w:r>
              <w:rPr>
                <w:rFonts w:ascii="仿宋_GB2312" w:hAnsi="仿宋_GB2312" w:cs="仿宋_GB2312" w:eastAsia="仿宋_GB2312"/>
              </w:rPr>
              <w:t>供应商对设备可能出现的突发事件问题及重大故障，有具体可行的应急预案措施和解决方案： ①内容完整、可实施、且有针对性得5分； ②内容完整、可实施得3分； ③方案基本完整得1分； ④未提供不得分。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3：服务质量保证措施</w:t>
            </w:r>
          </w:p>
        </w:tc>
        <w:tc>
          <w:tcPr>
            <w:tcW w:type="dxa" w:w="2492"/>
          </w:tcPr>
          <w:p>
            <w:pPr>
              <w:pStyle w:val="null3"/>
            </w:pPr>
            <w:r>
              <w:rPr>
                <w:rFonts w:ascii="仿宋_GB2312" w:hAnsi="仿宋_GB2312" w:cs="仿宋_GB2312" w:eastAsia="仿宋_GB2312"/>
              </w:rPr>
              <w:t>供应商对本项目维保服务提供切实可行的服务质量保证方案措施： ①内容完整、可实施、且有针对性得5分； ②内容完整、可实施得3分； ③方案基本完整得1分； ④未提供不得分。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4：零配件兼容可靠性</w:t>
            </w:r>
          </w:p>
        </w:tc>
        <w:tc>
          <w:tcPr>
            <w:tcW w:type="dxa" w:w="2492"/>
          </w:tcPr>
          <w:p>
            <w:pPr>
              <w:pStyle w:val="null3"/>
            </w:pPr>
            <w:r>
              <w:rPr>
                <w:rFonts w:ascii="仿宋_GB2312" w:hAnsi="仿宋_GB2312" w:cs="仿宋_GB2312" w:eastAsia="仿宋_GB2312"/>
              </w:rPr>
              <w:t>供应商维保服务过程中提供的所有的部件及备品备件均应符合行业标准且能够与原设备配套兼容，具备合法、稳定的备件来源渠道以确保设备维修的及时性和可靠性： ①部件及备品备件全面，供应充足，且证明材料完整、性详细得5分； ②部件及备品备件完善，具有证明材料得3分； ③部件及备品备件基本满足维保要求，得1分； ④未提供不得分。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5：人员配备方案</w:t>
            </w:r>
          </w:p>
        </w:tc>
        <w:tc>
          <w:tcPr>
            <w:tcW w:type="dxa" w:w="2492"/>
          </w:tcPr>
          <w:p>
            <w:pPr>
              <w:pStyle w:val="null3"/>
            </w:pPr>
            <w:r>
              <w:rPr>
                <w:rFonts w:ascii="仿宋_GB2312" w:hAnsi="仿宋_GB2312" w:cs="仿宋_GB2312" w:eastAsia="仿宋_GB2312"/>
              </w:rPr>
              <w:t>供应商有针对本项目的专业服务团队： ①人员配备完善、团队组织结构合理、经验丰富得5分； ②人员配备合理，有一定经验得3分； ③人员配备基本满足项目需求得1分； ④未提供不得分。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6：服务承诺</w:t>
            </w:r>
          </w:p>
        </w:tc>
        <w:tc>
          <w:tcPr>
            <w:tcW w:type="dxa" w:w="2492"/>
          </w:tcPr>
          <w:p>
            <w:pPr>
              <w:pStyle w:val="null3"/>
            </w:pPr>
            <w:r>
              <w:rPr>
                <w:rFonts w:ascii="仿宋_GB2312" w:hAnsi="仿宋_GB2312" w:cs="仿宋_GB2312" w:eastAsia="仿宋_GB2312"/>
              </w:rPr>
              <w:t>供应商根据出现故障响应时间、人员到场时间、故障恢复时效及后续服务，开机率保证等内容： ①内容完整、可实施、且有针对性得5分； ②内容完整、可实施得3分；③方案基本完整得1分； ④未提供不得分。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7：其他增值服务</w:t>
            </w:r>
          </w:p>
        </w:tc>
        <w:tc>
          <w:tcPr>
            <w:tcW w:type="dxa" w:w="2492"/>
          </w:tcPr>
          <w:p>
            <w:pPr>
              <w:pStyle w:val="null3"/>
            </w:pPr>
            <w:r>
              <w:rPr>
                <w:rFonts w:ascii="仿宋_GB2312" w:hAnsi="仿宋_GB2312" w:cs="仿宋_GB2312" w:eastAsia="仿宋_GB2312"/>
              </w:rPr>
              <w:t>供应商根据项目需求提供的其他增值服务： ①内容完整、可实施、且有针对性得5分； ②内容完整、可实施得3分； ③方案基本完整得1分； ④未提供不得分。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供应商2021年1月1日至投标截止之日（以合同签订时间为准）承担过本次维保产品品牌CT设备的维保业绩，每提供一份得2分，最高得10分。提供合同复印件，未提供不得分。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满足采购文件要求且最终响应报价最低的报价为评审基准价，其价格分为满分。其他供应商的价格分统一按照下列公式计算：响应报价得分=（评标基准价/最终响应报价）×价格分值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详见附件：特定资格要求材料.docx</w:t>
      </w:r>
    </w:p>
    <w:p>
      <w:pPr>
        <w:pStyle w:val="null3"/>
        <w:ind w:firstLine="960"/>
      </w:pPr>
      <w:r>
        <w:rPr>
          <w:rFonts w:ascii="仿宋_GB2312" w:hAnsi="仿宋_GB2312" w:cs="仿宋_GB2312" w:eastAsia="仿宋_GB2312"/>
        </w:rPr>
        <w:t>详见附件：响应保证金支付凭证或担保函.docx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详见附件：服务要求响应偏离表及相关证明资料.docx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