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版本号：SCZD2025-ZB-3550-001R20260302001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308nm准分子紫外光皮肤治疗仪采购项目（二次）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SCZD2025-ZB-3550-001R</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308nm准分子紫外光皮肤治疗仪采购项目（二次）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SCZD2025-ZB-3550-001R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308nm准分子紫外光皮肤治疗仪采购项目（二次）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本项目采购308nm准分子紫外光皮肤治疗仪1台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 5投标产品属于医疗器械管理范围的须提供医疗器械注册证。 6提供盖章的《汉中市政府采购供应商资格承诺函》。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曹文渊、雷鹏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银行账号：103261567834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代理服务费收费标准：参照国家计委关于印发《招标代理服务收费管理暂行办法》的通知（计价格〔2002〕1980号）规定标准下浮20%收取，不足5000元按5000元收取。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本项目采购308nm准分子紫外光皮肤治疗仪1台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308nm准分子紫外光皮肤治疗仪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标的名称：308nm准分子紫外光皮肤治疗仪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、光源：</w:t>
            </w:r>
            <w:r>
              <w:rPr>
                <w:rFonts w:ascii="仿宋_GB2312" w:hAnsi="仿宋_GB2312" w:cs="仿宋_GB2312" w:eastAsia="仿宋_GB2312"/>
                <w:sz w:val="21"/>
              </w:rPr>
              <w:t>XeCI</w:t>
            </w:r>
            <w:r>
              <w:rPr>
                <w:rFonts w:ascii="仿宋_GB2312" w:hAnsi="仿宋_GB2312" w:cs="仿宋_GB2312" w:eastAsia="仿宋_GB2312"/>
                <w:sz w:val="21"/>
              </w:rPr>
              <w:t>准分子灯</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 xml:space="preserve">、波长： </w:t>
            </w:r>
            <w:r>
              <w:rPr>
                <w:rFonts w:ascii="仿宋_GB2312" w:hAnsi="仿宋_GB2312" w:cs="仿宋_GB2312" w:eastAsia="仿宋_GB2312"/>
                <w:sz w:val="21"/>
              </w:rPr>
              <w:t>308±2nm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、最大光能量密度：</w:t>
            </w:r>
            <w:r>
              <w:rPr>
                <w:rFonts w:ascii="仿宋_GB2312" w:hAnsi="仿宋_GB2312" w:cs="仿宋_GB2312" w:eastAsia="仿宋_GB2312"/>
                <w:sz w:val="21"/>
              </w:rPr>
              <w:t>≥4</w:t>
            </w:r>
            <w:r>
              <w:rPr>
                <w:rFonts w:ascii="仿宋_GB2312" w:hAnsi="仿宋_GB2312" w:cs="仿宋_GB2312" w:eastAsia="仿宋_GB2312"/>
                <w:sz w:val="21"/>
              </w:rPr>
              <w:t>300</w:t>
            </w:r>
            <w:r>
              <w:rPr>
                <w:rFonts w:ascii="仿宋_GB2312" w:hAnsi="仿宋_GB2312" w:cs="仿宋_GB2312" w:eastAsia="仿宋_GB2312"/>
                <w:sz w:val="21"/>
              </w:rPr>
              <w:t>mj/cm²</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、额定功率密度：</w:t>
            </w:r>
            <w:r>
              <w:rPr>
                <w:rFonts w:ascii="仿宋_GB2312" w:hAnsi="仿宋_GB2312" w:cs="仿宋_GB2312" w:eastAsia="仿宋_GB2312"/>
                <w:sz w:val="21"/>
              </w:rPr>
              <w:t>≥40mW/cm</w:t>
            </w:r>
            <w:r>
              <w:rPr>
                <w:rFonts w:ascii="仿宋_GB2312" w:hAnsi="仿宋_GB2312" w:cs="仿宋_GB2312" w:eastAsia="仿宋_GB2312"/>
                <w:sz w:val="21"/>
                <w:vertAlign w:val="superscript"/>
              </w:rPr>
              <w:t>2</w:t>
            </w:r>
            <w:r>
              <w:rPr>
                <w:rFonts w:ascii="仿宋_GB2312" w:hAnsi="仿宋_GB2312" w:cs="仿宋_GB2312" w:eastAsia="仿宋_GB2312"/>
                <w:sz w:val="21"/>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、能量不稳定性：</w:t>
            </w:r>
            <w:r>
              <w:rPr>
                <w:rFonts w:ascii="仿宋_GB2312" w:hAnsi="仿宋_GB2312" w:cs="仿宋_GB2312" w:eastAsia="仿宋_GB2312"/>
                <w:sz w:val="21"/>
              </w:rPr>
              <w:t>≤±5%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、能量不均匀性：</w:t>
            </w:r>
            <w:r>
              <w:rPr>
                <w:rFonts w:ascii="仿宋_GB2312" w:hAnsi="仿宋_GB2312" w:cs="仿宋_GB2312" w:eastAsia="仿宋_GB2312"/>
                <w:sz w:val="21"/>
              </w:rPr>
              <w:t>≤±10%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、具备大光斑、圆形、高能聚焦灯罩</w:t>
            </w:r>
            <w:r>
              <w:rPr>
                <w:rFonts w:ascii="仿宋_GB2312" w:hAnsi="仿宋_GB2312" w:cs="仿宋_GB2312" w:eastAsia="仿宋_GB2312"/>
                <w:sz w:val="21"/>
              </w:rPr>
              <w:t>等</w:t>
            </w:r>
            <w:r>
              <w:rPr>
                <w:rFonts w:ascii="仿宋_GB2312" w:hAnsi="仿宋_GB2312" w:cs="仿宋_GB2312" w:eastAsia="仿宋_GB2312"/>
                <w:sz w:val="21"/>
              </w:rPr>
              <w:t>模式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、最大照射面积</w:t>
            </w:r>
            <w:r>
              <w:rPr>
                <w:rFonts w:ascii="仿宋_GB2312" w:hAnsi="仿宋_GB2312" w:cs="仿宋_GB2312" w:eastAsia="仿宋_GB2312"/>
                <w:sz w:val="21"/>
              </w:rPr>
              <w:t>≤25cm²</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具备高能聚焦探头</w:t>
            </w:r>
            <w:r>
              <w:rPr>
                <w:rFonts w:ascii="仿宋_GB2312" w:hAnsi="仿宋_GB2312" w:cs="仿宋_GB2312" w:eastAsia="仿宋_GB2312"/>
                <w:sz w:val="21"/>
              </w:rPr>
              <w:t>，专门针对顽固性</w:t>
            </w:r>
            <w:r>
              <w:rPr>
                <w:rFonts w:ascii="仿宋_GB2312" w:hAnsi="仿宋_GB2312" w:cs="仿宋_GB2312" w:eastAsia="仿宋_GB2312"/>
                <w:sz w:val="21"/>
              </w:rPr>
              <w:t>白</w:t>
            </w:r>
            <w:r>
              <w:rPr>
                <w:rFonts w:ascii="仿宋_GB2312" w:hAnsi="仿宋_GB2312" w:cs="仿宋_GB2312" w:eastAsia="仿宋_GB2312"/>
                <w:sz w:val="21"/>
              </w:rPr>
              <w:t>癜风</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、最长单次照射时间：</w:t>
            </w:r>
            <w:r>
              <w:rPr>
                <w:rFonts w:ascii="仿宋_GB2312" w:hAnsi="仿宋_GB2312" w:cs="仿宋_GB2312" w:eastAsia="仿宋_GB2312"/>
                <w:sz w:val="21"/>
              </w:rPr>
              <w:t>≥80s</w:t>
            </w:r>
            <w:r>
              <w:rPr>
                <w:rFonts w:ascii="仿宋_GB2312" w:hAnsi="仿宋_GB2312" w:cs="仿宋_GB2312" w:eastAsia="仿宋_GB2312"/>
                <w:sz w:val="21"/>
              </w:rPr>
              <w:t>（</w:t>
            </w:r>
            <w:r>
              <w:rPr>
                <w:rFonts w:ascii="仿宋_GB2312" w:hAnsi="仿宋_GB2312" w:cs="仿宋_GB2312" w:eastAsia="仿宋_GB2312"/>
                <w:sz w:val="21"/>
              </w:rPr>
              <w:t>可调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、具备内循环水冷却</w:t>
            </w:r>
            <w:r>
              <w:rPr>
                <w:rFonts w:ascii="仿宋_GB2312" w:hAnsi="仿宋_GB2312" w:cs="仿宋_GB2312" w:eastAsia="仿宋_GB2312"/>
                <w:sz w:val="21"/>
              </w:rPr>
              <w:t>系统</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、具备智能操作平台</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、具有</w:t>
            </w:r>
            <w:r>
              <w:rPr>
                <w:rFonts w:ascii="仿宋_GB2312" w:hAnsi="仿宋_GB2312" w:cs="仿宋_GB2312" w:eastAsia="仿宋_GB2312"/>
                <w:sz w:val="21"/>
              </w:rPr>
              <w:t>多重报警提示</w:t>
            </w:r>
            <w:r>
              <w:rPr>
                <w:rFonts w:ascii="仿宋_GB2312" w:hAnsi="仿宋_GB2312" w:cs="仿宋_GB2312" w:eastAsia="仿宋_GB2312"/>
                <w:sz w:val="21"/>
              </w:rPr>
              <w:t>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、使用年限：</w:t>
            </w:r>
            <w:r>
              <w:rPr>
                <w:rFonts w:ascii="仿宋_GB2312" w:hAnsi="仿宋_GB2312" w:cs="仿宋_GB2312" w:eastAsia="仿宋_GB2312"/>
                <w:sz w:val="21"/>
              </w:rPr>
              <w:t>≥8</w:t>
            </w:r>
            <w:r>
              <w:rPr>
                <w:rFonts w:ascii="仿宋_GB2312" w:hAnsi="仿宋_GB2312" w:cs="仿宋_GB2312" w:eastAsia="仿宋_GB2312"/>
                <w:sz w:val="21"/>
              </w:rPr>
              <w:t>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全部安装、调试完成，初步验收合格交付使用后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一年后最终验收完成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交付使用后整机质保3年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6.汉中市政府采购供应商资格承诺函.docx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6.汉中市政府采购供应商资格承诺函.docx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 5投标产品属于医疗器械管理范围的须提供医疗器械注册证。 6提供盖章的《汉中市政府采购供应商资格承诺函》。</w:t>
            </w:r>
          </w:p>
        </w:tc>
        <w:tc>
          <w:tcPr>
            <w:tcW w:type="dxa" w:w="1661"/>
          </w:tcPr>
          <w:p>
            <w:pPr>
              <w:pStyle w:val="null3"/>
            </w:pPr>
            <w:r>
              <w:rPr>
                <w:rFonts w:ascii="仿宋_GB2312" w:hAnsi="仿宋_GB2312" w:cs="仿宋_GB2312" w:eastAsia="仿宋_GB2312"/>
              </w:rPr>
              <w:t>6.汉中市政府采购供应商资格承诺函.docx 7.特定资格证明文件.docx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10.投标分项报价表.docx 14.技术证明材料.docx 开标一览表 12.商务条款偏离表.docx 15.投标方案或技术方案.docx 中小企业声明函 6.汉中市政府采购供应商资格承诺函.docx 16.业绩一览表.docx 13.技术偏离表.docx 11.投标保证金支付凭证或保函.docx 7.特定资格证明文件.docx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10.投标分项报价表.docx 12.商务条款偏离表.docx 13.技术偏离表.docx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10.投标分项报价表.docx 14.技术证明材料.docx 开标一览表 12.商务条款偏离表.docx 15.投标方案或技术方案.docx 中小企业声明函 6.汉中市政府采购供应商资格承诺函.docx 16.业绩一览表.docx 13.技术偏离表.docx 11.投标保证金支付凭证或保函.docx 7.特定资格证明文件.docx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10.投标分项报价表.docx 14.技术证明材料.docx 开标一览表 12.商务条款偏离表.docx 15.投标方案或技术方案.docx 中小企业声明函 6.汉中市政府采购供应商资格承诺函.docx 16.业绩一览表.docx 13.技术偏离表.docx 11.投标保证金支付凭证或保函.docx 7.特定资格证明文件.docx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一、节能、环境标志产品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1、所投产品属于节能产品得1分； 评审依据：所投产品具有国家确定的认证机构出具的、处于有效期之内的节能产品认证证书（提供证书扫描件）。 2、所投产品属于环境标志产品得1分；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10.投标分项报价表.docx</w:t>
            </w:r>
          </w:p>
        </w:tc>
      </w:tr>
      <w:tr>
        <w:tc>
          <w:tcPr>
            <w:tcW w:type="dxa" w:w="831"/>
            <w:vMerge/>
          </w:tcPr>
          <w:p/>
        </w:tc>
        <w:tc>
          <w:tcPr>
            <w:tcW w:type="dxa" w:w="1661"/>
          </w:tcPr>
          <w:p>
            <w:pPr>
              <w:pStyle w:val="null3"/>
            </w:pPr>
            <w:r>
              <w:rPr>
                <w:rFonts w:ascii="仿宋_GB2312" w:hAnsi="仿宋_GB2312" w:cs="仿宋_GB2312" w:eastAsia="仿宋_GB2312"/>
              </w:rPr>
              <w:t>二、投标产品技术指标评审内容</w:t>
            </w:r>
          </w:p>
        </w:tc>
        <w:tc>
          <w:tcPr>
            <w:tcW w:type="dxa" w:w="2492"/>
          </w:tcPr>
          <w:p>
            <w:pPr>
              <w:pStyle w:val="null3"/>
            </w:pPr>
            <w:r>
              <w:rPr>
                <w:rFonts w:ascii="仿宋_GB2312" w:hAnsi="仿宋_GB2312" w:cs="仿宋_GB2312" w:eastAsia="仿宋_GB2312"/>
              </w:rPr>
              <w:t>投标产品的技术指标评审：完全响应得31分。“▲”号技术参数一项不满足扣5分，非“▲”号技术指标参数一项不满足扣2分，扣完为止。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三、投标产品的可靠性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13.技术偏离表.docx</w:t>
            </w:r>
          </w:p>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1、供货方案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2、安装调试方案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3、技术支持方案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4、验收方案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提供2023年1月1日至投标截止时间（以合同签订时间为准）所投产品品牌同类产品业绩，每提供一个业绩得2分，满分8分。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（小微企业、监狱企业或残疾人福利性单位用投标报价扣除后的价格参加评审。专门面向中小企业采购的项目不进行价格扣除。） （供应商对其提供的产品出具《关于符合本国产品标准的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10.投标分项报价表.docx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10.投标分项报价表.docx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详见附件：6.汉中市政府采购供应商资格承诺函.docx</w:t>
      </w:r>
    </w:p>
    <w:p>
      <w:pPr>
        <w:pStyle w:val="null3"/>
        <w:ind w:firstLine="960"/>
      </w:pPr>
      <w:r>
        <w:rPr>
          <w:rFonts w:ascii="仿宋_GB2312" w:hAnsi="仿宋_GB2312" w:cs="仿宋_GB2312" w:eastAsia="仿宋_GB2312"/>
        </w:rPr>
        <w:t>详见附件：7.特定资格证明文件.docx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详见附件：10.投标分项报价表.docx</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