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版本号：TZZB-HZ-2026039C20260330001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便携式麻醉超声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TZZB-HZ-2026039C</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便携式麻醉超声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TZZB-HZ-2026039C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便携式麻醉超声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便携式麻醉超声采购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投标人应授权合法的人员参加招标全过程：法定代表人直接参加招标的，须出具法人身份证（附法定代表人身份证复印件）；法定代表人授权代表参加招标的，须出具法定代表人授权书及授权代表身份证（附法定代表人身份证复印件及被授权人身份证复印件）。</w:t>
      </w:r>
    </w:p>
    <w:p>
      <w:pPr>
        <w:pStyle w:val="null3"/>
      </w:pPr>
      <w:r>
        <w:rPr>
          <w:rFonts w:ascii="仿宋_GB2312" w:hAnsi="仿宋_GB2312" w:cs="仿宋_GB2312" w:eastAsia="仿宋_GB2312"/>
        </w:rPr>
        <w:t>3、投标人资格要求：投标人须提供《汉中市政府采购供应商资格承诺函》。</w:t>
      </w:r>
    </w:p>
    <w:p>
      <w:pPr>
        <w:pStyle w:val="null3"/>
      </w:pPr>
      <w:r>
        <w:rPr>
          <w:rFonts w:ascii="仿宋_GB2312" w:hAnsi="仿宋_GB2312" w:cs="仿宋_GB2312" w:eastAsia="仿宋_GB2312"/>
        </w:rPr>
        <w:t>4、投标人医疗类资质要求：①投标人为经销商的应提供《医疗器械经营许可证》或《医疗器械经营备案凭证》（投标产品须在其经营范围内）和制造商的《医疗器械生产许可证》或《医疗器械生产备案凭证》（投标产品须在其生产范围内）；②投标人为制造商的应提供《医疗器械经营许可证》或《医疗器械经营备案凭证》（投标产品须在其经营范围内）和《医疗器械生产许可证》（投标产品须在其生产范围内）；③投标产品属于医疗器械管理的提供《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中市汉台区西一环路蓝天御苑小区商铺二层门面房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2、由甲方和乙方共同对项目进行整体验收，甲方对验收是否合格进行确认。其内容包括是否按照甲方要求进行服务、是否在规定时间内服务完毕。 3、验收依据包含但不限于：本项目采购文件、投标文件；本合同及附件文本；合同履行时国家及行业现行的标准和技术规范。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 中市汉台区西一环路蓝天御苑小区商铺二层门面房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便携式麻醉超声采购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便携式麻醉超声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标的名称：便携式麻醉超声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便携式麻醉超声</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采购</w:t>
            </w:r>
            <w:r>
              <w:rPr>
                <w:rFonts w:ascii="仿宋_GB2312" w:hAnsi="仿宋_GB2312" w:cs="仿宋_GB2312" w:eastAsia="仿宋_GB2312"/>
                <w:sz w:val="21"/>
                <w:b/>
                <w:color w:val="000000"/>
              </w:rPr>
              <w:t>1套）</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整体要求</w:t>
            </w:r>
          </w:p>
          <w:p>
            <w:pPr>
              <w:pStyle w:val="null3"/>
              <w:jc w:val="left"/>
            </w:pPr>
            <w:r>
              <w:rPr>
                <w:rFonts w:ascii="仿宋_GB2312" w:hAnsi="仿宋_GB2312" w:cs="仿宋_GB2312" w:eastAsia="仿宋_GB2312"/>
                <w:sz w:val="21"/>
                <w:color w:val="000000"/>
              </w:rPr>
              <w:t>1.1、用途</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用于</w:t>
            </w:r>
            <w:r>
              <w:rPr>
                <w:rFonts w:ascii="仿宋_GB2312" w:hAnsi="仿宋_GB2312" w:cs="仿宋_GB2312" w:eastAsia="仿宋_GB2312"/>
                <w:sz w:val="21"/>
                <w:color w:val="000000"/>
              </w:rPr>
              <w:t>神经、肌骨和</w:t>
            </w:r>
            <w:r>
              <w:rPr>
                <w:rFonts w:ascii="仿宋_GB2312" w:hAnsi="仿宋_GB2312" w:cs="仿宋_GB2312" w:eastAsia="仿宋_GB2312"/>
                <w:sz w:val="21"/>
                <w:color w:val="000000"/>
              </w:rPr>
              <w:t>急危重症病人的评估、</w:t>
            </w:r>
            <w:r>
              <w:rPr>
                <w:rFonts w:ascii="仿宋_GB2312" w:hAnsi="仿宋_GB2312" w:cs="仿宋_GB2312" w:eastAsia="仿宋_GB2312"/>
                <w:sz w:val="21"/>
                <w:color w:val="000000"/>
              </w:rPr>
              <w:t>诊断和治疗引导</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用于</w:t>
            </w:r>
            <w:r>
              <w:rPr>
                <w:rFonts w:ascii="仿宋_GB2312" w:hAnsi="仿宋_GB2312" w:cs="仿宋_GB2312" w:eastAsia="仿宋_GB2312"/>
                <w:sz w:val="21"/>
                <w:color w:val="000000"/>
              </w:rPr>
              <w:t>腹部</w:t>
            </w:r>
            <w:r>
              <w:rPr>
                <w:rFonts w:ascii="仿宋_GB2312" w:hAnsi="仿宋_GB2312" w:cs="仿宋_GB2312" w:eastAsia="仿宋_GB2312"/>
                <w:sz w:val="21"/>
                <w:color w:val="000000"/>
              </w:rPr>
              <w:t>、血管、小器官、妇科、产科等部位疾病的诊断</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用于</w:t>
            </w:r>
            <w:r>
              <w:rPr>
                <w:rFonts w:ascii="仿宋_GB2312" w:hAnsi="仿宋_GB2312" w:cs="仿宋_GB2312" w:eastAsia="仿宋_GB2312"/>
                <w:sz w:val="21"/>
                <w:color w:val="000000"/>
              </w:rPr>
              <w:t>介入</w:t>
            </w:r>
            <w:r>
              <w:rPr>
                <w:rFonts w:ascii="仿宋_GB2312" w:hAnsi="仿宋_GB2312" w:cs="仿宋_GB2312" w:eastAsia="仿宋_GB2312"/>
                <w:sz w:val="21"/>
                <w:color w:val="000000"/>
              </w:rPr>
              <w:t>操作的可视化引导，血管通路搭建，神经阻滞可视化引导，围术期超声等</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1.2、针对不同的检查脏器</w:t>
            </w:r>
            <w:r>
              <w:rPr>
                <w:rFonts w:ascii="仿宋_GB2312" w:hAnsi="仿宋_GB2312" w:cs="仿宋_GB2312" w:eastAsia="仿宋_GB2312"/>
                <w:sz w:val="21"/>
                <w:color w:val="000000"/>
              </w:rPr>
              <w:t>能预置</w:t>
            </w:r>
            <w:r>
              <w:rPr>
                <w:rFonts w:ascii="仿宋_GB2312" w:hAnsi="仿宋_GB2312" w:cs="仿宋_GB2312" w:eastAsia="仿宋_GB2312"/>
                <w:sz w:val="21"/>
                <w:color w:val="000000"/>
              </w:rPr>
              <w:t>最佳的图像检查条件。</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≥15英寸</w:t>
            </w:r>
            <w:r>
              <w:rPr>
                <w:rFonts w:ascii="仿宋_GB2312" w:hAnsi="仿宋_GB2312" w:cs="仿宋_GB2312" w:eastAsia="仿宋_GB2312"/>
                <w:sz w:val="21"/>
                <w:color w:val="000000"/>
              </w:rPr>
              <w:t>高分辨率彩色液晶显示，屏幕亮度和对比度数字可调。</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中文</w:t>
            </w:r>
            <w:r>
              <w:rPr>
                <w:rFonts w:ascii="仿宋_GB2312" w:hAnsi="仿宋_GB2312" w:cs="仿宋_GB2312" w:eastAsia="仿宋_GB2312"/>
                <w:sz w:val="21"/>
                <w:color w:val="000000"/>
              </w:rPr>
              <w:t>操作界面。</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储存</w:t>
            </w:r>
            <w:r>
              <w:rPr>
                <w:rFonts w:ascii="仿宋_GB2312" w:hAnsi="仿宋_GB2312" w:cs="仿宋_GB2312" w:eastAsia="仿宋_GB2312"/>
                <w:sz w:val="21"/>
                <w:color w:val="000000"/>
              </w:rPr>
              <w:t>卡、可外接大容量存储设备等</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w:t>
            </w:r>
            <w:r>
              <w:rPr>
                <w:rFonts w:ascii="仿宋_GB2312" w:hAnsi="仿宋_GB2312" w:cs="仿宋_GB2312" w:eastAsia="仿宋_GB2312"/>
                <w:sz w:val="21"/>
                <w:color w:val="000000"/>
              </w:rPr>
              <w:t>超声图像静态</w:t>
            </w:r>
            <w:r>
              <w:rPr>
                <w:rFonts w:ascii="仿宋_GB2312" w:hAnsi="仿宋_GB2312" w:cs="仿宋_GB2312" w:eastAsia="仿宋_GB2312"/>
                <w:sz w:val="21"/>
                <w:color w:val="000000"/>
              </w:rPr>
              <w:t>、</w:t>
            </w:r>
            <w:r>
              <w:rPr>
                <w:rFonts w:ascii="仿宋_GB2312" w:hAnsi="仿宋_GB2312" w:cs="仿宋_GB2312" w:eastAsia="仿宋_GB2312"/>
                <w:sz w:val="21"/>
                <w:color w:val="000000"/>
              </w:rPr>
              <w:t>动态原始数据</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回放</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1.6、内置锂电池</w:t>
            </w:r>
            <w:r>
              <w:rPr>
                <w:rFonts w:ascii="仿宋_GB2312" w:hAnsi="仿宋_GB2312" w:cs="仿宋_GB2312" w:eastAsia="仿宋_GB2312"/>
                <w:sz w:val="21"/>
                <w:color w:val="000000"/>
              </w:rPr>
              <w:t>的</w:t>
            </w:r>
            <w:r>
              <w:rPr>
                <w:rFonts w:ascii="仿宋_GB2312" w:hAnsi="仿宋_GB2312" w:cs="仿宋_GB2312" w:eastAsia="仿宋_GB2312"/>
                <w:sz w:val="21"/>
                <w:color w:val="000000"/>
              </w:rPr>
              <w:t>续航能力</w:t>
            </w:r>
            <w:r>
              <w:rPr>
                <w:rFonts w:ascii="仿宋_GB2312" w:hAnsi="仿宋_GB2312" w:cs="仿宋_GB2312" w:eastAsia="仿宋_GB2312"/>
                <w:sz w:val="21"/>
                <w:color w:val="000000"/>
              </w:rPr>
              <w:t>≥2小时。</w:t>
            </w:r>
          </w:p>
          <w:p>
            <w:pPr>
              <w:pStyle w:val="null3"/>
              <w:jc w:val="both"/>
            </w:pPr>
            <w:r>
              <w:rPr>
                <w:rFonts w:ascii="仿宋_GB2312" w:hAnsi="仿宋_GB2312" w:cs="仿宋_GB2312" w:eastAsia="仿宋_GB2312"/>
                <w:sz w:val="21"/>
                <w:b/>
                <w:color w:val="000000"/>
              </w:rPr>
              <w:t>2、探头配置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2.1、</w:t>
            </w:r>
            <w:r>
              <w:rPr>
                <w:rFonts w:ascii="仿宋_GB2312" w:hAnsi="仿宋_GB2312" w:cs="仿宋_GB2312" w:eastAsia="仿宋_GB2312"/>
                <w:sz w:val="21"/>
                <w:color w:val="000000"/>
              </w:rPr>
              <w:t>高频线</w:t>
            </w:r>
            <w:r>
              <w:rPr>
                <w:rFonts w:ascii="仿宋_GB2312" w:hAnsi="仿宋_GB2312" w:cs="仿宋_GB2312" w:eastAsia="仿宋_GB2312"/>
                <w:sz w:val="21"/>
                <w:color w:val="000000"/>
              </w:rPr>
              <w:t>阵</w:t>
            </w:r>
            <w:r>
              <w:rPr>
                <w:rFonts w:ascii="仿宋_GB2312" w:hAnsi="仿宋_GB2312" w:cs="仿宋_GB2312" w:eastAsia="仿宋_GB2312"/>
                <w:sz w:val="21"/>
                <w:color w:val="000000"/>
              </w:rPr>
              <w:t>探头：</w:t>
            </w:r>
            <w:r>
              <w:rPr>
                <w:rFonts w:ascii="仿宋_GB2312" w:hAnsi="仿宋_GB2312" w:cs="仿宋_GB2312" w:eastAsia="仿宋_GB2312"/>
                <w:sz w:val="21"/>
                <w:color w:val="000000"/>
              </w:rPr>
              <w:t>最高</w:t>
            </w:r>
            <w:r>
              <w:rPr>
                <w:rFonts w:ascii="仿宋_GB2312" w:hAnsi="仿宋_GB2312" w:cs="仿宋_GB2312" w:eastAsia="仿宋_GB2312"/>
                <w:sz w:val="21"/>
                <w:color w:val="000000"/>
              </w:rPr>
              <w:t>频</w:t>
            </w:r>
            <w:r>
              <w:rPr>
                <w:rFonts w:ascii="仿宋_GB2312" w:hAnsi="仿宋_GB2312" w:cs="仿宋_GB2312" w:eastAsia="仿宋_GB2312"/>
                <w:sz w:val="21"/>
                <w:color w:val="000000"/>
              </w:rPr>
              <w:t>≥11</w:t>
            </w:r>
            <w:r>
              <w:rPr>
                <w:rFonts w:ascii="仿宋_GB2312" w:hAnsi="仿宋_GB2312" w:cs="仿宋_GB2312" w:eastAsia="仿宋_GB2312"/>
                <w:sz w:val="21"/>
                <w:color w:val="000000"/>
              </w:rPr>
              <w:t>MHz，主要用于神经</w:t>
            </w:r>
            <w:r>
              <w:rPr>
                <w:rFonts w:ascii="仿宋_GB2312" w:hAnsi="仿宋_GB2312" w:cs="仿宋_GB2312" w:eastAsia="仿宋_GB2312"/>
                <w:sz w:val="21"/>
                <w:color w:val="000000"/>
              </w:rPr>
              <w:t>定位及</w:t>
            </w:r>
            <w:r>
              <w:rPr>
                <w:rFonts w:ascii="仿宋_GB2312" w:hAnsi="仿宋_GB2312" w:cs="仿宋_GB2312" w:eastAsia="仿宋_GB2312"/>
                <w:sz w:val="21"/>
                <w:color w:val="000000"/>
              </w:rPr>
              <w:t>阻滞、浅表血管穿刺</w:t>
            </w:r>
            <w:r>
              <w:rPr>
                <w:rFonts w:ascii="仿宋_GB2312" w:hAnsi="仿宋_GB2312" w:cs="仿宋_GB2312" w:eastAsia="仿宋_GB2312"/>
                <w:sz w:val="21"/>
                <w:color w:val="000000"/>
              </w:rPr>
              <w:t>、小器官、肺部等。</w:t>
            </w:r>
            <w:r>
              <w:rPr>
                <w:rFonts w:ascii="仿宋_GB2312" w:hAnsi="仿宋_GB2312" w:cs="仿宋_GB2312" w:eastAsia="仿宋_GB2312"/>
                <w:sz w:val="21"/>
                <w:color w:val="000000"/>
              </w:rPr>
              <w:t>阵元数</w:t>
            </w:r>
            <w:r>
              <w:rPr>
                <w:rFonts w:ascii="仿宋_GB2312" w:hAnsi="仿宋_GB2312" w:cs="仿宋_GB2312" w:eastAsia="仿宋_GB2312"/>
                <w:sz w:val="21"/>
                <w:color w:val="000000"/>
              </w:rPr>
              <w:t>≥</w:t>
            </w:r>
            <w:r>
              <w:rPr>
                <w:rFonts w:ascii="仿宋_GB2312" w:hAnsi="仿宋_GB2312" w:cs="仿宋_GB2312" w:eastAsia="仿宋_GB2312"/>
                <w:sz w:val="21"/>
                <w:color w:val="000000"/>
              </w:rPr>
              <w:t>192</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凸阵探头：频率范围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-5MHz，用于腹部、肺部</w:t>
            </w:r>
            <w:r>
              <w:rPr>
                <w:rFonts w:ascii="仿宋_GB2312" w:hAnsi="仿宋_GB2312" w:cs="仿宋_GB2312" w:eastAsia="仿宋_GB2312"/>
                <w:sz w:val="21"/>
                <w:color w:val="000000"/>
              </w:rPr>
              <w:t>、椎管</w:t>
            </w:r>
            <w:r>
              <w:rPr>
                <w:rFonts w:ascii="仿宋_GB2312" w:hAnsi="仿宋_GB2312" w:cs="仿宋_GB2312" w:eastAsia="仿宋_GB2312"/>
                <w:sz w:val="21"/>
                <w:color w:val="000000"/>
              </w:rPr>
              <w:t>及深部结构扫描</w:t>
            </w:r>
            <w:r>
              <w:rPr>
                <w:rFonts w:ascii="仿宋_GB2312" w:hAnsi="仿宋_GB2312" w:cs="仿宋_GB2312" w:eastAsia="仿宋_GB2312"/>
                <w:sz w:val="21"/>
                <w:color w:val="000000"/>
              </w:rPr>
              <w:t>。</w:t>
            </w:r>
            <w:r>
              <w:rPr>
                <w:rFonts w:ascii="仿宋_GB2312" w:hAnsi="仿宋_GB2312" w:cs="仿宋_GB2312" w:eastAsia="仿宋_GB2312"/>
                <w:sz w:val="21"/>
                <w:color w:val="000000"/>
              </w:rPr>
              <w:t>阵元数</w:t>
            </w:r>
            <w:r>
              <w:rPr>
                <w:rFonts w:ascii="仿宋_GB2312" w:hAnsi="仿宋_GB2312" w:cs="仿宋_GB2312" w:eastAsia="仿宋_GB2312"/>
                <w:sz w:val="21"/>
                <w:color w:val="000000"/>
              </w:rPr>
              <w:t>≥</w:t>
            </w:r>
            <w:r>
              <w:rPr>
                <w:rFonts w:ascii="仿宋_GB2312" w:hAnsi="仿宋_GB2312" w:cs="仿宋_GB2312" w:eastAsia="仿宋_GB2312"/>
                <w:sz w:val="21"/>
                <w:color w:val="000000"/>
              </w:rPr>
              <w:t>128</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所有探头</w:t>
            </w:r>
            <w:r>
              <w:rPr>
                <w:rFonts w:ascii="仿宋_GB2312" w:hAnsi="仿宋_GB2312" w:cs="仿宋_GB2312" w:eastAsia="仿宋_GB2312"/>
                <w:sz w:val="21"/>
                <w:color w:val="000000"/>
              </w:rPr>
              <w:t>具</w:t>
            </w:r>
            <w:r>
              <w:rPr>
                <w:rFonts w:ascii="仿宋_GB2312" w:hAnsi="仿宋_GB2312" w:cs="仿宋_GB2312" w:eastAsia="仿宋_GB2312"/>
                <w:sz w:val="21"/>
                <w:color w:val="000000"/>
              </w:rPr>
              <w:t>防尘</w:t>
            </w:r>
            <w:r>
              <w:rPr>
                <w:rFonts w:ascii="仿宋_GB2312" w:hAnsi="仿宋_GB2312" w:cs="仿宋_GB2312" w:eastAsia="仿宋_GB2312"/>
                <w:sz w:val="21"/>
                <w:color w:val="000000"/>
              </w:rPr>
              <w:t>、防水功能</w:t>
            </w:r>
            <w:r>
              <w:rPr>
                <w:rFonts w:ascii="仿宋_GB2312" w:hAnsi="仿宋_GB2312" w:cs="仿宋_GB2312" w:eastAsia="仿宋_GB2312"/>
                <w:sz w:val="21"/>
                <w:color w:val="000000"/>
              </w:rPr>
              <w:t>，支持日常擦拭清洁。</w:t>
            </w:r>
            <w:r>
              <w:rPr>
                <w:rFonts w:ascii="仿宋_GB2312" w:hAnsi="仿宋_GB2312" w:cs="仿宋_GB2312" w:eastAsia="仿宋_GB2312"/>
                <w:sz w:val="21"/>
                <w:color w:val="000000"/>
              </w:rPr>
              <w:t>支持无菌套罩隔离使用。</w:t>
            </w:r>
          </w:p>
          <w:p>
            <w:pPr>
              <w:pStyle w:val="null3"/>
              <w:jc w:val="both"/>
            </w:pPr>
            <w:r>
              <w:rPr>
                <w:rFonts w:ascii="仿宋_GB2312" w:hAnsi="仿宋_GB2312" w:cs="仿宋_GB2312" w:eastAsia="仿宋_GB2312"/>
                <w:sz w:val="21"/>
                <w:b/>
                <w:color w:val="000000"/>
              </w:rPr>
              <w:t>3、成像技术</w:t>
            </w:r>
          </w:p>
          <w:p>
            <w:pPr>
              <w:pStyle w:val="null3"/>
              <w:jc w:val="both"/>
            </w:pPr>
            <w:r>
              <w:rPr>
                <w:rFonts w:ascii="仿宋_GB2312" w:hAnsi="仿宋_GB2312" w:cs="仿宋_GB2312" w:eastAsia="仿宋_GB2312"/>
                <w:sz w:val="21"/>
                <w:color w:val="000000"/>
              </w:rPr>
              <w:t>3.1、具有</w:t>
            </w:r>
            <w:r>
              <w:rPr>
                <w:rFonts w:ascii="仿宋_GB2312" w:hAnsi="仿宋_GB2312" w:cs="仿宋_GB2312" w:eastAsia="仿宋_GB2312"/>
                <w:sz w:val="21"/>
                <w:color w:val="000000"/>
              </w:rPr>
              <w:t>空间复合</w:t>
            </w:r>
            <w:r>
              <w:rPr>
                <w:rFonts w:ascii="仿宋_GB2312" w:hAnsi="仿宋_GB2312" w:cs="仿宋_GB2312" w:eastAsia="仿宋_GB2312"/>
                <w:sz w:val="21"/>
                <w:color w:val="000000"/>
              </w:rPr>
              <w:t>成像</w:t>
            </w:r>
            <w:r>
              <w:rPr>
                <w:rFonts w:ascii="仿宋_GB2312" w:hAnsi="仿宋_GB2312" w:cs="仿宋_GB2312" w:eastAsia="仿宋_GB2312"/>
                <w:sz w:val="21"/>
                <w:color w:val="000000"/>
              </w:rPr>
              <w:t>技术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3.2、具有</w:t>
            </w:r>
            <w:r>
              <w:rPr>
                <w:rFonts w:ascii="仿宋_GB2312" w:hAnsi="仿宋_GB2312" w:cs="仿宋_GB2312" w:eastAsia="仿宋_GB2312"/>
                <w:sz w:val="21"/>
                <w:color w:val="000000"/>
              </w:rPr>
              <w:t>斑点噪声抑制功能。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3.3、</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针尖增强或穿刺</w:t>
            </w:r>
            <w:r>
              <w:rPr>
                <w:rFonts w:ascii="仿宋_GB2312" w:hAnsi="仿宋_GB2312" w:cs="仿宋_GB2312" w:eastAsia="仿宋_GB2312"/>
                <w:sz w:val="21"/>
                <w:color w:val="000000"/>
              </w:rPr>
              <w:t>（普通穿刺针）</w:t>
            </w:r>
            <w:r>
              <w:rPr>
                <w:rFonts w:ascii="仿宋_GB2312" w:hAnsi="仿宋_GB2312" w:cs="仿宋_GB2312" w:eastAsia="仿宋_GB2312"/>
                <w:sz w:val="21"/>
                <w:color w:val="000000"/>
              </w:rPr>
              <w:t>引导功能</w:t>
            </w:r>
            <w:r>
              <w:rPr>
                <w:rFonts w:ascii="仿宋_GB2312" w:hAnsi="仿宋_GB2312" w:cs="仿宋_GB2312" w:eastAsia="仿宋_GB2312"/>
                <w:sz w:val="21"/>
                <w:color w:val="000000"/>
              </w:rPr>
              <w:t>，或</w:t>
            </w:r>
            <w:r>
              <w:rPr>
                <w:rFonts w:ascii="仿宋_GB2312" w:hAnsi="仿宋_GB2312" w:cs="仿宋_GB2312" w:eastAsia="仿宋_GB2312"/>
                <w:sz w:val="21"/>
                <w:color w:val="000000"/>
              </w:rPr>
              <w:t>高清晰针体识别技术</w:t>
            </w:r>
            <w:r>
              <w:rPr>
                <w:rFonts w:ascii="仿宋_GB2312" w:hAnsi="仿宋_GB2312" w:cs="仿宋_GB2312" w:eastAsia="仿宋_GB2312"/>
                <w:sz w:val="21"/>
                <w:color w:val="000000"/>
              </w:rPr>
              <w:t>或</w:t>
            </w:r>
            <w:r>
              <w:rPr>
                <w:rFonts w:ascii="仿宋_GB2312" w:hAnsi="仿宋_GB2312" w:cs="仿宋_GB2312" w:eastAsia="仿宋_GB2312"/>
                <w:sz w:val="21"/>
                <w:color w:val="000000"/>
              </w:rPr>
              <w:t>具备穿刺导航技术，可实时自适应地显示平面内和平面外穿刺针和针尖。</w:t>
            </w:r>
          </w:p>
          <w:p>
            <w:pPr>
              <w:pStyle w:val="null3"/>
              <w:jc w:val="both"/>
            </w:pPr>
            <w:r>
              <w:rPr>
                <w:rFonts w:ascii="仿宋_GB2312" w:hAnsi="仿宋_GB2312" w:cs="仿宋_GB2312" w:eastAsia="仿宋_GB2312"/>
                <w:sz w:val="21"/>
                <w:color w:val="000000"/>
              </w:rPr>
              <w:t>3.4、</w:t>
            </w:r>
            <w:r>
              <w:rPr>
                <w:rFonts w:ascii="仿宋_GB2312" w:hAnsi="仿宋_GB2312" w:cs="仿宋_GB2312" w:eastAsia="仿宋_GB2312"/>
                <w:sz w:val="21"/>
                <w:color w:val="000000"/>
              </w:rPr>
              <w:t>彩色多普勒成像模式取样框可根据血流方向自动调整。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3.5、</w:t>
            </w:r>
            <w:r>
              <w:rPr>
                <w:rFonts w:ascii="仿宋_GB2312" w:hAnsi="仿宋_GB2312" w:cs="仿宋_GB2312" w:eastAsia="仿宋_GB2312"/>
                <w:sz w:val="21"/>
                <w:color w:val="000000"/>
              </w:rPr>
              <w:t>能根据</w:t>
            </w:r>
            <w:r>
              <w:rPr>
                <w:rFonts w:ascii="仿宋_GB2312" w:hAnsi="仿宋_GB2312" w:cs="仿宋_GB2312" w:eastAsia="仿宋_GB2312"/>
                <w:sz w:val="21"/>
                <w:color w:val="000000"/>
              </w:rPr>
              <w:t>正在检查的组织中实际超声信号，自动调整二维、彩色和频谱多普勒参数，操作者能在瞬间得到优化的</w:t>
            </w:r>
            <w:r>
              <w:rPr>
                <w:rFonts w:ascii="仿宋_GB2312" w:hAnsi="仿宋_GB2312" w:cs="仿宋_GB2312" w:eastAsia="仿宋_GB2312"/>
                <w:sz w:val="21"/>
                <w:color w:val="000000"/>
              </w:rPr>
              <w:t>B模式、彩色模式和频谱多普勒图像的自动优化功能。</w:t>
            </w:r>
          </w:p>
          <w:p>
            <w:pPr>
              <w:pStyle w:val="null3"/>
              <w:jc w:val="both"/>
            </w:pPr>
            <w:r>
              <w:rPr>
                <w:rFonts w:ascii="仿宋_GB2312" w:hAnsi="仿宋_GB2312" w:cs="仿宋_GB2312" w:eastAsia="仿宋_GB2312"/>
                <w:sz w:val="21"/>
                <w:color w:val="000000"/>
              </w:rPr>
              <w:t>3.6以上功能均</w:t>
            </w:r>
            <w:r>
              <w:rPr>
                <w:rFonts w:ascii="仿宋_GB2312" w:hAnsi="仿宋_GB2312" w:cs="仿宋_GB2312" w:eastAsia="仿宋_GB2312"/>
                <w:sz w:val="21"/>
                <w:color w:val="000000"/>
              </w:rPr>
              <w:t>支持高频线阵探头和凸阵探头</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4、测量与分析</w:t>
            </w:r>
          </w:p>
          <w:p>
            <w:pPr>
              <w:pStyle w:val="null3"/>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具备常规距离、面积、周长测量功能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4.2、</w:t>
            </w:r>
            <w:r>
              <w:rPr>
                <w:rFonts w:ascii="仿宋_GB2312" w:hAnsi="仿宋_GB2312" w:cs="仿宋_GB2312" w:eastAsia="仿宋_GB2312"/>
                <w:sz w:val="21"/>
                <w:color w:val="000000"/>
              </w:rPr>
              <w:t>具备多普勒及相关测量、计算功能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4.3、</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测量分析及软件包</w:t>
            </w:r>
            <w:r>
              <w:rPr>
                <w:rFonts w:ascii="仿宋_GB2312" w:hAnsi="仿宋_GB2312" w:cs="仿宋_GB2312" w:eastAsia="仿宋_GB2312"/>
                <w:sz w:val="21"/>
                <w:color w:val="000000"/>
              </w:rPr>
              <w:t>，包括心脏、产科、肌骨、神经、小儿、泌尿、肾脏、小器官、腹部、</w:t>
            </w:r>
            <w:r>
              <w:rPr>
                <w:rFonts w:ascii="仿宋_GB2312" w:hAnsi="仿宋_GB2312" w:cs="仿宋_GB2312" w:eastAsia="仿宋_GB2312"/>
                <w:sz w:val="21"/>
                <w:color w:val="000000"/>
              </w:rPr>
              <w:t>血管等测量及分析计算功能。</w:t>
            </w:r>
          </w:p>
          <w:p>
            <w:pPr>
              <w:pStyle w:val="null3"/>
              <w:jc w:val="both"/>
            </w:pPr>
            <w:r>
              <w:rPr>
                <w:rFonts w:ascii="仿宋_GB2312" w:hAnsi="仿宋_GB2312" w:cs="仿宋_GB2312" w:eastAsia="仿宋_GB2312"/>
                <w:sz w:val="21"/>
                <w:color w:val="000000"/>
              </w:rPr>
              <w:t>4.4、</w:t>
            </w:r>
            <w:r>
              <w:rPr>
                <w:rFonts w:ascii="仿宋_GB2312" w:hAnsi="仿宋_GB2312" w:cs="仿宋_GB2312" w:eastAsia="仿宋_GB2312"/>
                <w:sz w:val="21"/>
                <w:color w:val="000000"/>
              </w:rPr>
              <w:t>内置病人数据管理系统，可查询和浏览病人信息、图像、测量计算数据和检查报告。</w:t>
            </w:r>
          </w:p>
          <w:p>
            <w:pPr>
              <w:pStyle w:val="null3"/>
              <w:jc w:val="both"/>
            </w:pPr>
            <w:r>
              <w:rPr>
                <w:rFonts w:ascii="仿宋_GB2312" w:hAnsi="仿宋_GB2312" w:cs="仿宋_GB2312" w:eastAsia="仿宋_GB2312"/>
                <w:sz w:val="21"/>
                <w:b/>
                <w:color w:val="000000"/>
              </w:rPr>
              <w:t>5、专用</w:t>
            </w:r>
            <w:r>
              <w:rPr>
                <w:rFonts w:ascii="仿宋_GB2312" w:hAnsi="仿宋_GB2312" w:cs="仿宋_GB2312" w:eastAsia="仿宋_GB2312"/>
                <w:sz w:val="21"/>
                <w:b/>
                <w:color w:val="000000"/>
              </w:rPr>
              <w:t>台车</w:t>
            </w:r>
          </w:p>
          <w:p>
            <w:pPr>
              <w:pStyle w:val="null3"/>
              <w:jc w:val="both"/>
            </w:pPr>
            <w:r>
              <w:rPr>
                <w:rFonts w:ascii="仿宋_GB2312" w:hAnsi="仿宋_GB2312" w:cs="仿宋_GB2312" w:eastAsia="仿宋_GB2312"/>
                <w:sz w:val="21"/>
                <w:color w:val="000000"/>
              </w:rPr>
              <w:t>5.1、</w:t>
            </w:r>
            <w:r>
              <w:rPr>
                <w:rFonts w:ascii="仿宋_GB2312" w:hAnsi="仿宋_GB2312" w:cs="仿宋_GB2312" w:eastAsia="仿宋_GB2312"/>
                <w:sz w:val="21"/>
                <w:color w:val="000000"/>
              </w:rPr>
              <w:t>专用台车，台车高度可升降，有储物篮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5.2、具有</w:t>
            </w:r>
            <w:r>
              <w:rPr>
                <w:rFonts w:ascii="仿宋_GB2312" w:hAnsi="仿宋_GB2312" w:cs="仿宋_GB2312" w:eastAsia="仿宋_GB2312"/>
                <w:sz w:val="21"/>
                <w:color w:val="000000"/>
              </w:rPr>
              <w:t>探头连接扩展器，可同时连接探头</w:t>
            </w:r>
            <w:r>
              <w:rPr>
                <w:rFonts w:ascii="仿宋_GB2312" w:hAnsi="仿宋_GB2312" w:cs="仿宋_GB2312" w:eastAsia="仿宋_GB2312"/>
                <w:sz w:val="21"/>
                <w:color w:val="000000"/>
              </w:rPr>
              <w:t>≥3个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全部激活，互通互用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注：</w:t>
            </w:r>
            <w:r>
              <w:rPr>
                <w:rFonts w:ascii="仿宋_GB2312" w:hAnsi="仿宋_GB2312" w:cs="仿宋_GB2312" w:eastAsia="仿宋_GB2312"/>
                <w:sz w:val="21"/>
                <w:color w:val="000000"/>
              </w:rPr>
              <w:t>①</w:t>
            </w:r>
            <w:r>
              <w:rPr>
                <w:rFonts w:ascii="仿宋_GB2312" w:hAnsi="仿宋_GB2312" w:cs="仿宋_GB2312" w:eastAsia="仿宋_GB2312"/>
                <w:sz w:val="21"/>
                <w:color w:val="000000"/>
              </w:rPr>
              <w:t>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符号为本项目核心产品</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②</w:t>
            </w:r>
            <w:r>
              <w:rPr>
                <w:rFonts w:ascii="仿宋_GB2312" w:hAnsi="仿宋_GB2312" w:cs="仿宋_GB2312" w:eastAsia="仿宋_GB2312"/>
                <w:sz w:val="21"/>
                <w:color w:val="000000"/>
              </w:rPr>
              <w:t>以上技术参数中标</w:t>
            </w:r>
            <w:r>
              <w:rPr>
                <w:rFonts w:ascii="仿宋_GB2312" w:hAnsi="仿宋_GB2312" w:cs="仿宋_GB2312" w:eastAsia="仿宋_GB2312"/>
                <w:sz w:val="21"/>
                <w:color w:val="000000"/>
              </w:rPr>
              <w:t>“▲”</w:t>
            </w:r>
            <w:r>
              <w:rPr>
                <w:rFonts w:ascii="仿宋_GB2312" w:hAnsi="仿宋_GB2312" w:cs="仿宋_GB2312" w:eastAsia="仿宋_GB2312"/>
                <w:sz w:val="21"/>
                <w:color w:val="000000"/>
              </w:rPr>
              <w:t>符号</w:t>
            </w:r>
            <w:r>
              <w:rPr>
                <w:rFonts w:ascii="仿宋_GB2312" w:hAnsi="仿宋_GB2312" w:cs="仿宋_GB2312" w:eastAsia="仿宋_GB2312"/>
                <w:sz w:val="21"/>
                <w:color w:val="000000"/>
              </w:rPr>
              <w:t>为本项目核心参数，需提供检测报告或宣传彩页或技术白皮书等证明材料与之对应。</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rPr>
              <w:t>★</w:t>
            </w:r>
            <w:r>
              <w:rPr>
                <w:rFonts w:ascii="仿宋_GB2312" w:hAnsi="仿宋_GB2312" w:cs="仿宋_GB2312" w:eastAsia="仿宋_GB2312"/>
                <w:sz w:val="21"/>
                <w:b/>
                <w:color w:val="000000"/>
              </w:rPr>
              <w:t>商务要求</w:t>
            </w:r>
          </w:p>
          <w:p>
            <w:pPr>
              <w:pStyle w:val="null3"/>
              <w:ind w:firstLine="369"/>
              <w:jc w:val="left"/>
            </w:pPr>
            <w:r>
              <w:rPr>
                <w:rFonts w:ascii="仿宋_GB2312" w:hAnsi="仿宋_GB2312" w:cs="仿宋_GB2312" w:eastAsia="仿宋_GB2312"/>
                <w:sz w:val="21"/>
                <w:shd w:fill="FFFFFF" w:val="clear"/>
              </w:rPr>
              <w:t xml:space="preserve">  </w:t>
            </w:r>
            <w:r>
              <w:rPr>
                <w:rFonts w:ascii="仿宋_GB2312" w:hAnsi="仿宋_GB2312" w:cs="仿宋_GB2312" w:eastAsia="仿宋_GB2312"/>
                <w:sz w:val="21"/>
                <w:b/>
                <w:color w:val="000000"/>
                <w:shd w:fill="FFFFFF" w:val="clear"/>
              </w:rPr>
              <w:t>1、交付期、交付地点、质保期</w:t>
            </w:r>
          </w:p>
          <w:p>
            <w:pPr>
              <w:pStyle w:val="null3"/>
              <w:ind w:firstLine="361"/>
              <w:jc w:val="left"/>
            </w:pPr>
            <w:r>
              <w:rPr>
                <w:rFonts w:ascii="仿宋_GB2312" w:hAnsi="仿宋_GB2312" w:cs="仿宋_GB2312" w:eastAsia="仿宋_GB2312"/>
                <w:sz w:val="21"/>
                <w:b/>
                <w:color w:val="000000"/>
                <w:shd w:fill="FFFFFF" w:val="clear"/>
              </w:rPr>
              <w:t>1.1、交付期</w:t>
            </w:r>
            <w:r>
              <w:rPr>
                <w:rFonts w:ascii="仿宋_GB2312" w:hAnsi="仿宋_GB2312" w:cs="仿宋_GB2312" w:eastAsia="仿宋_GB2312"/>
                <w:sz w:val="21"/>
                <w:color w:val="000000"/>
                <w:shd w:fill="FFFFFF" w:val="clear"/>
              </w:rPr>
              <w:t>：自合同签订之日起</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个月内交付。</w:t>
            </w:r>
          </w:p>
          <w:p>
            <w:pPr>
              <w:pStyle w:val="null3"/>
              <w:ind w:firstLine="367"/>
              <w:jc w:val="both"/>
            </w:pPr>
            <w:r>
              <w:rPr>
                <w:rFonts w:ascii="仿宋_GB2312" w:hAnsi="仿宋_GB2312" w:cs="仿宋_GB2312" w:eastAsia="仿宋_GB2312"/>
                <w:sz w:val="21"/>
                <w:color w:val="000000"/>
                <w:shd w:fill="FFFFFF" w:val="clear"/>
              </w:rPr>
              <w:t>1.1.1、投标人未征得采购人同意和谅解而单方面延迟履行合同期限，将按违约终止合同。</w:t>
            </w:r>
          </w:p>
          <w:p>
            <w:pPr>
              <w:pStyle w:val="null3"/>
              <w:ind w:firstLine="367"/>
              <w:jc w:val="both"/>
            </w:pPr>
            <w:r>
              <w:rPr>
                <w:rFonts w:ascii="仿宋_GB2312" w:hAnsi="仿宋_GB2312" w:cs="仿宋_GB2312" w:eastAsia="仿宋_GB2312"/>
                <w:sz w:val="21"/>
                <w:color w:val="000000"/>
                <w:shd w:fill="FFFFFF" w:val="clear"/>
              </w:rPr>
              <w:t>1.1.2、投标人遇到可能妨碍按时</w:t>
            </w:r>
            <w:r>
              <w:rPr>
                <w:rFonts w:ascii="仿宋_GB2312" w:hAnsi="仿宋_GB2312" w:cs="仿宋_GB2312" w:eastAsia="仿宋_GB2312"/>
                <w:sz w:val="21"/>
                <w:color w:val="000000"/>
                <w:shd w:fill="FFFFFF" w:val="clear"/>
              </w:rPr>
              <w:t>交付</w:t>
            </w:r>
            <w:r>
              <w:rPr>
                <w:rFonts w:ascii="仿宋_GB2312" w:hAnsi="仿宋_GB2312" w:cs="仿宋_GB2312" w:eastAsia="仿宋_GB2312"/>
                <w:sz w:val="21"/>
                <w:color w:val="000000"/>
                <w:shd w:fill="FFFFFF" w:val="clear"/>
              </w:rPr>
              <w:t>的情况，应当及时以书面形式通知采购人，说明原由、拖延的期限等；采购人在收到通知后，尽快进行情况评估并确定是否通过修改合同，酌情延长服务时间或者通过协商加收误期赔偿金。</w:t>
            </w:r>
          </w:p>
          <w:p>
            <w:pPr>
              <w:pStyle w:val="null3"/>
              <w:ind w:firstLine="369"/>
              <w:jc w:val="left"/>
            </w:pPr>
            <w:r>
              <w:rPr>
                <w:rFonts w:ascii="仿宋_GB2312" w:hAnsi="仿宋_GB2312" w:cs="仿宋_GB2312" w:eastAsia="仿宋_GB2312"/>
                <w:sz w:val="21"/>
                <w:b/>
                <w:color w:val="000000"/>
                <w:shd w:fill="FFFFFF" w:val="clear"/>
              </w:rPr>
              <w:t>1.2、交付地点：</w:t>
            </w:r>
            <w:r>
              <w:rPr>
                <w:rFonts w:ascii="仿宋_GB2312" w:hAnsi="仿宋_GB2312" w:cs="仿宋_GB2312" w:eastAsia="仿宋_GB2312"/>
                <w:sz w:val="21"/>
                <w:color w:val="000000"/>
                <w:shd w:fill="FFFFFF" w:val="clear"/>
              </w:rPr>
              <w:t>采购人指定地点。</w:t>
            </w:r>
          </w:p>
          <w:p>
            <w:pPr>
              <w:pStyle w:val="null3"/>
              <w:ind w:firstLine="369"/>
              <w:jc w:val="left"/>
            </w:pPr>
            <w:r>
              <w:rPr>
                <w:rFonts w:ascii="仿宋_GB2312" w:hAnsi="仿宋_GB2312" w:cs="仿宋_GB2312" w:eastAsia="仿宋_GB2312"/>
                <w:sz w:val="21"/>
                <w:b/>
                <w:color w:val="000000"/>
                <w:shd w:fill="FFFFFF" w:val="clear"/>
              </w:rPr>
              <w:t>1.3、质保期：</w:t>
            </w:r>
            <w:r>
              <w:rPr>
                <w:rFonts w:ascii="仿宋_GB2312" w:hAnsi="仿宋_GB2312" w:cs="仿宋_GB2312" w:eastAsia="仿宋_GB2312"/>
                <w:sz w:val="21"/>
                <w:color w:val="000000"/>
                <w:shd w:fill="FFFFFF" w:val="clear"/>
              </w:rPr>
              <w:t>主机及探头免费质保期5</w:t>
            </w:r>
            <w:r>
              <w:rPr>
                <w:rFonts w:ascii="仿宋_GB2312" w:hAnsi="仿宋_GB2312" w:cs="仿宋_GB2312" w:eastAsia="仿宋_GB2312"/>
                <w:sz w:val="21"/>
                <w:color w:val="000000"/>
                <w:shd w:fill="FFFFFF" w:val="clear"/>
              </w:rPr>
              <w:t>年，从验收合格之日起计算</w:t>
            </w:r>
            <w:r>
              <w:rPr>
                <w:rFonts w:ascii="仿宋_GB2312" w:hAnsi="仿宋_GB2312" w:cs="仿宋_GB2312" w:eastAsia="仿宋_GB2312"/>
                <w:sz w:val="21"/>
                <w:color w:val="000000"/>
                <w:shd w:fill="FFFFFF" w:val="clear"/>
              </w:rPr>
              <w:t>。</w:t>
            </w:r>
          </w:p>
          <w:p>
            <w:pPr>
              <w:pStyle w:val="null3"/>
              <w:ind w:firstLine="369"/>
              <w:jc w:val="left"/>
            </w:pPr>
            <w:r>
              <w:rPr>
                <w:rFonts w:ascii="仿宋_GB2312" w:hAnsi="仿宋_GB2312" w:cs="仿宋_GB2312" w:eastAsia="仿宋_GB2312"/>
                <w:sz w:val="21"/>
                <w:b/>
                <w:color w:val="000000"/>
                <w:shd w:fill="FFFFFF" w:val="clear"/>
              </w:rPr>
              <w:t>2、款项结算</w:t>
            </w:r>
            <w:r>
              <w:rPr>
                <w:rFonts w:ascii="仿宋_GB2312" w:hAnsi="仿宋_GB2312" w:cs="仿宋_GB2312" w:eastAsia="仿宋_GB2312"/>
                <w:sz w:val="21"/>
                <w:color w:val="000000"/>
                <w:shd w:fill="FFFFFF" w:val="clear"/>
              </w:rPr>
              <w:t xml:space="preserve">  </w:t>
            </w:r>
          </w:p>
          <w:p>
            <w:pPr>
              <w:pStyle w:val="null3"/>
              <w:spacing w:after="120"/>
              <w:ind w:firstLine="420"/>
              <w:jc w:val="both"/>
            </w:pPr>
            <w:r>
              <w:rPr>
                <w:rFonts w:ascii="仿宋_GB2312" w:hAnsi="仿宋_GB2312" w:cs="仿宋_GB2312" w:eastAsia="仿宋_GB2312"/>
                <w:sz w:val="21"/>
                <w:b/>
                <w:color w:val="000000"/>
                <w:shd w:fill="FFFFFF" w:val="clear"/>
              </w:rPr>
              <w:t>2.1、款项结算:采购人结算，成交投标人开具全额（等额）发票给采购人，未开具发票不支付。</w:t>
            </w:r>
          </w:p>
          <w:p>
            <w:pPr>
              <w:pStyle w:val="null3"/>
              <w:spacing w:after="120"/>
              <w:ind w:firstLine="420"/>
              <w:jc w:val="both"/>
            </w:pPr>
            <w:r>
              <w:rPr>
                <w:rFonts w:ascii="仿宋_GB2312" w:hAnsi="仿宋_GB2312" w:cs="仿宋_GB2312" w:eastAsia="仿宋_GB2312"/>
                <w:sz w:val="21"/>
                <w:b/>
                <w:color w:val="000000"/>
                <w:shd w:fill="FFFFFF" w:val="clear"/>
              </w:rPr>
              <w:t>2.2、结算方式：银行转账。</w:t>
            </w:r>
          </w:p>
          <w:p>
            <w:pPr>
              <w:pStyle w:val="null3"/>
              <w:ind w:firstLine="422"/>
              <w:jc w:val="left"/>
            </w:pPr>
            <w:r>
              <w:rPr>
                <w:rFonts w:ascii="仿宋_GB2312" w:hAnsi="仿宋_GB2312" w:cs="仿宋_GB2312" w:eastAsia="仿宋_GB2312"/>
                <w:sz w:val="21"/>
                <w:b/>
                <w:color w:val="000000"/>
                <w:shd w:fill="FFFFFF" w:val="clear"/>
              </w:rPr>
              <w:t>2.3、付款计划：</w:t>
            </w:r>
          </w:p>
          <w:p>
            <w:pPr>
              <w:pStyle w:val="null3"/>
              <w:jc w:val="left"/>
            </w:pPr>
            <w:r>
              <w:rPr>
                <w:rFonts w:ascii="仿宋_GB2312" w:hAnsi="仿宋_GB2312" w:cs="仿宋_GB2312" w:eastAsia="仿宋_GB2312"/>
                <w:sz w:val="21"/>
                <w:color w:val="000000"/>
                <w:shd w:fill="FFFFFF" w:val="clear"/>
              </w:rPr>
              <w:t xml:space="preserve">     2.3.1、付款条件说明：验收合格后，达到付款条件起30日内，支付合同总金额的 90.00%。</w:t>
            </w:r>
          </w:p>
          <w:p>
            <w:pPr>
              <w:pStyle w:val="null3"/>
              <w:ind w:firstLine="540"/>
              <w:jc w:val="left"/>
            </w:pPr>
            <w:r>
              <w:rPr>
                <w:rFonts w:ascii="仿宋_GB2312" w:hAnsi="仿宋_GB2312" w:cs="仿宋_GB2312" w:eastAsia="仿宋_GB2312"/>
                <w:sz w:val="21"/>
                <w:color w:val="000000"/>
                <w:shd w:fill="FFFFFF" w:val="clear"/>
              </w:rPr>
              <w:t>2.3.2、付款条件说明：一年后，达到付款条件起30日内，支付合同总金额的10.00%。</w:t>
            </w:r>
            <w:r>
              <w:rPr>
                <w:rFonts w:ascii="仿宋_GB2312" w:hAnsi="仿宋_GB2312" w:cs="仿宋_GB2312" w:eastAsia="仿宋_GB2312"/>
                <w:sz w:val="21"/>
                <w:color w:val="000000"/>
                <w:shd w:fill="FFFFFF" w:val="clear"/>
              </w:rPr>
              <w:t xml:space="preserve"> </w:t>
            </w:r>
          </w:p>
          <w:p>
            <w:pPr>
              <w:pStyle w:val="null3"/>
              <w:ind w:firstLine="420"/>
              <w:jc w:val="left"/>
            </w:pPr>
            <w:r>
              <w:rPr>
                <w:rFonts w:ascii="仿宋_GB2312" w:hAnsi="仿宋_GB2312" w:cs="仿宋_GB2312" w:eastAsia="仿宋_GB2312"/>
                <w:sz w:val="21"/>
                <w:b/>
                <w:color w:val="000000"/>
                <w:shd w:fill="FFFFFF" w:val="clear"/>
              </w:rPr>
              <w:t>3、质量保证</w:t>
            </w:r>
          </w:p>
          <w:p>
            <w:pPr>
              <w:pStyle w:val="null3"/>
              <w:ind w:firstLine="367"/>
              <w:jc w:val="left"/>
            </w:pPr>
            <w:r>
              <w:rPr>
                <w:rFonts w:ascii="仿宋_GB2312" w:hAnsi="仿宋_GB2312" w:cs="仿宋_GB2312" w:eastAsia="仿宋_GB2312"/>
                <w:sz w:val="21"/>
                <w:color w:val="000000"/>
                <w:shd w:fill="FFFFFF" w:val="clear"/>
              </w:rPr>
              <w:t>3.1、本项目所有设备质量必须符合国家有关规范和相关政策。所有设备及辅材必须是未使用过的新设备，质量优良、渠道正当，配置合理。为确保设备售后服务的及时性、保障性，交付设备时必须提供原厂售后服务承诺函。</w:t>
            </w:r>
          </w:p>
          <w:p>
            <w:pPr>
              <w:pStyle w:val="null3"/>
              <w:ind w:firstLine="367"/>
              <w:jc w:val="left"/>
            </w:pPr>
            <w:r>
              <w:rPr>
                <w:rFonts w:ascii="仿宋_GB2312" w:hAnsi="仿宋_GB2312" w:cs="仿宋_GB2312" w:eastAsia="仿宋_GB2312"/>
                <w:sz w:val="21"/>
                <w:color w:val="000000"/>
                <w:shd w:fill="FFFFFF" w:val="clear"/>
              </w:rPr>
              <w:t>3.2、质保期出现的质量问题由投标人负责解决并承担所有费用。质保期后如需更换零部件，投标人应以优惠价提供。</w:t>
            </w:r>
          </w:p>
          <w:p>
            <w:pPr>
              <w:pStyle w:val="null3"/>
              <w:ind w:firstLine="367"/>
              <w:jc w:val="both"/>
            </w:pPr>
            <w:r>
              <w:rPr>
                <w:rFonts w:ascii="仿宋_GB2312" w:hAnsi="仿宋_GB2312" w:cs="仿宋_GB2312" w:eastAsia="仿宋_GB2312"/>
                <w:sz w:val="21"/>
                <w:color w:val="000000"/>
                <w:shd w:fill="FFFFFF" w:val="clear"/>
              </w:rPr>
              <w:t>3.3、本项目设备售后服务及培训要求。</w:t>
            </w:r>
          </w:p>
          <w:p>
            <w:pPr>
              <w:pStyle w:val="null3"/>
              <w:ind w:firstLine="367"/>
              <w:jc w:val="left"/>
            </w:pPr>
            <w:r>
              <w:rPr>
                <w:rFonts w:ascii="仿宋_GB2312" w:hAnsi="仿宋_GB2312" w:cs="仿宋_GB2312" w:eastAsia="仿宋_GB2312"/>
                <w:sz w:val="21"/>
                <w:color w:val="000000"/>
                <w:shd w:fill="FFFFFF" w:val="clear"/>
              </w:rPr>
              <w:t>3.3.1、投标人应提供所投的设备的合格证、设备说明等资料。</w:t>
            </w:r>
          </w:p>
          <w:p>
            <w:pPr>
              <w:pStyle w:val="null3"/>
              <w:ind w:firstLine="369"/>
              <w:jc w:val="left"/>
            </w:pPr>
            <w:r>
              <w:rPr>
                <w:rFonts w:ascii="仿宋_GB2312" w:hAnsi="仿宋_GB2312" w:cs="仿宋_GB2312" w:eastAsia="仿宋_GB2312"/>
                <w:sz w:val="21"/>
                <w:b/>
                <w:color w:val="000000"/>
                <w:shd w:fill="FFFFFF" w:val="clear"/>
              </w:rPr>
              <w:t>4、其他要求</w:t>
            </w:r>
          </w:p>
          <w:p>
            <w:pPr>
              <w:pStyle w:val="null3"/>
              <w:ind w:firstLine="420"/>
              <w:jc w:val="left"/>
            </w:pPr>
            <w:r>
              <w:rPr>
                <w:rFonts w:ascii="仿宋_GB2312" w:hAnsi="仿宋_GB2312" w:cs="仿宋_GB2312" w:eastAsia="仿宋_GB2312"/>
                <w:sz w:val="21"/>
                <w:color w:val="000000"/>
                <w:shd w:fill="FFFFFF" w:val="clear"/>
              </w:rPr>
              <w:t>4.1、进场安装工作人员须配戴工作牌，提前与采购人约定设备进场安装时间，以不影响采购人日常工作为原则。</w:t>
            </w:r>
          </w:p>
          <w:p>
            <w:pPr>
              <w:pStyle w:val="null3"/>
              <w:ind w:firstLine="420"/>
              <w:jc w:val="left"/>
            </w:pPr>
            <w:r>
              <w:rPr>
                <w:rFonts w:ascii="仿宋_GB2312" w:hAnsi="仿宋_GB2312" w:cs="仿宋_GB2312" w:eastAsia="仿宋_GB2312"/>
                <w:sz w:val="21"/>
                <w:color w:val="000000"/>
                <w:shd w:fill="FFFFFF" w:val="clear"/>
              </w:rPr>
              <w:t>4.2、工完场清，当日作业当日清，机具、工具整理清。</w:t>
            </w:r>
          </w:p>
          <w:p>
            <w:pPr>
              <w:pStyle w:val="null3"/>
              <w:ind w:firstLine="420"/>
              <w:jc w:val="left"/>
            </w:pPr>
            <w:r>
              <w:rPr>
                <w:rFonts w:ascii="仿宋_GB2312" w:hAnsi="仿宋_GB2312" w:cs="仿宋_GB2312" w:eastAsia="仿宋_GB2312"/>
                <w:sz w:val="21"/>
                <w:color w:val="000000"/>
                <w:shd w:fill="FFFFFF" w:val="clear"/>
              </w:rPr>
              <w:t>4.3、安装人员须具备较强的专业技能，严格按照国家相关标准和行业规范进行施工和安装，成交投标人须派技术人员现场进行指导，确保装机质量。</w:t>
            </w:r>
          </w:p>
          <w:p>
            <w:pPr>
              <w:pStyle w:val="null3"/>
              <w:ind w:firstLine="422"/>
              <w:jc w:val="left"/>
            </w:pPr>
            <w:r>
              <w:rPr>
                <w:rFonts w:ascii="仿宋_GB2312" w:hAnsi="仿宋_GB2312" w:cs="仿宋_GB2312" w:eastAsia="仿宋_GB2312"/>
                <w:sz w:val="21"/>
                <w:color w:val="000000"/>
                <w:shd w:fill="FFFFFF" w:val="clear"/>
              </w:rPr>
              <w:t>4.3、</w:t>
            </w:r>
            <w:r>
              <w:rPr>
                <w:rFonts w:ascii="仿宋_GB2312" w:hAnsi="仿宋_GB2312" w:cs="仿宋_GB2312" w:eastAsia="仿宋_GB2312"/>
                <w:sz w:val="21"/>
                <w:color w:val="000000"/>
                <w:shd w:fill="FFFFFF" w:val="clear"/>
              </w:rPr>
              <w:t>故</w:t>
            </w:r>
            <w:r>
              <w:rPr>
                <w:rFonts w:ascii="仿宋_GB2312" w:hAnsi="仿宋_GB2312" w:cs="仿宋_GB2312" w:eastAsia="仿宋_GB2312"/>
                <w:sz w:val="21"/>
                <w:color w:val="000000"/>
                <w:shd w:fill="FFFFFF" w:val="clear"/>
              </w:rPr>
              <w:t>障响应</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小时内响应，</w:t>
            </w:r>
            <w:r>
              <w:rPr>
                <w:rFonts w:ascii="仿宋_GB2312" w:hAnsi="仿宋_GB2312" w:cs="仿宋_GB2312" w:eastAsia="仿宋_GB2312"/>
                <w:sz w:val="21"/>
                <w:color w:val="000000"/>
                <w:shd w:fill="FFFFFF" w:val="clear"/>
              </w:rPr>
              <w:t>24</w:t>
            </w:r>
            <w:r>
              <w:rPr>
                <w:rFonts w:ascii="仿宋_GB2312" w:hAnsi="仿宋_GB2312" w:cs="仿宋_GB2312" w:eastAsia="仿宋_GB2312"/>
                <w:sz w:val="21"/>
                <w:color w:val="000000"/>
                <w:shd w:fill="FFFFFF" w:val="clear"/>
              </w:rPr>
              <w:t>小时内到达现场处理</w:t>
            </w:r>
            <w:r>
              <w:rPr>
                <w:rFonts w:ascii="仿宋_GB2312" w:hAnsi="仿宋_GB2312" w:cs="仿宋_GB2312" w:eastAsia="仿宋_GB2312"/>
                <w:sz w:val="21"/>
                <w:color w:val="000000"/>
                <w:shd w:fill="FFFFFF" w:val="clear"/>
              </w:rPr>
              <w:t>。</w:t>
            </w:r>
          </w:p>
          <w:p>
            <w:pPr>
              <w:pStyle w:val="null3"/>
              <w:ind w:firstLine="422"/>
              <w:jc w:val="left"/>
            </w:pPr>
            <w:r>
              <w:rPr>
                <w:rFonts w:ascii="仿宋_GB2312" w:hAnsi="仿宋_GB2312" w:cs="仿宋_GB2312" w:eastAsia="仿宋_GB2312"/>
                <w:sz w:val="21"/>
                <w:b/>
                <w:color w:val="000000"/>
                <w:shd w:fill="FFFFFF" w:val="clear"/>
              </w:rPr>
              <w:t>5、项目检验与验收</w:t>
            </w:r>
          </w:p>
          <w:p>
            <w:pPr>
              <w:pStyle w:val="null3"/>
              <w:ind w:firstLine="420"/>
              <w:jc w:val="left"/>
            </w:pPr>
            <w:r>
              <w:rPr>
                <w:rFonts w:ascii="仿宋_GB2312" w:hAnsi="仿宋_GB2312" w:cs="仿宋_GB2312" w:eastAsia="仿宋_GB2312"/>
                <w:sz w:val="21"/>
                <w:color w:val="000000"/>
                <w:shd w:fill="FFFFFF" w:val="clear"/>
              </w:rPr>
              <w:t>5.1、成交投标人向采购人提交项目实施过程中的所有资料。</w:t>
            </w:r>
          </w:p>
          <w:p>
            <w:pPr>
              <w:pStyle w:val="null3"/>
              <w:ind w:firstLine="420"/>
              <w:jc w:val="left"/>
            </w:pPr>
            <w:r>
              <w:rPr>
                <w:rFonts w:ascii="仿宋_GB2312" w:hAnsi="仿宋_GB2312" w:cs="仿宋_GB2312" w:eastAsia="仿宋_GB2312"/>
                <w:sz w:val="21"/>
                <w:color w:val="000000"/>
                <w:shd w:fill="FFFFFF" w:val="clear"/>
              </w:rPr>
              <w:t>5.2、验收须以合同、招标文件及响应文件、澄清、及国家相应的标准、规范等为依据。</w:t>
            </w:r>
          </w:p>
          <w:p>
            <w:pPr>
              <w:pStyle w:val="null3"/>
              <w:ind w:firstLine="420"/>
              <w:jc w:val="left"/>
            </w:pPr>
            <w:r>
              <w:rPr>
                <w:rFonts w:ascii="仿宋_GB2312" w:hAnsi="仿宋_GB2312" w:cs="仿宋_GB2312" w:eastAsia="仿宋_GB2312"/>
                <w:sz w:val="21"/>
                <w:color w:val="000000"/>
                <w:shd w:fill="FFFFFF" w:val="clear"/>
              </w:rPr>
              <w:t>5.2.1、符合中华人民共和国国家和履约地相关安全质量标准、行业技术规范标准、环保节能标准；</w:t>
            </w:r>
          </w:p>
          <w:p>
            <w:pPr>
              <w:pStyle w:val="null3"/>
              <w:ind w:firstLine="420"/>
              <w:jc w:val="left"/>
            </w:pPr>
            <w:r>
              <w:rPr>
                <w:rFonts w:ascii="仿宋_GB2312" w:hAnsi="仿宋_GB2312" w:cs="仿宋_GB2312" w:eastAsia="仿宋_GB2312"/>
                <w:sz w:val="21"/>
                <w:color w:val="000000"/>
                <w:shd w:fill="FFFFFF" w:val="clear"/>
              </w:rPr>
              <w:t>5.2.2、符合招标文件和响应文件承诺中采购人认可的合理最佳配置、参数规格及各项要求；</w:t>
            </w:r>
          </w:p>
          <w:p>
            <w:pPr>
              <w:pStyle w:val="null3"/>
              <w:ind w:firstLine="420"/>
              <w:jc w:val="left"/>
            </w:pPr>
            <w:r>
              <w:rPr>
                <w:rFonts w:ascii="仿宋_GB2312" w:hAnsi="仿宋_GB2312" w:cs="仿宋_GB2312" w:eastAsia="仿宋_GB2312"/>
                <w:sz w:val="21"/>
                <w:color w:val="000000"/>
                <w:shd w:fill="FFFFFF" w:val="clear"/>
              </w:rPr>
              <w:t>5.2.3、双方约定的其他验收标准。</w:t>
            </w:r>
          </w:p>
          <w:p>
            <w:pPr>
              <w:pStyle w:val="null3"/>
              <w:ind w:firstLine="420"/>
              <w:jc w:val="left"/>
            </w:pPr>
            <w:r>
              <w:rPr>
                <w:rFonts w:ascii="仿宋_GB2312" w:hAnsi="仿宋_GB2312" w:cs="仿宋_GB2312" w:eastAsia="仿宋_GB2312"/>
                <w:sz w:val="21"/>
                <w:color w:val="000000"/>
                <w:shd w:fill="FFFFFF" w:val="clear"/>
              </w:rPr>
              <w:t>5.3、采购人在合同的履行期间以及履行期后，可以随时检查项目的执行情况，对采购标准、采购内容进行调查核实，并对发现的问题进行处理。</w:t>
            </w:r>
          </w:p>
          <w:p>
            <w:pPr>
              <w:pStyle w:val="null3"/>
              <w:ind w:firstLine="369"/>
              <w:jc w:val="left"/>
            </w:pPr>
            <w:r>
              <w:rPr>
                <w:rFonts w:ascii="仿宋_GB2312" w:hAnsi="仿宋_GB2312" w:cs="仿宋_GB2312" w:eastAsia="仿宋_GB2312"/>
                <w:sz w:val="21"/>
                <w:b/>
                <w:color w:val="000000"/>
                <w:shd w:fill="FFFFFF" w:val="clear"/>
              </w:rPr>
              <w:t>6、合同的变更、中止、终止</w:t>
            </w:r>
          </w:p>
          <w:p>
            <w:pPr>
              <w:pStyle w:val="null3"/>
              <w:ind w:firstLine="420"/>
              <w:jc w:val="left"/>
            </w:pPr>
            <w:r>
              <w:rPr>
                <w:rFonts w:ascii="仿宋_GB2312" w:hAnsi="仿宋_GB2312" w:cs="仿宋_GB2312" w:eastAsia="仿宋_GB2312"/>
                <w:sz w:val="21"/>
                <w:color w:val="000000"/>
                <w:shd w:fill="FFFFFF" w:val="clear"/>
              </w:rPr>
              <w:t>合同一经签订，不得擅自变更、中止或者终止合同。对确需变更、调整或者中止、终止合同的，由双方协商解决。</w:t>
            </w:r>
          </w:p>
          <w:p>
            <w:pPr>
              <w:pStyle w:val="null3"/>
              <w:ind w:firstLine="369"/>
              <w:jc w:val="left"/>
            </w:pPr>
            <w:r>
              <w:rPr>
                <w:rFonts w:ascii="仿宋_GB2312" w:hAnsi="仿宋_GB2312" w:cs="仿宋_GB2312" w:eastAsia="仿宋_GB2312"/>
                <w:sz w:val="21"/>
                <w:b/>
                <w:color w:val="000000"/>
                <w:shd w:fill="FFFFFF" w:val="clear"/>
              </w:rPr>
              <w:t>7、合同争议的解决</w:t>
            </w:r>
          </w:p>
          <w:p>
            <w:pPr>
              <w:pStyle w:val="null3"/>
              <w:spacing w:before="120"/>
              <w:ind w:left="-240" w:firstLine="630"/>
              <w:jc w:val="both"/>
            </w:pPr>
            <w:r>
              <w:rPr>
                <w:rFonts w:ascii="仿宋_GB2312" w:hAnsi="仿宋_GB2312" w:cs="仿宋_GB2312" w:eastAsia="仿宋_GB2312"/>
                <w:sz w:val="21"/>
                <w:color w:val="000000"/>
                <w:shd w:fill="FFFFFF" w:val="clear"/>
              </w:rPr>
              <w:t>合同履行期间，若双方发生争议，可协商或由有关部门调解解决，协商或调解不成的，可向甲方所在地汉台区人民法院提起诉讼。</w:t>
            </w:r>
          </w:p>
          <w:p>
            <w:pPr>
              <w:pStyle w:val="null3"/>
              <w:ind w:firstLine="369"/>
              <w:jc w:val="left"/>
            </w:pPr>
            <w:r>
              <w:rPr>
                <w:rFonts w:ascii="仿宋_GB2312" w:hAnsi="仿宋_GB2312" w:cs="仿宋_GB2312" w:eastAsia="仿宋_GB2312"/>
                <w:sz w:val="21"/>
                <w:b/>
                <w:color w:val="000000"/>
                <w:shd w:fill="FFFFFF" w:val="clear"/>
              </w:rPr>
              <w:t>8、违约责任</w:t>
            </w:r>
          </w:p>
          <w:p>
            <w:pPr>
              <w:pStyle w:val="null3"/>
              <w:ind w:firstLine="420"/>
              <w:jc w:val="left"/>
            </w:pPr>
            <w:r>
              <w:rPr>
                <w:rFonts w:ascii="仿宋_GB2312" w:hAnsi="仿宋_GB2312" w:cs="仿宋_GB2312" w:eastAsia="仿宋_GB2312"/>
                <w:sz w:val="21"/>
                <w:color w:val="000000"/>
                <w:shd w:fill="FFFFFF" w:val="clear"/>
              </w:rPr>
              <w:t>8.1、依据《中华人民共和国民法典》《中华人民共和国政府采购法》的相关条款和本合同约定的相关条款执行。</w:t>
            </w:r>
          </w:p>
          <w:p>
            <w:pPr>
              <w:pStyle w:val="null3"/>
              <w:ind w:firstLine="367"/>
              <w:jc w:val="both"/>
            </w:pPr>
            <w:r>
              <w:rPr>
                <w:rFonts w:ascii="仿宋_GB2312" w:hAnsi="仿宋_GB2312" w:cs="仿宋_GB2312" w:eastAsia="仿宋_GB2312"/>
                <w:sz w:val="21"/>
                <w:color w:val="000000"/>
                <w:shd w:fill="FFFFFF" w:val="clear"/>
              </w:rPr>
              <w:t>8.2、成交投标人未按合同要求履行，不符合采购技术要求，成交投标人必须无条件更换人员或设备，提高技术，完善质量，否则，采购人有权终止合同，并对成交投标人的违约行为进行追究并依法向成交投标人进行经济索赔。</w:t>
            </w:r>
          </w:p>
          <w:p>
            <w:pPr>
              <w:pStyle w:val="null3"/>
              <w:jc w:val="left"/>
            </w:pPr>
            <w:r>
              <w:rPr>
                <w:rFonts w:ascii="仿宋_GB2312" w:hAnsi="仿宋_GB2312" w:cs="仿宋_GB2312" w:eastAsia="仿宋_GB2312"/>
                <w:sz w:val="21"/>
                <w:b/>
                <w:color w:val="000000"/>
                <w:shd w:fill="FFFFFF" w:val="clear"/>
              </w:rPr>
              <w:t>注：以上商务要求为实质性响应条款，不接受负偏离。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交付期：自合同签订之日起1个月内交付。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1、成交投标人向采购人提交项目实施过程中的所有资料。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4、符合招标文件和投标文件承诺中采购人认可的合理最佳配置、参数规格及各项要求；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质保期：主机及探头免费质保期5年，从验收合格之日起计算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2.除不可抗力因素外，如甲方未能在本合同约定时间内支付款项，每延迟一天，甲方须向乙方承担迟延支付费用的0.5‰作为违约金，并将服务周期予以相应顺延。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投标文件以便于存档，投标文件正本1份，副本2份，电子版文件2份（以U盘为载体，电子版内容包括Word版本、签字盖章扫描后的PDF版本响应文件）。纸质投标文件均须A4纸打印，分别各自装订成册并编制目录和页码。线下递交投标文件地点：汉中市汉台区西一环路蓝天御苑小区商铺二层门面房。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投标人应授权合法的人员参加招标全过程</w:t>
            </w:r>
          </w:p>
        </w:tc>
        <w:tc>
          <w:tcPr>
            <w:tcW w:type="dxa" w:w="3322"/>
          </w:tcPr>
          <w:p>
            <w:pPr>
              <w:pStyle w:val="null3"/>
            </w:pPr>
            <w:r>
              <w:rPr>
                <w:rFonts w:ascii="仿宋_GB2312" w:hAnsi="仿宋_GB2312" w:cs="仿宋_GB2312" w:eastAsia="仿宋_GB2312"/>
              </w:rPr>
              <w:t>法定代表人直接参加招标的，须出具法人身份证（附法定代表人身份证复印件）；法定代表人授权代表参加招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投标人医疗类资质要求</w:t>
            </w:r>
          </w:p>
        </w:tc>
        <w:tc>
          <w:tcPr>
            <w:tcW w:type="dxa" w:w="3322"/>
          </w:tcPr>
          <w:p>
            <w:pPr>
              <w:pStyle w:val="null3"/>
            </w:pPr>
            <w:r>
              <w:rPr>
                <w:rFonts w:ascii="仿宋_GB2312" w:hAnsi="仿宋_GB2312" w:cs="仿宋_GB2312" w:eastAsia="仿宋_GB2312"/>
              </w:rPr>
              <w:t>①投标人为经销商的应提供《医疗器械经营许可证》或《医疗器械经营备案凭证》（投标产品须在其经营范围内）和制造商的《医疗器械生产许可证》或《医疗器械生产备案凭证》（投标产品须在其生产范围内）；②投标人为制造商的应提供《医疗器械经营许可证》或《医疗器械经营备案凭证》（投标产品须在其经营范围内）和《医疗器械生产许可证》（投标产品须在其生产范围内）；③投标产品属于医疗器械管理的提供《医疗器械注册证》；</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签字及盖章</w:t>
            </w:r>
          </w:p>
        </w:tc>
        <w:tc>
          <w:tcPr>
            <w:tcW w:type="dxa" w:w="3322"/>
          </w:tcPr>
          <w:p>
            <w:pPr>
              <w:pStyle w:val="null3"/>
            </w:pPr>
            <w:r>
              <w:rPr>
                <w:rFonts w:ascii="仿宋_GB2312" w:hAnsi="仿宋_GB2312" w:cs="仿宋_GB2312" w:eastAsia="仿宋_GB2312"/>
              </w:rPr>
              <w:t>应符合招标文件内给出的格式要求。</w:t>
            </w:r>
          </w:p>
        </w:tc>
        <w:tc>
          <w:tcPr>
            <w:tcW w:type="dxa" w:w="1661"/>
          </w:tcPr>
          <w:p>
            <w:pPr>
              <w:pStyle w:val="null3"/>
            </w:pPr>
            <w:r>
              <w:rPr>
                <w:rFonts w:ascii="仿宋_GB2312" w:hAnsi="仿宋_GB2312" w:cs="仿宋_GB2312" w:eastAsia="仿宋_GB2312"/>
              </w:rPr>
              <w:t>开标一览表 所投产品的技术参数、配置和功能需求（技术参数偏离表） 中小企业声明函 项目整体实施方案等 商务要求响应表 投标人应提交的相关资格证明材料 投标函 残疾人福利性单位声明函 产品分项报价表 标的清单 投标文件封面 其他材料及供应商认为有必要说明、阐述的事项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投标人所投标产品完全满足招标文件技术参数要求，得15分； ①标“▲”技术参数需提供检测报告或技术白皮书或宣传彩页等证明材料与之对应，未提供证明材料或每负偏离一项扣2分，最高扣6分； ②非“▲”技术参数每偏离一项扣1分，最高扣9分。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所投产品的技术参数、配置和功能需求（技术参数偏离表）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提供2024年1月至今类似项目业绩，提供一份得1.5分，最高得3分，投标文件中须附中标/成交通知书或合同复印件，未提供不得分。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产品供货渠道合法，无假货、水货、翻新货且无产权纠纷，质量合格</w:t>
            </w:r>
          </w:p>
        </w:tc>
        <w:tc>
          <w:tcPr>
            <w:tcW w:type="dxa" w:w="2492"/>
          </w:tcPr>
          <w:p>
            <w:pPr>
              <w:pStyle w:val="null3"/>
            </w:pPr>
            <w:r>
              <w:rPr>
                <w:rFonts w:ascii="仿宋_GB2312" w:hAnsi="仿宋_GB2312" w:cs="仿宋_GB2312" w:eastAsia="仿宋_GB2312"/>
              </w:rPr>
              <w:t>核心产品合法来源渠道证明：投标人需提供产品授权书或销售协议等证明材料，提供得3分，未提供不得分。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投标人针对本项目进行具有详细、具体的实施方案： ①项目进度计划及保障措施、②订货及供货组织安排、③设备质量目标及措施、④拟派人员配置及岗位职责、⑤设备安装调试方案、⑥交货验收方案。 二、赋分标准 1、完整性：对上述各项内容均有描述，得6分；每缺1项扣1分，扣完为止。此项不提供不得分。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投标人针对本项目进行具有详细、具体的售后服务方案： ①各类故障解决措施及响应时间、②日常维护方案及应急预案、③售后服务网点及售后服务人员安排、④售后服务承诺。 二、赋分标准 1、完整性：上述各项内容均有描述，得2分；每缺1项扣0.5分，扣完为止。此项不提供不得分。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投标人提供详尽的培训方案，并列出培训的具体内容及方式，确保使用人员能够独立操作，并进行简单故障排查处理： ①培训人数、②培训时间、③培训内容。 二、赋分标准 1、完整性：对上述各项内容均有描述，得3分；每缺1项扣1分，扣完为止。此项不提供不得分。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详见附件：所投产品的技术参数、配置和功能需求（技术参数偏离表）</w:t>
      </w:r>
    </w:p>
    <w:p>
      <w:pPr>
        <w:pStyle w:val="null3"/>
        <w:ind w:firstLine="960"/>
      </w:pPr>
      <w:r>
        <w:rPr>
          <w:rFonts w:ascii="仿宋_GB2312" w:hAnsi="仿宋_GB2312" w:cs="仿宋_GB2312" w:eastAsia="仿宋_GB2312"/>
        </w:rPr>
        <w:t>详见附件：项目整体实施方案等</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