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版本号：HWHZ-202601220260304001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2026油菜花节西安公交站牌媒体宣传项目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HWHZ-2026012</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2026油菜花节西安公交站牌媒体宣传项目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2026油菜花节西安公交站牌媒体宣传项目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升2026汉中油菜花节的品牌影响力与市民知晓度，依托西安公交站牌静态灯箱及LCD数字屏候车亭覆盖广、触达率高、传播稳定的媒体优势，面向西安全市开展赏花信息、活动内容、交通指引、文旅形象等集中宣传，营造春季赏花旅游氛围，助力文旅消费与乡村振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采购包1（2026油菜花节西安公交站牌媒体宣传项目）：属于专门面向中小企业采购。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2026汉中油菜花节的品牌影响力与市民知晓度，依托西安公交站牌静态灯箱及LCD数字屏候车亭覆盖广、触达率高、传播稳定的媒体优势，面向西安全市开展赏花信息、活动内容、交通指引、文旅形象等集中宣传，营造春季赏花旅游氛围，助力文旅消费与乡村振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2026油菜花节西安公交站牌媒体宣传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标的名称：2026油菜花节西安公交站牌媒体宣传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color w:val="0000FF"/>
              </w:rPr>
              <w:t>覆盖</w:t>
            </w:r>
            <w:r>
              <w:rPr>
                <w:rFonts w:ascii="仿宋_GB2312" w:hAnsi="仿宋_GB2312" w:cs="仿宋_GB2312" w:eastAsia="仿宋_GB2312"/>
                <w:sz w:val="32"/>
                <w:color w:val="0000FF"/>
              </w:rPr>
              <w:t>西安核心商圈、文旅覆盖核心区域、重要交通枢纽等</w:t>
            </w:r>
            <w:r>
              <w:rPr>
                <w:rFonts w:ascii="仿宋_GB2312" w:hAnsi="仿宋_GB2312" w:cs="仿宋_GB2312" w:eastAsia="仿宋_GB2312"/>
                <w:sz w:val="32"/>
                <w:color w:val="0000FF"/>
              </w:rPr>
              <w:t>西安公交站牌的静态灯箱及</w:t>
            </w:r>
            <w:r>
              <w:rPr>
                <w:rFonts w:ascii="仿宋_GB2312" w:hAnsi="仿宋_GB2312" w:cs="仿宋_GB2312" w:eastAsia="仿宋_GB2312"/>
                <w:sz w:val="32"/>
                <w:color w:val="0000FF"/>
              </w:rPr>
              <w:t>LCD数字屏候车亭组合</w:t>
            </w:r>
            <w:r>
              <w:rPr>
                <w:rFonts w:ascii="仿宋_GB2312" w:hAnsi="仿宋_GB2312" w:cs="仿宋_GB2312" w:eastAsia="仿宋_GB2312"/>
                <w:sz w:val="32"/>
                <w:color w:val="0000FF"/>
              </w:rPr>
              <w:t>点位</w:t>
            </w:r>
            <w:r>
              <w:rPr>
                <w:rFonts w:ascii="仿宋_GB2312" w:hAnsi="仿宋_GB2312" w:cs="仿宋_GB2312" w:eastAsia="仿宋_GB2312"/>
                <w:sz w:val="32"/>
                <w:color w:val="0000FF"/>
              </w:rPr>
              <w:t>，</w:t>
            </w:r>
            <w:r>
              <w:rPr>
                <w:rFonts w:ascii="仿宋_GB2312" w:hAnsi="仿宋_GB2312" w:cs="仿宋_GB2312" w:eastAsia="仿宋_GB2312"/>
                <w:sz w:val="32"/>
                <w:color w:val="0000FF"/>
              </w:rPr>
              <w:t>提供广告宣传的资质与条件，广告发布内容需精准、完善，符合</w:t>
            </w:r>
            <w:r>
              <w:rPr>
                <w:rFonts w:ascii="仿宋_GB2312" w:hAnsi="仿宋_GB2312" w:cs="仿宋_GB2312" w:eastAsia="仿宋_GB2312"/>
                <w:sz w:val="32"/>
                <w:color w:val="0000FF"/>
              </w:rPr>
              <w:t>2026汉中油菜花节</w:t>
            </w:r>
            <w:r>
              <w:rPr>
                <w:rFonts w:ascii="仿宋_GB2312" w:hAnsi="仿宋_GB2312" w:cs="仿宋_GB2312" w:eastAsia="仿宋_GB2312"/>
                <w:sz w:val="32"/>
                <w:color w:val="0000FF"/>
              </w:rPr>
              <w:t>宣传的</w:t>
            </w:r>
            <w:r>
              <w:rPr>
                <w:rFonts w:ascii="仿宋_GB2312" w:hAnsi="仿宋_GB2312" w:cs="仿宋_GB2312" w:eastAsia="仿宋_GB2312"/>
                <w:sz w:val="32"/>
                <w:color w:val="0000FF"/>
              </w:rPr>
              <w:t>特色资源</w:t>
            </w:r>
            <w:r>
              <w:rPr>
                <w:rFonts w:ascii="仿宋_GB2312" w:hAnsi="仿宋_GB2312" w:cs="仿宋_GB2312" w:eastAsia="仿宋_GB2312"/>
                <w:sz w:val="32"/>
                <w:color w:val="0000FF"/>
              </w:rPr>
              <w:t>。</w:t>
            </w:r>
            <w:r>
              <w:rPr>
                <w:rFonts w:ascii="仿宋_GB2312" w:hAnsi="仿宋_GB2312" w:cs="仿宋_GB2312" w:eastAsia="仿宋_GB2312"/>
                <w:sz w:val="32"/>
                <w:color w:val="0000FF"/>
              </w:rPr>
              <w:t>宣传期为</w:t>
            </w:r>
            <w:r>
              <w:rPr>
                <w:rFonts w:ascii="仿宋_GB2312" w:hAnsi="仿宋_GB2312" w:cs="仿宋_GB2312" w:eastAsia="仿宋_GB2312"/>
                <w:sz w:val="32"/>
                <w:color w:val="0000FF"/>
              </w:rPr>
              <w:t>28天。其中公交站牌的静态灯箱尺寸为：长3.5M×宽1.5M，LCD数字屏候车亭显示屏为：65吋LCD4K屏、显示尺寸为:3.228M×1.425M;播放频次为：10s 360次/天。</w:t>
            </w:r>
          </w:p>
          <w:p>
            <w:pPr>
              <w:pStyle w:val="null3"/>
            </w:pPr>
            <w:r>
              <w:rPr>
                <w:rFonts w:ascii="仿宋_GB2312" w:hAnsi="仿宋_GB2312" w:cs="仿宋_GB2312" w:eastAsia="仿宋_GB2312"/>
                <w:sz w:val="32"/>
                <w:color w:val="0000FF"/>
              </w:rPr>
              <w:t>服务期限：28天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要求（本项</w:t>
            </w:r>
            <w:r>
              <w:rPr>
                <w:rFonts w:ascii="仿宋_GB2312" w:hAnsi="仿宋_GB2312" w:cs="仿宋_GB2312" w:eastAsia="仿宋_GB2312"/>
                <w:sz w:val="19"/>
                <w:color w:val="000000"/>
              </w:rPr>
              <w:t>目为服务，</w:t>
            </w:r>
            <w:r>
              <w:rPr>
                <w:rFonts w:ascii="仿宋_GB2312" w:hAnsi="仿宋_GB2312" w:cs="仿宋_GB2312" w:eastAsia="仿宋_GB2312"/>
                <w:sz w:val="19"/>
                <w:color w:val="000000"/>
              </w:rPr>
              <w:t>不涉及核心</w:t>
            </w:r>
            <w:r>
              <w:rPr>
                <w:rFonts w:ascii="仿宋_GB2312" w:hAnsi="仿宋_GB2312" w:cs="仿宋_GB2312" w:eastAsia="仿宋_GB2312"/>
                <w:sz w:val="19"/>
                <w:color w:val="000000"/>
              </w:rPr>
              <w:t>产品）：</w:t>
            </w:r>
            <w:r>
              <w:rPr>
                <w:rFonts w:ascii="仿宋_GB2312" w:hAnsi="仿宋_GB2312" w:cs="仿宋_GB2312" w:eastAsia="仿宋_GB2312"/>
                <w:sz w:val="19"/>
                <w:color w:val="000000"/>
              </w:rPr>
              <w:t>须具有指定区域所需广告资源发布的发布权或代理权</w:t>
            </w:r>
            <w:r>
              <w:rPr>
                <w:rFonts w:ascii="仿宋_GB2312" w:hAnsi="仿宋_GB2312" w:cs="仿宋_GB2312" w:eastAsia="仿宋_GB2312"/>
                <w:sz w:val="19"/>
                <w:color w:val="000000"/>
              </w:rPr>
              <w:t>，</w:t>
            </w:r>
            <w:r>
              <w:rPr>
                <w:rFonts w:ascii="仿宋_GB2312" w:hAnsi="仿宋_GB2312" w:cs="仿宋_GB2312" w:eastAsia="仿宋_GB2312"/>
                <w:sz w:val="19"/>
                <w:color w:val="000000"/>
              </w:rPr>
              <w:t>若因相关授权等问题导致不能及时投放或停止投放</w:t>
            </w:r>
            <w:r>
              <w:rPr>
                <w:rFonts w:ascii="仿宋_GB2312" w:hAnsi="仿宋_GB2312" w:cs="仿宋_GB2312" w:eastAsia="仿宋_GB2312"/>
                <w:sz w:val="19"/>
                <w:color w:val="000000"/>
              </w:rPr>
              <w:t>等均由供应商承担全部责任。</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28天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广告发布后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项目整体提交验收报告，我方验收合格后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成交结果公示结束后3个工作日内向代理机构提供纸质版响应文件，响应文件为正本一份，副本二份（响应文件内容须与电子交易平台上传文件内容保持一致）。纸质响应文件均须A4纸打印，分别各自装订成册。 3.4.2保证金为电子保函的须在开标前向代理机构邮寄纸质保函（扫描件加盖公章）或发至邮箱（364206727@qq.com），若因系统等原因核验不成功导致废标后果由供应商自行承担。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法定代表人身份证明或授权委托书.docx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供应商近三年（即2023年1月1日之后）拥有执行类似项目（以合同签订时间为准）的项目业绩，每个得2.5分，最高得5.0分。 备注：以合同协议书或中标（成交）通知书的复印件为准，如合同中无法体现合同签订时间、项目类型等评审因素的，须另提供业主单位证明等相关证明材料复印件。（文件中装订合同复印件并加盖供应商公章，未盖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拟配备的专业服务人员5人（含）及以上得5分，不足5人的每少1人扣1分，直至扣完为止。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整体服务方案，包括但不限于①项目整体定位与目标②广告点位与物料规划③主题设计方案④执行流程规划等。以上方案中每有一项内容未提供扣5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服务岗位及工作职责</w:t>
            </w:r>
          </w:p>
        </w:tc>
        <w:tc>
          <w:tcPr>
            <w:tcW w:type="dxa" w:w="2492"/>
          </w:tcPr>
          <w:p>
            <w:pPr>
              <w:pStyle w:val="null3"/>
            </w:pPr>
            <w:r>
              <w:rPr>
                <w:rFonts w:ascii="仿宋_GB2312" w:hAnsi="仿宋_GB2312" w:cs="仿宋_GB2312" w:eastAsia="仿宋_GB2312"/>
              </w:rPr>
              <w:t>针对项目提供岗位方案，包含但不限于：①岗位分布计划②岗位职责分工③岗位协作机制等。以上方案中每有一项内容未提供扣4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项目实施进度及交付保障措施</w:t>
            </w:r>
          </w:p>
        </w:tc>
        <w:tc>
          <w:tcPr>
            <w:tcW w:type="dxa" w:w="2492"/>
          </w:tcPr>
          <w:p>
            <w:pPr>
              <w:pStyle w:val="null3"/>
            </w:pPr>
            <w:r>
              <w:rPr>
                <w:rFonts w:ascii="仿宋_GB2312" w:hAnsi="仿宋_GB2312" w:cs="仿宋_GB2312" w:eastAsia="仿宋_GB2312"/>
              </w:rPr>
              <w:t>针对项目提供实施进度及交付保障措施，包括但不限于①进度计划②交付物明细③交付保障措施等。以上方案中每有一项内容未提供扣5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服务质量及保障措施</w:t>
            </w:r>
          </w:p>
        </w:tc>
        <w:tc>
          <w:tcPr>
            <w:tcW w:type="dxa" w:w="2492"/>
          </w:tcPr>
          <w:p>
            <w:pPr>
              <w:pStyle w:val="null3"/>
            </w:pPr>
            <w:r>
              <w:rPr>
                <w:rFonts w:ascii="仿宋_GB2312" w:hAnsi="仿宋_GB2312" w:cs="仿宋_GB2312" w:eastAsia="仿宋_GB2312"/>
              </w:rPr>
              <w:t>针对本项目设置的质量保证措施，包括但不限于①质量管理组织架构②各环节质量标准③质量整改机制等。以上方案中每有一项内容未提供扣4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应急预案及处理措施</w:t>
            </w:r>
          </w:p>
        </w:tc>
        <w:tc>
          <w:tcPr>
            <w:tcW w:type="dxa" w:w="2492"/>
          </w:tcPr>
          <w:p>
            <w:pPr>
              <w:pStyle w:val="null3"/>
            </w:pPr>
            <w:r>
              <w:rPr>
                <w:rFonts w:ascii="仿宋_GB2312" w:hAnsi="仿宋_GB2312" w:cs="仿宋_GB2312" w:eastAsia="仿宋_GB2312"/>
              </w:rPr>
              <w:t>提供应急保障措施，对于各类突发事件具有应急响应方案，包括但不限于①广告投放画面破损、污损应急更换预案②极端天气设施故障（灯箱断电、破损、玻璃碎裂等）防护预案③紧急人员调配方案等。以上方案中每有一项内容未提供扣4分；每项内容中每有一处瑕疵扣2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作出具有实质性的后期服务方案，包括但不限于：①巡检与维护②售后咨询等。以上方案中每有一项内容未提供扣4.5分；每项内容中每有一处瑕疵扣1.5分，扣完为止。“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1、满足磋商文件要求且最后报价最低的供应商的价格为磋商基准价，其价格分为满分。其他供应商的价格分统一按照下列公式计算：磋商报价得分=（磋商基准价/最后磋商报价）×分值 2、本项目为专门面向中小企业采购的项目不进行价格扣除。 3、磋商小组认定供应商的报价低于成本价，供应商需在1个小时内提供详细的报价说明及证明材料，包括但不限于设备价格、施工费用、人员费用、计算过程以及项目实施过程中、项目运营过程中可能涉及的其他费用，最终是否采信由磋商小组确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详见附件：项目拟派人员情况表.docx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