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版本号：TZZB-HZ-2026008C20260306001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康复管理平台项目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TZZB-HZ-2026008C</w:t>
      </w:r>
      <w:r>
        <w:br/>
      </w:r>
      <w:r>
        <w:br/>
      </w:r>
      <w:r>
        <w:br/>
      </w:r>
    </w:p>
    <w:p>
      <w:pPr>
        <w:pStyle w:val="null3"/>
        <w:jc w:val="center"/>
        <w:outlineLvl w:val="2"/>
      </w:pPr>
      <w:r>
        <w:rPr>
          <w:rFonts w:ascii="仿宋_GB2312" w:hAnsi="仿宋_GB2312" w:cs="仿宋_GB2312" w:eastAsia="仿宋_GB2312"/>
          <w:sz w:val="28"/>
          <w:b/>
        </w:rPr>
        <w:t>汉中市中医医院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汉中市中医医院</w:t>
      </w:r>
      <w:r>
        <w:rPr>
          <w:rFonts w:ascii="仿宋_GB2312" w:hAnsi="仿宋_GB2312" w:cs="仿宋_GB2312" w:eastAsia="仿宋_GB2312"/>
        </w:rPr>
        <w:t>委托，拟对</w:t>
      </w:r>
      <w:r>
        <w:rPr>
          <w:rFonts w:ascii="仿宋_GB2312" w:hAnsi="仿宋_GB2312" w:cs="仿宋_GB2312" w:eastAsia="仿宋_GB2312"/>
        </w:rPr>
        <w:t>康复管理平台项目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TZZB-HZ-2026008C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康复管理平台项目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临床康复一体化管理平台信息系统1项，康复远程会诊与教学平台1项。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采购包1（汉中市中医医院康复管理平台项目）：属于专门面向中小企业采购。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1、有效的主体资格证明：供应商为具有独立承担民事责任能力的企业法人、负责人或其他组织或自然人，并出具有效的营业执照或证明文件或自然人的身份证明。（材料应清晰可辨并进行电子签章）</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提供《汉中市政府采购供应商资格承诺函》。（材料应清晰可辨并进行电子签章）</w:t>
      </w:r>
    </w:p>
    <w:p>
      <w:pPr>
        <w:pStyle w:val="null3"/>
      </w:pPr>
      <w:r>
        <w:rPr>
          <w:rFonts w:ascii="仿宋_GB2312" w:hAnsi="仿宋_GB2312" w:cs="仿宋_GB2312" w:eastAsia="仿宋_GB2312"/>
        </w:rPr>
        <w:t>3、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汉中市南郑区大河坎镇东昌街8号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0916-5300351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2.采购代理服务费以转账形式缴纳至以下账户： 缴纳账户户名：同正项目管理有限公司汉中分公司； 开户行：中国建设银行股份有限公司汉中北环路支行； 账号：6105 0165 5200 0000 0101 ； 汇款备注：项目名称。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汉中市中医医院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临床康复一体化管理平台信息系统1项，康复远程会诊与教学平台1项。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临床康复一体化管理平台信息系统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康复远程会诊与教学平台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标的名称：临床康复一体化管理平台信息系统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outlineLvl w:val="0"/>
            </w:pPr>
            <w:r>
              <w:rPr>
                <w:rFonts w:ascii="仿宋_GB2312" w:hAnsi="仿宋_GB2312" w:cs="仿宋_GB2312" w:eastAsia="仿宋_GB2312"/>
                <w:sz w:val="21"/>
                <w:b/>
              </w:rPr>
              <w:t>一、技术服务目标需求</w:t>
            </w:r>
          </w:p>
          <w:p>
            <w:pPr>
              <w:pStyle w:val="null3"/>
              <w:jc w:val="both"/>
              <w:outlineLvl w:val="1"/>
            </w:pPr>
            <w:r>
              <w:rPr>
                <w:rFonts w:ascii="仿宋_GB2312" w:hAnsi="仿宋_GB2312" w:cs="仿宋_GB2312" w:eastAsia="仿宋_GB2312"/>
                <w:sz w:val="21"/>
                <w:b/>
              </w:rPr>
              <w:t>（一）临床康复一体化管理平台技术服务目标需求</w:t>
            </w:r>
          </w:p>
          <w:p>
            <w:pPr>
              <w:pStyle w:val="null3"/>
              <w:ind w:firstLine="220"/>
              <w:jc w:val="both"/>
            </w:pPr>
            <w:r>
              <w:rPr>
                <w:rFonts w:ascii="仿宋_GB2312" w:hAnsi="仿宋_GB2312" w:cs="仿宋_GB2312" w:eastAsia="仿宋_GB2312"/>
                <w:sz w:val="22"/>
              </w:rPr>
              <w:t>1、政策合规与评审适配：严格遵循《三级医院评审标准》《三级中医医院评审标准》及国家卫生健康委、中医药管理局等主管部门的政策法规要求，贴合中医康复诊疗规范，助力医院智慧医院创建、电子病历评级、互联互通测评等工作，通过系统规范化管理自动沉淀中医康复相关电子档案资料，为三级医院等级评审提供全流程数据支撑与资料保障。</w:t>
            </w:r>
          </w:p>
          <w:p>
            <w:pPr>
              <w:pStyle w:val="null3"/>
              <w:ind w:firstLine="220"/>
              <w:jc w:val="both"/>
            </w:pPr>
            <w:r>
              <w:rPr>
                <w:rFonts w:ascii="仿宋_GB2312" w:hAnsi="仿宋_GB2312" w:cs="仿宋_GB2312" w:eastAsia="仿宋_GB2312"/>
                <w:sz w:val="22"/>
              </w:rPr>
              <w:t>2、安全可靠与隐私保护：符合国家信息安全等级保护三级标准及医疗卫生机构网络安全管理相关规定，构建全方位安全防护体系。保障系统 7×24 小时连续稳定运行，具备高可靠性及应急容灾方案；采用分级授权、精细化权限管控机制，结合登录认证、关键数据加密、操作日志全程审计、数据修改追溯等措施，严防中医辨证数据、康复诊疗记录等敏感信息泄露、篡改，确保数据安全与隐私保护。</w:t>
            </w:r>
          </w:p>
          <w:p>
            <w:pPr>
              <w:pStyle w:val="null3"/>
              <w:ind w:firstLine="220"/>
              <w:jc w:val="both"/>
            </w:pPr>
            <w:r>
              <w:rPr>
                <w:rFonts w:ascii="仿宋_GB2312" w:hAnsi="仿宋_GB2312" w:cs="仿宋_GB2312" w:eastAsia="仿宋_GB2312"/>
                <w:sz w:val="22"/>
              </w:rPr>
              <w:t>3、数据整合与互联互通：基于医院统一数据管理标准，复用科室、人员等主数据资源，支持与医院HIS系统、EMR 系统无缝对接，免费提供标准化数据交换接口与消息交互机制，实现跨系统数据实时共享、互联互通，消除信息孤岛，为医院数据共享利用与业务协同奠定基础。</w:t>
            </w:r>
          </w:p>
          <w:p>
            <w:pPr>
              <w:pStyle w:val="null3"/>
              <w:ind w:firstLine="220"/>
              <w:jc w:val="both"/>
            </w:pPr>
            <w:r>
              <w:rPr>
                <w:rFonts w:ascii="仿宋_GB2312" w:hAnsi="仿宋_GB2312" w:cs="仿宋_GB2312" w:eastAsia="仿宋_GB2312"/>
                <w:sz w:val="22"/>
              </w:rPr>
              <w:t>4、高性能与扩展适配：系统具备先进的技术架构与优良的运行性能，在大业务量场景下仍能保障操作流畅，支持自动任务调度与资源优化分配，避免并发操作冲突。具备灵活的扩展性，可根据医院业务发展需求扩展统计维度或接入新增业务系统，适配中医康复诊疗模式的创新与升级。</w:t>
            </w:r>
          </w:p>
          <w:p>
            <w:pPr>
              <w:pStyle w:val="null3"/>
              <w:ind w:firstLine="220"/>
              <w:jc w:val="both"/>
            </w:pPr>
            <w:r>
              <w:rPr>
                <w:rFonts w:ascii="仿宋_GB2312" w:hAnsi="仿宋_GB2312" w:cs="仿宋_GB2312" w:eastAsia="仿宋_GB2312"/>
                <w:sz w:val="22"/>
              </w:rPr>
              <w:t>5、易用高效与便捷操作：遵循“以人为本”设计理念，结合中医医护人员操作习惯优化界面布局，力求简洁直观、美观易用，降低学习与操作成本。报表可多维度分析并自由导出，满足不同岗位（医师、治疗师、管理员等）的工作需求，提升中医康复诊疗与管理效率。</w:t>
            </w:r>
          </w:p>
          <w:p>
            <w:pPr>
              <w:pStyle w:val="null3"/>
            </w:pPr>
            <w:r>
              <w:rPr>
                <w:rFonts w:ascii="仿宋_GB2312" w:hAnsi="仿宋_GB2312" w:cs="仿宋_GB2312" w:eastAsia="仿宋_GB2312"/>
                <w:sz w:val="22"/>
              </w:rPr>
              <w:t xml:space="preserve">  6、测评与评审技术保障：服务期内免费为医院电子病历评级、互联互通测评、智慧服务与智慧管理评级、三级医院等级评审等工作提供技术支持，根据测评要求优化系统功能、完善相关接口与数据资料，确保系统完全满足各类测评及评审中涉及的相关标准与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outlineLvl w:val="0"/>
            </w:pPr>
            <w:r>
              <w:rPr>
                <w:rFonts w:ascii="仿宋_GB2312" w:hAnsi="仿宋_GB2312" w:cs="仿宋_GB2312" w:eastAsia="仿宋_GB2312"/>
                <w:sz w:val="21"/>
                <w:b/>
              </w:rPr>
              <w:t>二、技术功能服务需求</w:t>
            </w:r>
          </w:p>
          <w:p>
            <w:pPr>
              <w:pStyle w:val="null3"/>
              <w:jc w:val="both"/>
              <w:outlineLvl w:val="0"/>
            </w:pPr>
            <w:r>
              <w:rPr>
                <w:rFonts w:ascii="仿宋_GB2312" w:hAnsi="仿宋_GB2312" w:cs="仿宋_GB2312" w:eastAsia="仿宋_GB2312"/>
                <w:sz w:val="21"/>
                <w:b/>
              </w:rPr>
              <w:t>（一）临床康复一体化管理平台技术功能服务需求</w:t>
            </w:r>
          </w:p>
          <w:tbl>
            <w:tblPr>
              <w:tblInd w:type="dxa" w:w="135"/>
              <w:tblBorders>
                <w:top w:val="none" w:color="000000" w:sz="4"/>
                <w:left w:val="none" w:color="000000" w:sz="4"/>
                <w:bottom w:val="none" w:color="000000" w:sz="4"/>
                <w:right w:val="none" w:color="000000" w:sz="4"/>
                <w:insideH w:val="none"/>
                <w:insideV w:val="none"/>
              </w:tblBorders>
            </w:tblPr>
            <w:tblGrid>
              <w:gridCol w:w="231"/>
              <w:gridCol w:w="379"/>
              <w:gridCol w:w="444"/>
              <w:gridCol w:w="1156"/>
              <w:gridCol w:w="333"/>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技术服务名称</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功能服务名称</w:t>
                  </w:r>
                </w:p>
              </w:tc>
              <w:tc>
                <w:tcPr>
                  <w:tcW w:type="dxa" w:w="1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技术功能服务需求</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1"/>
                    <w:jc w:val="center"/>
                  </w:pPr>
                  <w:r>
                    <w:rPr>
                      <w:rFonts w:ascii="仿宋_GB2312" w:hAnsi="仿宋_GB2312" w:cs="仿宋_GB2312" w:eastAsia="仿宋_GB2312"/>
                      <w:sz w:val="22"/>
                      <w:b/>
                    </w:rPr>
                    <w:t>数量</w:t>
                  </w:r>
                </w:p>
                <w:p>
                  <w:pPr>
                    <w:pStyle w:val="null3"/>
                    <w:ind w:firstLine="221"/>
                    <w:jc w:val="center"/>
                  </w:pPr>
                  <w:r>
                    <w:rPr>
                      <w:rFonts w:ascii="仿宋_GB2312" w:hAnsi="仿宋_GB2312" w:cs="仿宋_GB2312" w:eastAsia="仿宋_GB2312"/>
                      <w:sz w:val="22"/>
                      <w:b/>
                    </w:rPr>
                    <w:t>（项）</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1</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流程管理</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流程管理</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建立康复门诊、康复住院闭环管理流程，包含建档、评估流程、治疗流程、结案及随访等。</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2</w:t>
                  </w:r>
                </w:p>
              </w:tc>
              <w:tc>
                <w:tcPr>
                  <w:tcW w:type="dxa" w:w="3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首页任务中心</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适用角色与终端</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支持医师、治疗师、护师三类康复医疗角色，首页功能均在</w:t>
                  </w:r>
                  <w:r>
                    <w:rPr>
                      <w:rFonts w:ascii="仿宋_GB2312" w:hAnsi="仿宋_GB2312" w:cs="仿宋_GB2312" w:eastAsia="仿宋_GB2312"/>
                      <w:sz w:val="22"/>
                    </w:rPr>
                    <w:t>PC端实现。</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任务信息管理</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当日任务查看：</w:t>
                  </w:r>
                </w:p>
                <w:p>
                  <w:pPr>
                    <w:pStyle w:val="null3"/>
                    <w:jc w:val="both"/>
                  </w:pPr>
                  <w:r>
                    <w:rPr>
                      <w:rFonts w:ascii="仿宋_GB2312" w:hAnsi="仿宋_GB2312" w:cs="仿宋_GB2312" w:eastAsia="仿宋_GB2312"/>
                      <w:sz w:val="22"/>
                    </w:rPr>
                    <w:t>支持医师、治疗师、护师可查看康复住院、门诊、临床康复场景下，待治疗、未治疗、已治疗、待评估、已评估任务的总数统计，点击对应任务类型能跳转详情页。</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个人任务维度：</w:t>
                  </w:r>
                </w:p>
                <w:p>
                  <w:pPr>
                    <w:pStyle w:val="null3"/>
                    <w:jc w:val="left"/>
                  </w:pPr>
                  <w:r>
                    <w:rPr>
                      <w:rFonts w:ascii="仿宋_GB2312" w:hAnsi="仿宋_GB2312" w:cs="仿宋_GB2312" w:eastAsia="仿宋_GB2312"/>
                      <w:sz w:val="22"/>
                    </w:rPr>
                    <w:t>支持设置个人代办事项，能按个人及评估</w:t>
                  </w:r>
                  <w:r>
                    <w:rPr>
                      <w:rFonts w:ascii="仿宋_GB2312" w:hAnsi="仿宋_GB2312" w:cs="仿宋_GB2312" w:eastAsia="仿宋_GB2312"/>
                      <w:sz w:val="22"/>
                    </w:rPr>
                    <w:t>/治疗项目分类统计已完成任务，还展示个人逾期的评估和治疗任务（点击可看详情），以助力医护人员梳理工作。</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科室任务统计</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呈现科室层面待治疗、未治疗、已治疗、待评估、已评估任务的总计数据。</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辅助功能入口</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在页面具有即时通讯入口和</w:t>
                  </w:r>
                  <w:r>
                    <w:rPr>
                      <w:rFonts w:ascii="仿宋_GB2312" w:hAnsi="仿宋_GB2312" w:cs="仿宋_GB2312" w:eastAsia="仿宋_GB2312"/>
                      <w:sz w:val="22"/>
                    </w:rPr>
                    <w:t>AI助手标识控件。</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7</w:t>
                  </w:r>
                </w:p>
              </w:tc>
              <w:tc>
                <w:tcPr>
                  <w:tcW w:type="dxa" w:w="3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康复门诊平台</w:t>
                  </w:r>
                  <w:r>
                    <w:rPr>
                      <w:rFonts w:ascii="仿宋_GB2312" w:hAnsi="仿宋_GB2312" w:cs="仿宋_GB2312" w:eastAsia="仿宋_GB2312"/>
                      <w:sz w:val="22"/>
                    </w:rPr>
                    <w:t>(医/治/护工作站)</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患者管理</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医治护（</w:t>
                  </w:r>
                  <w:r>
                    <w:rPr>
                      <w:rFonts w:ascii="仿宋_GB2312" w:hAnsi="仿宋_GB2312" w:cs="仿宋_GB2312" w:eastAsia="仿宋_GB2312"/>
                      <w:sz w:val="22"/>
                    </w:rPr>
                    <w:t>PC 端）：</w:t>
                  </w:r>
                </w:p>
                <w:p>
                  <w:pPr>
                    <w:pStyle w:val="null3"/>
                    <w:jc w:val="left"/>
                  </w:pPr>
                  <w:r>
                    <w:rPr>
                      <w:rFonts w:ascii="仿宋_GB2312" w:hAnsi="仿宋_GB2312" w:cs="仿宋_GB2312" w:eastAsia="仿宋_GB2312"/>
                      <w:sz w:val="22"/>
                    </w:rPr>
                    <w:t>1、支持医师、治疗师、护师均可查看指定时间段内康复医学科就诊患者列表。</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2、支持调阅患者全维度详情（含就诊信息、康复信息、360 视图）。</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9</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3、支持对患者执行无医嘱下的评估、治疗任务，完成康复治疗知情同意书签署。</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10</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4、治疗师额外具备 “为康复医师推荐医嘱” 功能，助力诊疗协同发展。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11</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患者（小程序端）：</w:t>
                  </w:r>
                </w:p>
                <w:p>
                  <w:pPr>
                    <w:pStyle w:val="null3"/>
                    <w:jc w:val="left"/>
                  </w:pPr>
                  <w:r>
                    <w:rPr>
                      <w:rFonts w:ascii="仿宋_GB2312" w:hAnsi="仿宋_GB2312" w:cs="仿宋_GB2312" w:eastAsia="仿宋_GB2312"/>
                      <w:sz w:val="22"/>
                    </w:rPr>
                    <w:t>支持患者绑定就诊信息，便捷查看个人就诊基本信息与就诊二维码，满足自助化信息管理需求。</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评估分派</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支持康复门诊平台评估分派功能。</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13</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支持面向医师、治疗师</w:t>
                  </w:r>
                  <w:r>
                    <w:rPr>
                      <w:rFonts w:ascii="仿宋_GB2312" w:hAnsi="仿宋_GB2312" w:cs="仿宋_GB2312" w:eastAsia="仿宋_GB2312"/>
                      <w:sz w:val="22"/>
                    </w:rPr>
                    <w:t>PC端，查看患者评估医嘱列表，执行分派、合并分派、批量分派、修改分派、取消分派操作并可查看记录。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14</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支持依据医嘱，按人</w:t>
                  </w:r>
                  <w:r>
                    <w:rPr>
                      <w:rFonts w:ascii="仿宋_GB2312" w:hAnsi="仿宋_GB2312" w:cs="仿宋_GB2312" w:eastAsia="仿宋_GB2312"/>
                      <w:sz w:val="22"/>
                    </w:rPr>
                    <w:t>/组选评估表，将评估任务精准派至对应人或组。</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支持评估组套路径，满足多人评估使用表单、多人签名，完整体现各角色使用模块。</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16</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支持设置评估分派模式、评估分派对象控制、评估表选择方式，覆盖多场景、多流程模式。</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17</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评估任务</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医治护（</w:t>
                  </w:r>
                  <w:r>
                    <w:rPr>
                      <w:rFonts w:ascii="仿宋_GB2312" w:hAnsi="仿宋_GB2312" w:cs="仿宋_GB2312" w:eastAsia="仿宋_GB2312"/>
                      <w:sz w:val="22"/>
                    </w:rPr>
                    <w:t>PC端、PAD端）：</w:t>
                  </w:r>
                </w:p>
                <w:p>
                  <w:pPr>
                    <w:pStyle w:val="null3"/>
                    <w:jc w:val="left"/>
                  </w:pPr>
                  <w:r>
                    <w:rPr>
                      <w:rFonts w:ascii="仿宋_GB2312" w:hAnsi="仿宋_GB2312" w:cs="仿宋_GB2312" w:eastAsia="仿宋_GB2312"/>
                      <w:sz w:val="22"/>
                    </w:rPr>
                    <w:t>1、支持医师、治疗师可查看个人/组评估任务列表。</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18</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2、支持完成评估（含取消、电子/手写签名等操作）。</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19</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3、支持推荐方案、引用检查检验报告。</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20</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4、支持对比患者初/中/末期评估。</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21</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5、支持配置评估表四方签名。</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22</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6、支持护师查看患者评估记录详情，对比初/中/末期评估。</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23</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患者（小程序端）：支持查看就诊评估记录，配合医护扫码完成签到、确认评估完成。</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24</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治疗分派</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支持从</w:t>
                  </w:r>
                  <w:r>
                    <w:rPr>
                      <w:rFonts w:ascii="仿宋_GB2312" w:hAnsi="仿宋_GB2312" w:cs="仿宋_GB2312" w:eastAsia="仿宋_GB2312"/>
                      <w:sz w:val="22"/>
                    </w:rPr>
                    <w:t>HIS自动获取治疗医嘱。</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医师（</w:t>
                  </w:r>
                  <w:r>
                    <w:rPr>
                      <w:rFonts w:ascii="仿宋_GB2312" w:hAnsi="仿宋_GB2312" w:cs="仿宋_GB2312" w:eastAsia="仿宋_GB2312"/>
                      <w:sz w:val="22"/>
                    </w:rPr>
                    <w:t>PC端）：</w:t>
                  </w:r>
                </w:p>
                <w:p>
                  <w:pPr>
                    <w:pStyle w:val="null3"/>
                    <w:jc w:val="left"/>
                  </w:pPr>
                  <w:r>
                    <w:rPr>
                      <w:rFonts w:ascii="仿宋_GB2312" w:hAnsi="仿宋_GB2312" w:cs="仿宋_GB2312" w:eastAsia="仿宋_GB2312"/>
                      <w:sz w:val="22"/>
                    </w:rPr>
                    <w:t>1、支持可查看患者治疗医嘱列表，执行分派、修改、取消等操作并查看记录。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26</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2、支持结合多信息自动排程，也可灵活调整，还可打印预约治疗单。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27</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3、支持按医嘱智能完成治疗分派。</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28</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治疗师（</w:t>
                  </w:r>
                  <w:r>
                    <w:rPr>
                      <w:rFonts w:ascii="仿宋_GB2312" w:hAnsi="仿宋_GB2312" w:cs="仿宋_GB2312" w:eastAsia="仿宋_GB2312"/>
                      <w:sz w:val="22"/>
                    </w:rPr>
                    <w:t>PC端）：</w:t>
                  </w:r>
                </w:p>
                <w:p>
                  <w:pPr>
                    <w:pStyle w:val="null3"/>
                    <w:jc w:val="left"/>
                  </w:pPr>
                  <w:r>
                    <w:rPr>
                      <w:rFonts w:ascii="仿宋_GB2312" w:hAnsi="仿宋_GB2312" w:cs="仿宋_GB2312" w:eastAsia="仿宋_GB2312"/>
                      <w:sz w:val="22"/>
                    </w:rPr>
                    <w:t>1、支持查看患者治疗医嘱列表，执行分派、修改、取消等操作并查看记录。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29</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2、支持结合多信息自动排程，也可灵活调整，还可打印预约治疗单。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30</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治疗分组管理</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支持治疗分组管理，支持治疗医嘱分组推送支持治疗医嘱组合分派。</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31</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治疗任务</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支持患者治疗全流程闭环管理。</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32</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支持医护在</w:t>
                  </w:r>
                  <w:r>
                    <w:rPr>
                      <w:rFonts w:ascii="仿宋_GB2312" w:hAnsi="仿宋_GB2312" w:cs="仿宋_GB2312" w:eastAsia="仿宋_GB2312"/>
                      <w:sz w:val="22"/>
                    </w:rPr>
                    <w:t>PC 端可一键查看门诊患者历次治疗档案。</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33</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支持一键打印患者治疗引导单。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34</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医师（</w:t>
                  </w:r>
                  <w:r>
                    <w:rPr>
                      <w:rFonts w:ascii="仿宋_GB2312" w:hAnsi="仿宋_GB2312" w:cs="仿宋_GB2312" w:eastAsia="仿宋_GB2312"/>
                      <w:sz w:val="22"/>
                    </w:rPr>
                    <w:t>PC端、PAD端）：</w:t>
                  </w:r>
                </w:p>
                <w:p>
                  <w:pPr>
                    <w:pStyle w:val="null3"/>
                    <w:jc w:val="left"/>
                  </w:pPr>
                  <w:r>
                    <w:rPr>
                      <w:rFonts w:ascii="仿宋_GB2312" w:hAnsi="仿宋_GB2312" w:cs="仿宋_GB2312" w:eastAsia="仿宋_GB2312"/>
                      <w:sz w:val="22"/>
                    </w:rPr>
                    <w:t>1、可查看个人/组/治疗地点的治疗任务列表。</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2、完成治疗任务（含取消、批量完成等操作 ）。</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36</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3、查阅患者治疗记录、打印治疗记录单。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37</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4、对高风险治疗提醒；支持系统、扫码等灵活完成任务方式。</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38</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治疗师（</w:t>
                  </w:r>
                  <w:r>
                    <w:rPr>
                      <w:rFonts w:ascii="仿宋_GB2312" w:hAnsi="仿宋_GB2312" w:cs="仿宋_GB2312" w:eastAsia="仿宋_GB2312"/>
                      <w:sz w:val="22"/>
                    </w:rPr>
                    <w:t>PC端、PAD端）：</w:t>
                  </w:r>
                </w:p>
                <w:p>
                  <w:pPr>
                    <w:pStyle w:val="null3"/>
                    <w:jc w:val="left"/>
                  </w:pPr>
                  <w:r>
                    <w:rPr>
                      <w:rFonts w:ascii="仿宋_GB2312" w:hAnsi="仿宋_GB2312" w:cs="仿宋_GB2312" w:eastAsia="仿宋_GB2312"/>
                      <w:sz w:val="22"/>
                    </w:rPr>
                    <w:t>1、支持查看个人/组/治疗地点的治疗任务列表。</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39</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2、支持执行治疗任务操作（取消、批量完成等）。</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40</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3、支持查阅患者治疗记录、打印记录。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41</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患者（小程序、大屏）：</w:t>
                  </w:r>
                </w:p>
                <w:p>
                  <w:pPr>
                    <w:pStyle w:val="null3"/>
                    <w:jc w:val="left"/>
                  </w:pPr>
                  <w:r>
                    <w:rPr>
                      <w:rFonts w:ascii="仿宋_GB2312" w:hAnsi="仿宋_GB2312" w:cs="仿宋_GB2312" w:eastAsia="仿宋_GB2312"/>
                      <w:sz w:val="22"/>
                    </w:rPr>
                    <w:t>1、支持可查看已预约治疗任务，按时间地点前往治疗。</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42</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2、支持查阅治疗记录。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43</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3、支持配合医护扫码完成签到确认、治疗完成流程。</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44</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康复文书</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支持结构化运用，建立通用版康复文书。</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支持自动获取数据、引用语句模板，整合</w:t>
                  </w:r>
                  <w:r>
                    <w:rPr>
                      <w:rFonts w:ascii="仿宋_GB2312" w:hAnsi="仿宋_GB2312" w:cs="仿宋_GB2312" w:eastAsia="仿宋_GB2312"/>
                      <w:sz w:val="22"/>
                    </w:rPr>
                    <w:t>HIS、康复相关数据。</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46</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治疗大屏</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医师、治疗师：支持从患者、地点、项目维度，查看当日已签到、待治疗信息。</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47</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患者：支持查看所在区域治疗顺序，了解等待治疗情况。</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48</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门诊统计</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面向医师、治疗师（</w:t>
                  </w:r>
                  <w:r>
                    <w:rPr>
                      <w:rFonts w:ascii="仿宋_GB2312" w:hAnsi="仿宋_GB2312" w:cs="仿宋_GB2312" w:eastAsia="仿宋_GB2312"/>
                      <w:sz w:val="22"/>
                    </w:rPr>
                    <w:t>PC 端 ），支持查看工作量任务统计、门诊患者统计、评估率、治疗率数据。</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49</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人员排班</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医师、治疗师可通过</w:t>
                  </w:r>
                  <w:r>
                    <w:rPr>
                      <w:rFonts w:ascii="仿宋_GB2312" w:hAnsi="仿宋_GB2312" w:cs="仿宋_GB2312" w:eastAsia="仿宋_GB2312"/>
                      <w:sz w:val="22"/>
                    </w:rPr>
                    <w:t>PC端，对医师、治疗师、护师进行早中晚多班次排班，还能查看科室人员排班情况。</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50</w:t>
                  </w:r>
                </w:p>
              </w:tc>
              <w:tc>
                <w:tcPr>
                  <w:tcW w:type="dxa" w:w="3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康复住院</w:t>
                  </w:r>
                  <w:r>
                    <w:rPr>
                      <w:rFonts w:ascii="仿宋_GB2312" w:hAnsi="仿宋_GB2312" w:cs="仿宋_GB2312" w:eastAsia="仿宋_GB2312"/>
                      <w:sz w:val="22"/>
                    </w:rPr>
                    <w:t>/临床平台(医/治/护工作站)</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患者管理</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医治护（</w:t>
                  </w:r>
                  <w:r>
                    <w:rPr>
                      <w:rFonts w:ascii="仿宋_GB2312" w:hAnsi="仿宋_GB2312" w:cs="仿宋_GB2312" w:eastAsia="仿宋_GB2312"/>
                      <w:sz w:val="22"/>
                    </w:rPr>
                    <w:t>PC端）：</w:t>
                  </w:r>
                </w:p>
                <w:p>
                  <w:pPr>
                    <w:pStyle w:val="null3"/>
                    <w:jc w:val="both"/>
                  </w:pPr>
                  <w:r>
                    <w:rPr>
                      <w:rFonts w:ascii="仿宋_GB2312" w:hAnsi="仿宋_GB2312" w:cs="仿宋_GB2312" w:eastAsia="仿宋_GB2312"/>
                      <w:sz w:val="22"/>
                    </w:rPr>
                    <w:t>1、均可查看康复医学科住院、出院待归档患者列表及患者详情（就诊、康复等信息）。</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51</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2、能查看新入院、预出院患者提醒。</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52</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3、可对患者执行无医嘱下评估、治疗任务。</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53</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4、支持签署康复治疗知情同意书。</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54</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5、支持进行医嘱推荐。</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6、支持评估对比。</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56</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7、支持手动/自动归档。</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57</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8、支持批量归档及归档小结。</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58</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患者（小程序端）：支持绑定就诊人基本信息，查看就诊人基本信息与就诊二维码。</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59</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康复闭环管理：支持康复闭环数据推送后，进行康复闭环流程图展示。（提供界面截图）</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60</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评估分派</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支持医师、治疗师通过</w:t>
                  </w:r>
                  <w:r>
                    <w:rPr>
                      <w:rFonts w:ascii="仿宋_GB2312" w:hAnsi="仿宋_GB2312" w:cs="仿宋_GB2312" w:eastAsia="仿宋_GB2312"/>
                      <w:sz w:val="22"/>
                    </w:rPr>
                    <w:t>PC端，可查看患者评估医嘱列表。</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61</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支持执行分派（含合并、批量等）、修改、取消操作并查看记录。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62</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支持依医嘱、人</w:t>
                  </w:r>
                  <w:r>
                    <w:rPr>
                      <w:rFonts w:ascii="仿宋_GB2312" w:hAnsi="仿宋_GB2312" w:cs="仿宋_GB2312" w:eastAsia="仿宋_GB2312"/>
                      <w:sz w:val="22"/>
                    </w:rPr>
                    <w:t>/组选评估表，将任务派至人/组。</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63</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评估组套路径，满足多人评估使用表单、多人签名，完整体现各角色使用模块。（提供系统界面截图）。</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64</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设置评估分派模式、评估分派对象控制、评估表选择方式，覆盖多场景、多流程模式。（提供系统界面截图）。</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65</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评估任务</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医师：</w:t>
                  </w:r>
                </w:p>
                <w:p>
                  <w:pPr>
                    <w:pStyle w:val="null3"/>
                    <w:jc w:val="left"/>
                  </w:pPr>
                  <w:r>
                    <w:rPr>
                      <w:rFonts w:ascii="仿宋_GB2312" w:hAnsi="仿宋_GB2312" w:cs="仿宋_GB2312" w:eastAsia="仿宋_GB2312"/>
                      <w:sz w:val="22"/>
                    </w:rPr>
                    <w:t>1、可查看个人/组评估任务列表。</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66</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2、支持对患者完成评估任务（含分派取消、电子签名等）。</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67</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3、支持对比评估、查看记录、批量操作、设置提醒。</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68</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4、支持配置评估表四方签名。</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69</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治疗师：</w:t>
                  </w:r>
                </w:p>
                <w:p>
                  <w:pPr>
                    <w:pStyle w:val="null3"/>
                    <w:jc w:val="left"/>
                  </w:pPr>
                  <w:r>
                    <w:rPr>
                      <w:rFonts w:ascii="仿宋_GB2312" w:hAnsi="仿宋_GB2312" w:cs="仿宋_GB2312" w:eastAsia="仿宋_GB2312"/>
                      <w:sz w:val="22"/>
                    </w:rPr>
                    <w:t>1、支持查看患者评估记录/详情，对比初/中/末期评估。</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70</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2、支持接收任务提醒。</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71</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3、支持配置评估表四方签名。</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72</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护师：可查看患者评估记录</w:t>
                  </w:r>
                  <w:r>
                    <w:rPr>
                      <w:rFonts w:ascii="仿宋_GB2312" w:hAnsi="仿宋_GB2312" w:cs="仿宋_GB2312" w:eastAsia="仿宋_GB2312"/>
                      <w:sz w:val="22"/>
                    </w:rPr>
                    <w:t>/详情，对比初/中/末期评估。</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73</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患者：可查看就诊评估记录；配合医护扫码完成签到确认、评估完成。</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74</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治疗分派</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医师、治疗师：</w:t>
                  </w:r>
                </w:p>
                <w:p>
                  <w:pPr>
                    <w:pStyle w:val="null3"/>
                    <w:jc w:val="left"/>
                  </w:pPr>
                  <w:r>
                    <w:rPr>
                      <w:rFonts w:ascii="仿宋_GB2312" w:hAnsi="仿宋_GB2312" w:cs="仿宋_GB2312" w:eastAsia="仿宋_GB2312"/>
                      <w:sz w:val="22"/>
                    </w:rPr>
                    <w:t>1、支持查看患者治疗医嘱列表，执行分派（含合并、批量等）、修改、取消操作并查看记录。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75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2、结合多信息自动排程，也可灵活调整，还可打印预约治疗单。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76</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3、支持科室情况配置排程（至人、组、地点）及自动/手动拆分排程。</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77</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设置不同主条件，适配多场景排程，如以患者为主、以治疗师为主、以区域为主等。（提供系统界面截图）</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78</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精细化排程，可根据患者时间、治疗项目、项目频次、治疗时长、项目开展区域、治疗师、设备、任务数、已排项目、治疗固定</w:t>
                  </w:r>
                  <w:r>
                    <w:rPr>
                      <w:rFonts w:ascii="仿宋_GB2312" w:hAnsi="仿宋_GB2312" w:cs="仿宋_GB2312" w:eastAsia="仿宋_GB2312"/>
                      <w:sz w:val="22"/>
                    </w:rPr>
                    <w:t>/任意时间设置、周期安排等要素综合排程。（提供系统界面截图）。</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79</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设置治疗时长、已占用时间提醒、批量操作等功能。（提供系统界面截图）。</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80</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治疗分组管理</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支持治疗分组管理，支持治疗医嘱分组推送支持治疗医嘱组合分派。</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81</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治疗任务</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医师、治疗师：</w:t>
                  </w:r>
                </w:p>
                <w:p>
                  <w:pPr>
                    <w:pStyle w:val="null3"/>
                    <w:jc w:val="left"/>
                  </w:pPr>
                  <w:r>
                    <w:rPr>
                      <w:rFonts w:ascii="仿宋_GB2312" w:hAnsi="仿宋_GB2312" w:cs="仿宋_GB2312" w:eastAsia="仿宋_GB2312"/>
                      <w:sz w:val="22"/>
                    </w:rPr>
                    <w:t>1、支持查看个人或存在组或某治疗地点的治疗任务列表。</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82</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2、支持对患者完成治疗任务。</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83</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支持对预约治疗任务取消。</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84</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4、支持患者占用时间提醒。</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5、支持患者治疗时间选择、完成、批量完成、转派、未完成。</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86</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6、支持电子签名/手写签名完成。</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87</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7、支持收费/退费、批量收费、收费明细。</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88</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8、支持查看患者治疗任务记录，打印治疗计划单、治疗记录单。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89</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9、支持对新入院患者、预出院患者进行提醒完成治疗任务并收费。</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90</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10、支持对高风险治疗进行提醒。</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91</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11、支持对治疗任务进行医保控费提醒（包括医保或自费患者医嘱标记查询、按医保要求生成康复治疗记录单、治疗合理性监测提醒等）。</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92</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12、可灵活配置：系统操作完成收费；扫码枪/PAD端/PDA扫码完成。</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93</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患者：</w:t>
                  </w:r>
                </w:p>
                <w:p>
                  <w:pPr>
                    <w:pStyle w:val="null3"/>
                    <w:jc w:val="both"/>
                  </w:pPr>
                  <w:r>
                    <w:rPr>
                      <w:rFonts w:ascii="仿宋_GB2312" w:hAnsi="仿宋_GB2312" w:cs="仿宋_GB2312" w:eastAsia="仿宋_GB2312"/>
                      <w:sz w:val="22"/>
                    </w:rPr>
                    <w:t>1、支持查看就诊人已预约治疗任务，根据预约时间、地点前往治疗室进行治疗。</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94</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2、支持查看就诊人治疗记录。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95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3、支持由医治护扫描二维码进行签到确认、治疗完成、治疗。</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96</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任务看板</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医师、治疗师通过</w:t>
                  </w:r>
                  <w:r>
                    <w:rPr>
                      <w:rFonts w:ascii="仿宋_GB2312" w:hAnsi="仿宋_GB2312" w:cs="仿宋_GB2312" w:eastAsia="仿宋_GB2312"/>
                      <w:sz w:val="22"/>
                    </w:rPr>
                    <w:t>PC端，可从治疗师、组、地点等多维度查看住院治疗任务看板，了解治疗师任务负荷与空闲时间，用于合理分配治疗资源。（提供系统界面截图）。</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97</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康复文书</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支持结构化运用，建立通用版康复文书。（提供系统界面截图）</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98</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支持自动获取数据、引用语句模板，整合</w:t>
                  </w:r>
                  <w:r>
                    <w:rPr>
                      <w:rFonts w:ascii="仿宋_GB2312" w:hAnsi="仿宋_GB2312" w:cs="仿宋_GB2312" w:eastAsia="仿宋_GB2312"/>
                      <w:sz w:val="22"/>
                    </w:rPr>
                    <w:t>HIS、康复相关数据。</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99</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治疗大屏</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医师、治疗师通过大屏，能以患者、地点、项目等维度查看当日已签到、待治疗信息。</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100</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支持患者借助大屏，可查看所在区域治疗顺序及等待情况。</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101</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家庭训练方案管理</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支持医院制定家庭训练方案。（提供系统界面截图）</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102</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2"/>
                    </w:rPr>
                    <w:t>支持采用小程序方式提供康复视频方案库，至少涵盖骨科康复、老年病康复、脑卒中康复、前庭康复、术后康复、运动损伤康复、孕期康复、盆底康复、儿童康复、呼吸康复这十大病种的个性化训练康复视频，针对本项目为患者至少提供一年的免费使用权，一年后患者可根据实际需求进行付费购买。</w:t>
                  </w:r>
                  <w:r>
                    <w:rPr>
                      <w:rFonts w:ascii="仿宋_GB2312" w:hAnsi="仿宋_GB2312" w:cs="仿宋_GB2312" w:eastAsia="仿宋_GB2312"/>
                      <w:sz w:val="22"/>
                    </w:rPr>
                    <w:t>（</w:t>
                  </w:r>
                  <w:r>
                    <w:rPr>
                      <w:rFonts w:ascii="仿宋_GB2312" w:hAnsi="仿宋_GB2312" w:cs="仿宋_GB2312" w:eastAsia="仿宋_GB2312"/>
                      <w:sz w:val="22"/>
                    </w:rPr>
                    <w:t>须</w:t>
                  </w:r>
                  <w:r>
                    <w:rPr>
                      <w:rFonts w:ascii="仿宋_GB2312" w:hAnsi="仿宋_GB2312" w:cs="仿宋_GB2312" w:eastAsia="仿宋_GB2312"/>
                      <w:sz w:val="22"/>
                    </w:rPr>
                    <w:t>对本项所有内容提供承诺函</w:t>
                  </w:r>
                  <w:r>
                    <w:rPr>
                      <w:rFonts w:ascii="仿宋_GB2312" w:hAnsi="仿宋_GB2312" w:cs="仿宋_GB2312" w:eastAsia="仿宋_GB2312"/>
                      <w:sz w:val="22"/>
                    </w:rPr>
                    <w:t>并加盖供应商公章</w:t>
                  </w:r>
                  <w:r>
                    <w:rPr>
                      <w:rFonts w:ascii="仿宋_GB2312" w:hAnsi="仿宋_GB2312" w:cs="仿宋_GB2312" w:eastAsia="仿宋_GB2312"/>
                      <w:sz w:val="22"/>
                    </w:rPr>
                    <w:t>）</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103</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w:t>
                  </w:r>
                  <w:r>
                    <w:rPr>
                      <w:rFonts w:ascii="仿宋_GB2312" w:hAnsi="仿宋_GB2312" w:cs="仿宋_GB2312" w:eastAsia="仿宋_GB2312"/>
                      <w:sz w:val="22"/>
                    </w:rPr>
                    <w:t>提供训练演示视频，具体内容如下：</w:t>
                  </w:r>
                  <w:r>
                    <w:rPr>
                      <w:rFonts w:ascii="仿宋_GB2312" w:hAnsi="仿宋_GB2312" w:cs="仿宋_GB2312" w:eastAsia="仿宋_GB2312"/>
                      <w:sz w:val="22"/>
                    </w:rPr>
                    <w:t>支持医生端医生可为患者制定康复视频方案，可以组选视频，规定康复训练频次，生成方案。</w:t>
                  </w:r>
                </w:p>
                <w:p>
                  <w:pPr>
                    <w:pStyle w:val="null3"/>
                    <w:jc w:val="both"/>
                  </w:pPr>
                  <w:r>
                    <w:rPr>
                      <w:rFonts w:ascii="仿宋_GB2312" w:hAnsi="仿宋_GB2312" w:cs="仿宋_GB2312" w:eastAsia="仿宋_GB2312"/>
                      <w:sz w:val="22"/>
                    </w:rPr>
                    <w:t>支持患者端患者可查阅方案，进行康复视频选择，康复视频动态播放，患者跟练后系统实现成就记录。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104</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医生端支持医生为患者制定康复视频方案，可以组选视频，规定康复训练频次，生成方案。</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105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患者端支持患者查阅方案，进行康复视频选择，康复视频动态播放，患者跟练后系统实现成就记录。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106</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住院统计</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支持医师、治疗师通过</w:t>
                  </w:r>
                  <w:r>
                    <w:rPr>
                      <w:rFonts w:ascii="仿宋_GB2312" w:hAnsi="仿宋_GB2312" w:cs="仿宋_GB2312" w:eastAsia="仿宋_GB2312"/>
                      <w:sz w:val="22"/>
                    </w:rPr>
                    <w:t>PC端，可查看自身工作量任务统计，以及住院患者数、评估率、治疗率等数据，用于工作分析与管理。</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107</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人员排班</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支持医师、治疗师通过</w:t>
                  </w:r>
                  <w:r>
                    <w:rPr>
                      <w:rFonts w:ascii="仿宋_GB2312" w:hAnsi="仿宋_GB2312" w:cs="仿宋_GB2312" w:eastAsia="仿宋_GB2312"/>
                      <w:sz w:val="22"/>
                    </w:rPr>
                    <w:t>PC端，可对医师、治疗师、护师进行早中晚班及多班次排班，还能查看科室人员排班情况。</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108</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病历归档</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支持医师、治疗师、护师通过</w:t>
                  </w:r>
                  <w:r>
                    <w:rPr>
                      <w:rFonts w:ascii="仿宋_GB2312" w:hAnsi="仿宋_GB2312" w:cs="仿宋_GB2312" w:eastAsia="仿宋_GB2312"/>
                      <w:sz w:val="22"/>
                    </w:rPr>
                    <w:t>PC端，可查看康复医学科出院归档患者列表，及患者详情（含就诊、康复信息等）。</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109</w:t>
                  </w:r>
                </w:p>
              </w:tc>
              <w:tc>
                <w:tcPr>
                  <w:tcW w:type="dxa" w:w="3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智能评估管理</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智能评估</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支持评估所需要的基础功能</w:t>
                  </w:r>
                  <w:r>
                    <w:rPr>
                      <w:rFonts w:ascii="仿宋_GB2312" w:hAnsi="仿宋_GB2312" w:cs="仿宋_GB2312" w:eastAsia="仿宋_GB2312"/>
                      <w:sz w:val="22"/>
                    </w:rPr>
                    <w:t>,满足创建评估方案-&gt;调整评估量表-&gt;执行评估-&gt;书写评估报告-&gt;完成评估-&gt;评估查看-&gt;评估对比等业务要求。</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110</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支持对接</w:t>
                  </w:r>
                  <w:r>
                    <w:rPr>
                      <w:rFonts w:ascii="仿宋_GB2312" w:hAnsi="仿宋_GB2312" w:cs="仿宋_GB2312" w:eastAsia="仿宋_GB2312"/>
                      <w:sz w:val="22"/>
                    </w:rPr>
                    <w:t>HIS，根据HIS评估医嘱自动创建评估方案，可支持再编辑。</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111</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支持提供丰富的常用评估量表、成人评估量表、儿童评估量表，以及提供量表定制功能、评估量表执行结果重置重新执行功能，评估量表取消功能、评估量表结果审核功能。</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112</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支持提供专业的康复文书结构化评估报告可书写、编辑、重新设计、且报告模板可自定义定制。</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113</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具备结构化评估量表库，包含不少于</w:t>
                  </w:r>
                  <w:r>
                    <w:rPr>
                      <w:rFonts w:ascii="仿宋_GB2312" w:hAnsi="仿宋_GB2312" w:cs="仿宋_GB2312" w:eastAsia="仿宋_GB2312"/>
                      <w:sz w:val="22"/>
                    </w:rPr>
                    <w:t>100份根据国际ICF标准或国内行业标准进行编辑制定的评估量表模版，量表内置常模，且常模可编辑，包含但不限于以下量表：</w:t>
                  </w:r>
                </w:p>
                <w:p>
                  <w:pPr>
                    <w:pStyle w:val="null3"/>
                    <w:jc w:val="both"/>
                  </w:pPr>
                  <w:r>
                    <w:rPr>
                      <w:rFonts w:ascii="仿宋_GB2312" w:hAnsi="仿宋_GB2312" w:cs="仿宋_GB2312" w:eastAsia="仿宋_GB2312"/>
                      <w:sz w:val="22"/>
                    </w:rPr>
                    <w:t>Frenchay神经性言语障碍评定表、便秘患者生活质量量表（PAC-QOL）、平衡评定量表（Berg）、神经源性膀胱症状评分（NBSS）、简明精神状态检查量表（MMSE）、脊髓损伤独立性评估、格拉斯哥昏迷量表评定（GCS）、Brunnstrom偏瘫运动功能评定标准及评定结果、Fugl-Meyer评定量表（上肢、下肢、平衡功能）、上肢ROM评定表、洼田饮水试验评定表、口颜面失用言语失用检查、吞咽功能临床评估、吞咽造影检查、功能独立性评定(FIM)量表、ADL评价表（Barthel指数法）等。</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114</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支持按医院</w:t>
                  </w:r>
                  <w:r>
                    <w:rPr>
                      <w:rFonts w:ascii="仿宋_GB2312" w:hAnsi="仿宋_GB2312" w:cs="仿宋_GB2312" w:eastAsia="仿宋_GB2312"/>
                      <w:sz w:val="22"/>
                    </w:rPr>
                    <w:t>/科室要求新增定制化评估量表。</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115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支持评估数据支持结构化录入及存储。</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116</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支持实现评估医嘱的智能分派、任务执行与结果分析的闭环管理。</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117</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支持评估数据结构化录入与存储，可直观展示不同阶段评估结果比对，自动生成含常模参考的评估报告并支持自定义打印设置。</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118</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支持依托移动评估</w:t>
                  </w:r>
                  <w:r>
                    <w:rPr>
                      <w:rFonts w:ascii="仿宋_GB2312" w:hAnsi="仿宋_GB2312" w:cs="仿宋_GB2312" w:eastAsia="仿宋_GB2312"/>
                      <w:sz w:val="22"/>
                    </w:rPr>
                    <w:t>PAD 端实现床旁评估数据实时采集，支持扫码确认，联动康复文书系统形成评估-治疗全流程记录。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119</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支持为临床提供早期康复介入医嘱推荐，助力提升评估效率与诊疗质量。</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120</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支持评估量表定制化。</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121</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w:t>
                  </w:r>
                  <w:r>
                    <w:rPr>
                      <w:rFonts w:ascii="仿宋_GB2312" w:hAnsi="仿宋_GB2312" w:cs="仿宋_GB2312" w:eastAsia="仿宋_GB2312"/>
                      <w:sz w:val="22"/>
                    </w:rPr>
                    <w:t>提供智能评估演示视频，具体内容如下：</w:t>
                  </w:r>
                </w:p>
                <w:p>
                  <w:pPr>
                    <w:pStyle w:val="null3"/>
                    <w:jc w:val="both"/>
                  </w:pPr>
                  <w:r>
                    <w:rPr>
                      <w:rFonts w:ascii="仿宋_GB2312" w:hAnsi="仿宋_GB2312" w:cs="仿宋_GB2312" w:eastAsia="仿宋_GB2312"/>
                      <w:sz w:val="22"/>
                    </w:rPr>
                    <w:t>支持查看查询患者评估医嘱列表，对评估医嘱执行分派、合并分派、修改、取消操作。（演示中需展示可合并分派医嘱和不可合并分派医嘱操作）</w:t>
                  </w:r>
                  <w:r>
                    <w:rPr>
                      <w:rFonts w:ascii="仿宋_GB2312" w:hAnsi="仿宋_GB2312" w:cs="仿宋_GB2312" w:eastAsia="仿宋_GB2312"/>
                      <w:sz w:val="22"/>
                    </w:rPr>
                    <w:t>支持系统灵活配置分派模式，设置评估分派方式、评估分派对象、评估表选择方式，覆盖多场景、多流程模式。</w:t>
                  </w:r>
                  <w:r>
                    <w:rPr>
                      <w:rFonts w:ascii="仿宋_GB2312" w:hAnsi="仿宋_GB2312" w:cs="仿宋_GB2312" w:eastAsia="仿宋_GB2312"/>
                      <w:sz w:val="22"/>
                    </w:rPr>
                    <w:t>支持结构化编辑评估量表，提供不少于</w:t>
                  </w:r>
                  <w:r>
                    <w:rPr>
                      <w:rFonts w:ascii="仿宋_GB2312" w:hAnsi="仿宋_GB2312" w:cs="仿宋_GB2312" w:eastAsia="仿宋_GB2312"/>
                      <w:sz w:val="22"/>
                    </w:rPr>
                    <w:t>200张康复常用评估量表，支持根据类型划分评估量表库，如PT、OT、ST等。</w:t>
                  </w:r>
                  <w:r>
                    <w:rPr>
                      <w:rFonts w:ascii="仿宋_GB2312" w:hAnsi="仿宋_GB2312" w:cs="仿宋_GB2312" w:eastAsia="仿宋_GB2312"/>
                      <w:sz w:val="22"/>
                    </w:rPr>
                    <w:t>支持自动计算分值，并根据分值自动得出评估结果。（演示中需展示出不同分值得出不同评估结果）</w:t>
                  </w:r>
                </w:p>
                <w:p>
                  <w:pPr>
                    <w:pStyle w:val="null3"/>
                    <w:jc w:val="both"/>
                  </w:pPr>
                  <w:r>
                    <w:rPr>
                      <w:rFonts w:ascii="仿宋_GB2312" w:hAnsi="仿宋_GB2312" w:cs="仿宋_GB2312" w:eastAsia="仿宋_GB2312"/>
                      <w:sz w:val="22"/>
                    </w:rPr>
                    <w:t>支持根据评估结果推荐治疗方案。（演示中需展示出推荐的治疗方案的默认值，及后台可维护治疗方案默认值）</w:t>
                  </w:r>
                  <w:r>
                    <w:rPr>
                      <w:rFonts w:ascii="仿宋_GB2312" w:hAnsi="仿宋_GB2312" w:cs="仿宋_GB2312" w:eastAsia="仿宋_GB2312"/>
                      <w:sz w:val="22"/>
                    </w:rPr>
                    <w:t>支持对评估表进行四方签名配置。</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122</w:t>
                  </w:r>
                </w:p>
              </w:tc>
              <w:tc>
                <w:tcPr>
                  <w:tcW w:type="dxa" w:w="3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智能排程管理</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智能排程</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智能排程管理功能支持综合考量治疗师排班、治疗室资源、设备占用情况及患者诊疗计划等多维度因素，一键自动生成优化的治疗任务排程方案。</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123</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依据预设规则，对治疗项目、时间、执行人员及场地进行智能匹配与动态调整，遇资源冲突或任务变更时，能快速重新规划并同步更新排程信息，便于管理人员监控与决策，助力提升康复中心资源利用效率与诊疗服务协同性，保障康复治疗流程有序推进。</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124</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可视化大屏患者排程：支持不同治疗区域的大屏排班显示。</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w:t>
                  </w:r>
                  <w:r>
                    <w:rPr>
                      <w:rFonts w:ascii="仿宋_GB2312" w:hAnsi="仿宋_GB2312" w:cs="仿宋_GB2312" w:eastAsia="仿宋_GB2312"/>
                      <w:sz w:val="22"/>
                    </w:rPr>
                    <w:t>提供智能治疗排程演示视频，具体内容如下：</w:t>
                  </w:r>
                </w:p>
                <w:p>
                  <w:pPr>
                    <w:pStyle w:val="null3"/>
                    <w:jc w:val="both"/>
                  </w:pPr>
                  <w:r>
                    <w:rPr>
                      <w:rFonts w:ascii="仿宋_GB2312" w:hAnsi="仿宋_GB2312" w:cs="仿宋_GB2312" w:eastAsia="仿宋_GB2312"/>
                      <w:sz w:val="22"/>
                    </w:rPr>
                    <w:t>支持查看查询患者治疗医嘱列表，对治疗医嘱自动区分进行长期安排、临时安排。</w:t>
                  </w:r>
                  <w:r>
                    <w:rPr>
                      <w:rFonts w:ascii="仿宋_GB2312" w:hAnsi="仿宋_GB2312" w:cs="仿宋_GB2312" w:eastAsia="仿宋_GB2312"/>
                      <w:sz w:val="22"/>
                    </w:rPr>
                    <w:t>支持对治疗医嘱执行分派、批量分派、修改等操作。</w:t>
                  </w:r>
                  <w:r>
                    <w:rPr>
                      <w:rFonts w:ascii="仿宋_GB2312" w:hAnsi="仿宋_GB2312" w:cs="仿宋_GB2312" w:eastAsia="仿宋_GB2312"/>
                      <w:sz w:val="22"/>
                    </w:rPr>
                    <w:t>支持精细化排程，可根据患者时间、治疗项目、项目频次、治疗时长、治疗地点、治疗师、设备、任务数、已排项目等要素综合排程。（演示中需展示此项目当日已排任务数详情及各时间段已排几项）</w:t>
                  </w:r>
                  <w:r>
                    <w:rPr>
                      <w:rFonts w:ascii="仿宋_GB2312" w:hAnsi="仿宋_GB2312" w:cs="仿宋_GB2312" w:eastAsia="仿宋_GB2312"/>
                      <w:sz w:val="22"/>
                    </w:rPr>
                    <w:t>支持对长期治疗医嘱设置周期安排，系统自动排程任务。</w:t>
                  </w:r>
                  <w:r>
                    <w:rPr>
                      <w:rFonts w:ascii="仿宋_GB2312" w:hAnsi="仿宋_GB2312" w:cs="仿宋_GB2312" w:eastAsia="仿宋_GB2312"/>
                      <w:sz w:val="22"/>
                    </w:rPr>
                    <w:t>支持治疗师可将当天的治疗项目转派至其他治疗师。</w:t>
                  </w:r>
                  <w:r>
                    <w:rPr>
                      <w:rFonts w:ascii="仿宋_GB2312" w:hAnsi="仿宋_GB2312" w:cs="仿宋_GB2312" w:eastAsia="仿宋_GB2312"/>
                      <w:sz w:val="22"/>
                    </w:rPr>
                    <w:t>支持完成时提醒治疗师查看患者已完成项目及已完成占用时间。</w:t>
                  </w:r>
                  <w:r>
                    <w:rPr>
                      <w:rFonts w:ascii="仿宋_GB2312" w:hAnsi="仿宋_GB2312" w:cs="仿宋_GB2312" w:eastAsia="仿宋_GB2312"/>
                      <w:sz w:val="22"/>
                    </w:rPr>
                    <w:t>支持完成时选择治疗时间。（演示中需展示若选择的治疗时间重复或时间已占用的弹框提醒）</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126</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早介中心</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康复雷达</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支持医师、治疗师可基于诊断、医嘱等关键字，从全院患者里精准筛选需高度康复介入者，再结合病情评估做治疗医嘱推荐，锁定早期康复干预目标人群。</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127</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病历归档</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病历归档</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支持医师、治疗师、护师借</w:t>
                  </w:r>
                  <w:r>
                    <w:rPr>
                      <w:rFonts w:ascii="仿宋_GB2312" w:hAnsi="仿宋_GB2312" w:cs="仿宋_GB2312" w:eastAsia="仿宋_GB2312"/>
                      <w:sz w:val="22"/>
                    </w:rPr>
                    <w:t>PC 端，可查看康复医学科出院归档患者列表，及患者就诊、康复信息等详情，便于医护查阅管理病历。</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128</w:t>
                  </w:r>
                </w:p>
              </w:tc>
              <w:tc>
                <w:tcPr>
                  <w:tcW w:type="dxa" w:w="3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消息中心</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总体要求</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支持提供灵活的消息提示机制，可通过多种通讯方式获取系统发送的提示信息。</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129</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支持提供预出院患者提醒、评估提醒、治疗提醒、质控逾期提醒等消息推送。</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130</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预出院患者提醒</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医治护（</w:t>
                  </w:r>
                  <w:r>
                    <w:rPr>
                      <w:rFonts w:ascii="仿宋_GB2312" w:hAnsi="仿宋_GB2312" w:cs="仿宋_GB2312" w:eastAsia="仿宋_GB2312"/>
                      <w:sz w:val="22"/>
                    </w:rPr>
                    <w:t>PC端）支持实现预出院患者提醒，预设在院周期，提醒评估医师/治疗师对预出院患者完成评估/治疗任务。</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131</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质控逾期提醒</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医治护（</w:t>
                  </w:r>
                  <w:r>
                    <w:rPr>
                      <w:rFonts w:ascii="仿宋_GB2312" w:hAnsi="仿宋_GB2312" w:cs="仿宋_GB2312" w:eastAsia="仿宋_GB2312"/>
                      <w:sz w:val="22"/>
                    </w:rPr>
                    <w:t>PC端）支持实现质控逾期提醒，可根据设置评估任务时长，提醒评估医师在规定时间之内完成评估任务。可实现治疗过程时间质控管理。</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132</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评估提醒</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医治护（</w:t>
                  </w:r>
                  <w:r>
                    <w:rPr>
                      <w:rFonts w:ascii="仿宋_GB2312" w:hAnsi="仿宋_GB2312" w:cs="仿宋_GB2312" w:eastAsia="仿宋_GB2312"/>
                      <w:sz w:val="22"/>
                    </w:rPr>
                    <w:t>PC端）支持实现评估提醒，支持未分派、已分派、待评估、已完成评估任务数量提醒。</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133</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治疗提醒</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医治护（</w:t>
                  </w:r>
                  <w:r>
                    <w:rPr>
                      <w:rFonts w:ascii="仿宋_GB2312" w:hAnsi="仿宋_GB2312" w:cs="仿宋_GB2312" w:eastAsia="仿宋_GB2312"/>
                      <w:sz w:val="22"/>
                    </w:rPr>
                    <w:t>PC端）支持实现治疗提醒，支持未分派、已分派、待治疗、未完成、已完成治疗任务数量提醒。</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134</w:t>
                  </w:r>
                </w:p>
              </w:tc>
              <w:tc>
                <w:tcPr>
                  <w:tcW w:type="dxa" w:w="3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康复</w:t>
                  </w:r>
                  <w:r>
                    <w:rPr>
                      <w:rFonts w:ascii="仿宋_GB2312" w:hAnsi="仿宋_GB2312" w:cs="仿宋_GB2312" w:eastAsia="仿宋_GB2312"/>
                      <w:sz w:val="22"/>
                    </w:rPr>
                    <w:t>AI助手</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康复</w:t>
                  </w:r>
                  <w:r>
                    <w:rPr>
                      <w:rFonts w:ascii="仿宋_GB2312" w:hAnsi="仿宋_GB2312" w:cs="仿宋_GB2312" w:eastAsia="仿宋_GB2312"/>
                      <w:sz w:val="22"/>
                    </w:rPr>
                    <w:t>AI助手</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康复</w:t>
                  </w:r>
                  <w:r>
                    <w:rPr>
                      <w:rFonts w:ascii="仿宋_GB2312" w:hAnsi="仿宋_GB2312" w:cs="仿宋_GB2312" w:eastAsia="仿宋_GB2312"/>
                      <w:sz w:val="22"/>
                    </w:rPr>
                    <w:t>AI助手控件入口支持在系统中多功能界面部署。</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135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支持基于专业康复医学领域书籍的知识库，实现人机康复交互问答。</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136</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w:t>
                  </w:r>
                  <w:r>
                    <w:rPr>
                      <w:rFonts w:ascii="仿宋_GB2312" w:hAnsi="仿宋_GB2312" w:cs="仿宋_GB2312" w:eastAsia="仿宋_GB2312"/>
                      <w:sz w:val="22"/>
                    </w:rPr>
                    <w:t>提供康复</w:t>
                  </w:r>
                  <w:r>
                    <w:rPr>
                      <w:rFonts w:ascii="仿宋_GB2312" w:hAnsi="仿宋_GB2312" w:cs="仿宋_GB2312" w:eastAsia="仿宋_GB2312"/>
                      <w:sz w:val="22"/>
                    </w:rPr>
                    <w:t>AI助手演示视频，具体内容如下：</w:t>
                  </w:r>
                </w:p>
                <w:p>
                  <w:pPr>
                    <w:pStyle w:val="null3"/>
                    <w:jc w:val="both"/>
                  </w:pPr>
                  <w:r>
                    <w:rPr>
                      <w:rFonts w:ascii="仿宋_GB2312" w:hAnsi="仿宋_GB2312" w:cs="仿宋_GB2312" w:eastAsia="仿宋_GB2312"/>
                      <w:sz w:val="22"/>
                    </w:rPr>
                    <w:t>康复</w:t>
                  </w:r>
                  <w:r>
                    <w:rPr>
                      <w:rFonts w:ascii="仿宋_GB2312" w:hAnsi="仿宋_GB2312" w:cs="仿宋_GB2312" w:eastAsia="仿宋_GB2312"/>
                      <w:sz w:val="22"/>
                    </w:rPr>
                    <w:t>AI助手控件模块可悬浮在系统各平台/中心界面, 模块支持拖拉自动回到界面的左侧或右侧而不影响系统操作。（演示时需在首页、门诊平台、住院/临床平台、早介中心、病历归档、知识库中心、质控中心、设备中心、统计中心都进行模块控件拖拉至界面中心位置，松开鼠标后，指针仍在中心位置，AI助手模块自动回到初始位置或界面另一侧）；</w:t>
                  </w:r>
                </w:p>
                <w:p>
                  <w:pPr>
                    <w:pStyle w:val="null3"/>
                    <w:jc w:val="both"/>
                  </w:pPr>
                  <w:r>
                    <w:rPr>
                      <w:rFonts w:ascii="仿宋_GB2312" w:hAnsi="仿宋_GB2312" w:cs="仿宋_GB2312" w:eastAsia="仿宋_GB2312"/>
                      <w:sz w:val="22"/>
                    </w:rPr>
                    <w:t>可选择模型和知识库（知识库名称需要与基于授权无版权纠纷的书籍名称</w:t>
                  </w:r>
                  <w:r>
                    <w:rPr>
                      <w:rFonts w:ascii="仿宋_GB2312" w:hAnsi="仿宋_GB2312" w:cs="仿宋_GB2312" w:eastAsia="仿宋_GB2312"/>
                      <w:sz w:val="22"/>
                    </w:rPr>
                    <w:t>/简称一致）；</w:t>
                  </w:r>
                </w:p>
                <w:p>
                  <w:pPr>
                    <w:pStyle w:val="null3"/>
                    <w:jc w:val="both"/>
                  </w:pPr>
                  <w:r>
                    <w:rPr>
                      <w:rFonts w:ascii="仿宋_GB2312" w:hAnsi="仿宋_GB2312" w:cs="仿宋_GB2312" w:eastAsia="仿宋_GB2312"/>
                      <w:sz w:val="22"/>
                    </w:rPr>
                    <w:t>演示</w:t>
                  </w:r>
                  <w:r>
                    <w:rPr>
                      <w:rFonts w:ascii="仿宋_GB2312" w:hAnsi="仿宋_GB2312" w:cs="仿宋_GB2312" w:eastAsia="仿宋_GB2312"/>
                      <w:sz w:val="22"/>
                    </w:rPr>
                    <w:t>AI助手支持多轮对话、语义理解和上下文联想，可识别用户口语化或模糊表述，回答解析问题。</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137</w:t>
                  </w:r>
                </w:p>
              </w:tc>
              <w:tc>
                <w:tcPr>
                  <w:tcW w:type="dxa" w:w="3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知识库中心</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医师（</w:t>
                  </w:r>
                  <w:r>
                    <w:rPr>
                      <w:rFonts w:ascii="仿宋_GB2312" w:hAnsi="仿宋_GB2312" w:cs="仿宋_GB2312" w:eastAsia="仿宋_GB2312"/>
                      <w:sz w:val="22"/>
                    </w:rPr>
                    <w:t>PC 端）</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支持实现知识内容（含图文、视频）的查看、上传、下载、编辑、删除，满足知识更新维护。</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138</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支持查阅政策指导、康复干预等专业知识库，为临床康复诊疗、教学及患者管理提供知识支持。</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139</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患者（小程序）</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支持查看病房作业、家庭康复等知识内容，以便在家或病房开展康复训练。</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140</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宣教知识库</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支持宣教资料库业务应用，提供宣教资料的综合管理，宣教管理功能可根据不同受众为用户提供入院宣教、评估宣教、治疗宣教等多种宣教信息。</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141</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治疗方案知识库</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w:t>
                  </w:r>
                  <w:r>
                    <w:rPr>
                      <w:rFonts w:ascii="仿宋_GB2312" w:hAnsi="仿宋_GB2312" w:cs="仿宋_GB2312" w:eastAsia="仿宋_GB2312"/>
                      <w:sz w:val="22"/>
                    </w:rPr>
                    <w:t>提供知识库演示视频，具体内容如下：</w:t>
                  </w:r>
                </w:p>
                <w:p>
                  <w:pPr>
                    <w:pStyle w:val="null3"/>
                    <w:jc w:val="both"/>
                  </w:pPr>
                  <w:r>
                    <w:rPr>
                      <w:rFonts w:ascii="仿宋_GB2312" w:hAnsi="仿宋_GB2312" w:cs="仿宋_GB2312" w:eastAsia="仿宋_GB2312"/>
                      <w:sz w:val="22"/>
                    </w:rPr>
                    <w:t>支持根据类型、功能障碍设置评估表的评估结果对应的治疗方案，设置治疗方案推荐默认值。控制评估表结果推荐治疗方案及治疗方案默认值。支持新增、编辑、删除治疗方案知识库。（演示中需展示治疗方案推荐可设置默认值，以及后台治疗方案知识库维护与评估表治疗方案应用流程）</w:t>
                  </w:r>
                </w:p>
                <w:p>
                  <w:pPr>
                    <w:pStyle w:val="null3"/>
                    <w:jc w:val="both"/>
                  </w:pPr>
                  <w:r>
                    <w:rPr>
                      <w:rFonts w:ascii="仿宋_GB2312" w:hAnsi="仿宋_GB2312" w:cs="仿宋_GB2312" w:eastAsia="仿宋_GB2312"/>
                      <w:sz w:val="22"/>
                    </w:rPr>
                    <w:t>支持根据医嘱业务类型、组合方式，选择部分医嘱组合，控制评估医嘱分派、治疗医嘱分派。支持新增、编辑、删除合并医嘱库。（演示中需展示后台合并医嘱库维护及医嘱分派时应用流程）</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142</w:t>
                  </w:r>
                </w:p>
              </w:tc>
              <w:tc>
                <w:tcPr>
                  <w:tcW w:type="dxa" w:w="3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设备中心</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设备总览</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查看各地点中的设备信息：如治疗次数、收费金额、保养次数、保养时间等。</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143</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设备列表</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新增、编辑、删除维护设备信息，设置维保周期、关联康复项目。</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144</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设备维保</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对设备进行维保管理。</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145</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设备报废</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对设备进行报废记录管理。</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146</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供应商管理</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新增、删除、编辑设备的供应商记录。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147</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日常巡检管理</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负责人每日检查设备情况，记录设备运行状态。</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148</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设备巡检看板</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查看每月设备巡检情况。</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149</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设备维修管理</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新增、编辑、维修、删除设备维修记录。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150</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治疗设备</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w:t>
                  </w:r>
                  <w:r>
                    <w:rPr>
                      <w:rFonts w:ascii="仿宋_GB2312" w:hAnsi="仿宋_GB2312" w:cs="仿宋_GB2312" w:eastAsia="仿宋_GB2312"/>
                      <w:sz w:val="22"/>
                    </w:rPr>
                    <w:t>提供治疗设备演示视频，具体内容如下：</w:t>
                  </w:r>
                  <w:r>
                    <w:rPr>
                      <w:rFonts w:ascii="仿宋_GB2312" w:hAnsi="仿宋_GB2312" w:cs="仿宋_GB2312" w:eastAsia="仿宋_GB2312"/>
                      <w:sz w:val="22"/>
                    </w:rPr>
                    <w:t>支持查看各治疗地点中的设备总览信息。（演示中需以卡片形式展示设备总览看板，可下钻查看设备治疗记录、保养记录明细）</w:t>
                  </w:r>
                </w:p>
                <w:p>
                  <w:pPr>
                    <w:pStyle w:val="null3"/>
                    <w:ind w:firstLine="220"/>
                    <w:jc w:val="both"/>
                  </w:pPr>
                  <w:r>
                    <w:rPr>
                      <w:rFonts w:ascii="仿宋_GB2312" w:hAnsi="仿宋_GB2312" w:cs="仿宋_GB2312" w:eastAsia="仿宋_GB2312"/>
                      <w:sz w:val="22"/>
                    </w:rPr>
                    <w:t>支持查看设备列表，可维护、新增、编辑、删除设备信息，设置设备维保周期、关联康复治疗项目。</w:t>
                  </w:r>
                </w:p>
                <w:p>
                  <w:pPr>
                    <w:pStyle w:val="null3"/>
                    <w:ind w:firstLine="220"/>
                    <w:jc w:val="both"/>
                  </w:pPr>
                  <w:r>
                    <w:rPr>
                      <w:rFonts w:ascii="仿宋_GB2312" w:hAnsi="仿宋_GB2312" w:cs="仿宋_GB2312" w:eastAsia="仿宋_GB2312"/>
                      <w:sz w:val="22"/>
                    </w:rPr>
                    <w:t>支持查看设备维保列表，对设备维保进行完成、未完成操作。支持完成设备维保，选择实际完成时间、保养人，书写保养记录。支持设备维保未完成时，书写未完成原因。</w:t>
                  </w:r>
                </w:p>
                <w:p>
                  <w:pPr>
                    <w:pStyle w:val="null3"/>
                    <w:ind w:firstLine="220"/>
                    <w:jc w:val="both"/>
                  </w:pPr>
                  <w:r>
                    <w:rPr>
                      <w:rFonts w:ascii="仿宋_GB2312" w:hAnsi="仿宋_GB2312" w:cs="仿宋_GB2312" w:eastAsia="仿宋_GB2312"/>
                      <w:sz w:val="22"/>
                    </w:rPr>
                    <w:t>支持查看设备报废列表，新增、编辑、取消报废记录。</w:t>
                  </w:r>
                </w:p>
                <w:p>
                  <w:pPr>
                    <w:pStyle w:val="null3"/>
                    <w:ind w:firstLine="220"/>
                    <w:jc w:val="both"/>
                  </w:pPr>
                  <w:r>
                    <w:rPr>
                      <w:rFonts w:ascii="仿宋_GB2312" w:hAnsi="仿宋_GB2312" w:cs="仿宋_GB2312" w:eastAsia="仿宋_GB2312"/>
                      <w:sz w:val="22"/>
                    </w:rPr>
                    <w:t>支持查看设备供应商列表，维护新增、编辑、删除设备供应商记录。</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151</w:t>
                  </w:r>
                </w:p>
              </w:tc>
              <w:tc>
                <w:tcPr>
                  <w:tcW w:type="dxa" w:w="3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移动端应用中心</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医生移动端</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康复医生移动端功能包括：首页可查看患者列表及详情、个人账号的评估任务（待评估、未完成、已完成</w:t>
                  </w:r>
                  <w:r>
                    <w:rPr>
                      <w:rFonts w:ascii="仿宋_GB2312" w:hAnsi="仿宋_GB2312" w:cs="仿宋_GB2312" w:eastAsia="仿宋_GB2312"/>
                      <w:sz w:val="22"/>
                    </w:rPr>
                    <w:t>）、治疗任务（待评估、未完成、已完成</w:t>
                  </w:r>
                  <w:r>
                    <w:rPr>
                      <w:rFonts w:ascii="仿宋_GB2312" w:hAnsi="仿宋_GB2312" w:cs="仿宋_GB2312" w:eastAsia="仿宋_GB2312"/>
                      <w:sz w:val="22"/>
                    </w:rPr>
                    <w:t>）、患教资料列表；微信服务通知可推送各类业务信息；</w:t>
                  </w:r>
                  <w:r>
                    <w:rPr>
                      <w:rFonts w:ascii="仿宋_GB2312" w:hAnsi="仿宋_GB2312" w:cs="仿宋_GB2312" w:eastAsia="仿宋_GB2312"/>
                      <w:sz w:val="22"/>
                    </w:rPr>
                    <w:t>“我的” 可查看个人账号信息。</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152</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患者移动端</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康复患者移动端包含首页、微信服务通知和</w:t>
                  </w:r>
                  <w:r>
                    <w:rPr>
                      <w:rFonts w:ascii="仿宋_GB2312" w:hAnsi="仿宋_GB2312" w:cs="仿宋_GB2312" w:eastAsia="仿宋_GB2312"/>
                      <w:sz w:val="22"/>
                    </w:rPr>
                    <w:t>“我的” 三个部分：首页可查看待办任务、评估及治疗历史、康复宣教内容，进行满意度评价，生成就诊人二维码；微信服务通知推送当日待做评估和治疗任务；“我的” 可查看个人信息、填写绑定就诊人信息及生成就诊人二维码。</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153</w:t>
                  </w:r>
                </w:p>
              </w:tc>
              <w:tc>
                <w:tcPr>
                  <w:tcW w:type="dxa" w:w="3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统计中心</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门诊</w:t>
                  </w:r>
                  <w:r>
                    <w:rPr>
                      <w:rFonts w:ascii="仿宋_GB2312" w:hAnsi="仿宋_GB2312" w:cs="仿宋_GB2312" w:eastAsia="仿宋_GB2312"/>
                      <w:sz w:val="22"/>
                    </w:rPr>
                    <w:t>/住院/临床康复平台统计</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包含工作量、患者数统计，以及评估、治疗率数据，用于不同诊疗场景的业务分析。</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154</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科室驾驶舱统计</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聚焦科室整体，对科室情况、人员、评估、治疗、收费、设备维护等多维度数据进行统计与可视化展示。（提供系统界面截图）</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155</w:t>
                  </w:r>
                </w:p>
              </w:tc>
              <w:tc>
                <w:tcPr>
                  <w:tcW w:type="dxa" w:w="3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医保中心</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医保信息</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支持录入医保的医嘱编码、名称、医保代码、医保名称、医保支付类别、计价单位等基本信息。</w:t>
                  </w:r>
                </w:p>
                <w:p>
                  <w:pPr>
                    <w:pStyle w:val="null3"/>
                    <w:jc w:val="both"/>
                  </w:pPr>
                  <w:r>
                    <w:rPr>
                      <w:rFonts w:ascii="仿宋_GB2312" w:hAnsi="仿宋_GB2312" w:cs="仿宋_GB2312" w:eastAsia="仿宋_GB2312"/>
                      <w:sz w:val="22"/>
                    </w:rPr>
                    <w:t>支持添加医保规则。</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156</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医保规则</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支持录入新增医保规则名称、提醒内容并设置触发条件。</w:t>
                  </w:r>
                </w:p>
                <w:p>
                  <w:pPr>
                    <w:pStyle w:val="null3"/>
                    <w:jc w:val="both"/>
                  </w:pPr>
                  <w:r>
                    <w:rPr>
                      <w:rFonts w:ascii="仿宋_GB2312" w:hAnsi="仿宋_GB2312" w:cs="仿宋_GB2312" w:eastAsia="仿宋_GB2312"/>
                      <w:sz w:val="22"/>
                    </w:rPr>
                    <w:t>支持设备触发条件，如医生资质、诊断、年龄</w:t>
                  </w:r>
                  <w:r>
                    <w:rPr>
                      <w:rFonts w:ascii="仿宋_GB2312" w:hAnsi="仿宋_GB2312" w:cs="仿宋_GB2312" w:eastAsia="仿宋_GB2312"/>
                      <w:sz w:val="22"/>
                    </w:rPr>
                    <w:t>(岁)、支付次数[单日]等。</w:t>
                  </w:r>
                </w:p>
                <w:p>
                  <w:pPr>
                    <w:pStyle w:val="null3"/>
                    <w:jc w:val="both"/>
                  </w:pPr>
                  <w:r>
                    <w:rPr>
                      <w:rFonts w:ascii="仿宋_GB2312" w:hAnsi="仿宋_GB2312" w:cs="仿宋_GB2312" w:eastAsia="仿宋_GB2312"/>
                      <w:sz w:val="22"/>
                    </w:rPr>
                    <w:t>支持根据医保规则进行提示。</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157</w:t>
                  </w:r>
                </w:p>
              </w:tc>
              <w:tc>
                <w:tcPr>
                  <w:tcW w:type="dxa" w:w="3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物联中心</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设备管理</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新增、编辑、删除维护物联设备编码、型号、名称、供应商，编辑维护物联设备对接接口。</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158</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接口管理</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查看物联设备维护的接口列表，编辑修改接口内容。</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159</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推送日志</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根据时间段查看康复系统向物联设备推送患者治疗任务日志。</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160</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数据报告日志</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根据时间段查看物联设备向康复系统推送治疗原始数据报告日志。</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161</w:t>
                  </w:r>
                </w:p>
              </w:tc>
              <w:tc>
                <w:tcPr>
                  <w:tcW w:type="dxa" w:w="379"/>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图文报告日志</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根据时间段查看物联设备向康复系统推送治疗图文数据报告日志。</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162</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即时通讯</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即时通讯</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支持即时连线科室团队人员发起音视频沟通会议，支持文字交流，支持图片、文件传输。（提供系统界面截图）</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163</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系统协同</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系统协同</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2"/>
                    </w:rPr>
                    <w:t>支持康复信息共享，能为康复远程会诊系统提供数据支撑，数据在两个系统中实时一致，无冗余录入，系统支持模块化嵌入对接方式，具备嵌入模块界面风格、操作逻辑与现有系统一致，无感知切换。</w:t>
                  </w:r>
                  <w:r>
                    <w:rPr>
                      <w:rFonts w:ascii="仿宋_GB2312" w:hAnsi="仿宋_GB2312" w:cs="仿宋_GB2312" w:eastAsia="仿宋_GB2312"/>
                      <w:sz w:val="22"/>
                    </w:rPr>
                    <w:t>（</w:t>
                  </w:r>
                  <w:r>
                    <w:rPr>
                      <w:rFonts w:ascii="仿宋_GB2312" w:hAnsi="仿宋_GB2312" w:cs="仿宋_GB2312" w:eastAsia="仿宋_GB2312"/>
                      <w:sz w:val="22"/>
                    </w:rPr>
                    <w:t>须</w:t>
                  </w:r>
                  <w:r>
                    <w:rPr>
                      <w:rFonts w:ascii="仿宋_GB2312" w:hAnsi="仿宋_GB2312" w:cs="仿宋_GB2312" w:eastAsia="仿宋_GB2312"/>
                      <w:sz w:val="22"/>
                    </w:rPr>
                    <w:t>对本项所有内容提供承诺函</w:t>
                  </w:r>
                  <w:r>
                    <w:rPr>
                      <w:rFonts w:ascii="仿宋_GB2312" w:hAnsi="仿宋_GB2312" w:cs="仿宋_GB2312" w:eastAsia="仿宋_GB2312"/>
                      <w:sz w:val="22"/>
                    </w:rPr>
                    <w:t>并加盖供应商公章</w:t>
                  </w:r>
                  <w:r>
                    <w:rPr>
                      <w:rFonts w:ascii="仿宋_GB2312" w:hAnsi="仿宋_GB2312" w:cs="仿宋_GB2312" w:eastAsia="仿宋_GB2312"/>
                      <w:sz w:val="22"/>
                    </w:rPr>
                    <w:t>）</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164</w:t>
                  </w:r>
                </w:p>
              </w:tc>
              <w:tc>
                <w:tcPr>
                  <w:tcW w:type="dxa" w:w="3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服务配套硬件</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智能评估终端</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屏幕尺寸</w:t>
                  </w:r>
                  <w:r>
                    <w:rPr>
                      <w:rFonts w:ascii="仿宋_GB2312" w:hAnsi="仿宋_GB2312" w:cs="仿宋_GB2312" w:eastAsia="仿宋_GB2312"/>
                      <w:sz w:val="22"/>
                    </w:rPr>
                    <w:t>≥11英寸</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8</w:t>
                  </w:r>
                  <w:r>
                    <w:rPr>
                      <w:rFonts w:ascii="仿宋_GB2312" w:hAnsi="仿宋_GB2312" w:cs="仿宋_GB2312" w:eastAsia="仿宋_GB2312"/>
                      <w:sz w:val="22"/>
                    </w:rPr>
                    <w:t>台</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165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屏幕分辨率</w:t>
                  </w:r>
                  <w:r>
                    <w:rPr>
                      <w:rFonts w:ascii="仿宋_GB2312" w:hAnsi="仿宋_GB2312" w:cs="仿宋_GB2312" w:eastAsia="仿宋_GB2312"/>
                      <w:sz w:val="22"/>
                    </w:rPr>
                    <w:t>≥2200×1440</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166</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运行内存</w:t>
                  </w:r>
                  <w:r>
                    <w:rPr>
                      <w:rFonts w:ascii="仿宋_GB2312" w:hAnsi="仿宋_GB2312" w:cs="仿宋_GB2312" w:eastAsia="仿宋_GB2312"/>
                      <w:sz w:val="22"/>
                    </w:rPr>
                    <w:t>≥6GB</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167</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存储容量</w:t>
                  </w:r>
                  <w:r>
                    <w:rPr>
                      <w:rFonts w:ascii="仿宋_GB2312" w:hAnsi="仿宋_GB2312" w:cs="仿宋_GB2312" w:eastAsia="仿宋_GB2312"/>
                      <w:sz w:val="22"/>
                    </w:rPr>
                    <w:t>≥128GB</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168</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功能要求：预安装康复智能评估系统</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169</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扫码枪</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系统接口</w:t>
                  </w:r>
                  <w:r>
                    <w:rPr>
                      <w:rFonts w:ascii="仿宋_GB2312" w:hAnsi="仿宋_GB2312" w:cs="仿宋_GB2312" w:eastAsia="仿宋_GB2312"/>
                      <w:sz w:val="22"/>
                    </w:rPr>
                    <w:t>USB</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5</w:t>
                  </w:r>
                  <w:r>
                    <w:rPr>
                      <w:rFonts w:ascii="仿宋_GB2312" w:hAnsi="仿宋_GB2312" w:cs="仿宋_GB2312" w:eastAsia="仿宋_GB2312"/>
                      <w:sz w:val="22"/>
                    </w:rPr>
                    <w:t>把</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170</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解码能力支持一维、二维码扫描</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171</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BI数显大屏</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操作系统：</w:t>
                  </w:r>
                  <w:r>
                    <w:rPr>
                      <w:rFonts w:ascii="仿宋_GB2312" w:hAnsi="仿宋_GB2312" w:cs="仿宋_GB2312" w:eastAsia="仿宋_GB2312"/>
                      <w:sz w:val="22"/>
                    </w:rPr>
                    <w:t>Andriod 或 HarmonyOS</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r>
                    <w:rPr>
                      <w:rFonts w:ascii="仿宋_GB2312" w:hAnsi="仿宋_GB2312" w:cs="仿宋_GB2312" w:eastAsia="仿宋_GB2312"/>
                      <w:sz w:val="22"/>
                    </w:rPr>
                    <w:t>台</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172</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屏幕尺寸：</w:t>
                  </w:r>
                  <w:r>
                    <w:rPr>
                      <w:rFonts w:ascii="仿宋_GB2312" w:hAnsi="仿宋_GB2312" w:cs="仿宋_GB2312" w:eastAsia="仿宋_GB2312"/>
                      <w:sz w:val="22"/>
                    </w:rPr>
                    <w:t>≥65英寸</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173</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分辨率：超高清</w:t>
                  </w:r>
                  <w:r>
                    <w:rPr>
                      <w:rFonts w:ascii="仿宋_GB2312" w:hAnsi="仿宋_GB2312" w:cs="仿宋_GB2312" w:eastAsia="仿宋_GB2312"/>
                      <w:sz w:val="22"/>
                    </w:rPr>
                    <w:t>≥4K（3840*2160）</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174</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HDR 显示：支持</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175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遥控器功能：支持</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176</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WiFi：支持 802.11b/g/n 网络协议</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177</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功能要求：预安装康复智慧排程系统</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178</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其他功能：支持智能投屏</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179</w:t>
                  </w:r>
                </w:p>
              </w:tc>
              <w:tc>
                <w:tcPr>
                  <w:tcW w:type="dxa" w:w="379"/>
                  <w:vMerge/>
                  <w:tcBorders>
                    <w:top w:val="none" w:color="000000" w:sz="4"/>
                    <w:left w:val="single" w:color="000000" w:sz="4"/>
                    <w:bottom w:val="single" w:color="000000" w:sz="4"/>
                    <w:right w:val="single" w:color="000000" w:sz="4"/>
                  </w:tcBorders>
                </w:tcP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服务器</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服务器类型：</w:t>
                  </w:r>
                  <w:r>
                    <w:rPr>
                      <w:rFonts w:ascii="仿宋_GB2312" w:hAnsi="仿宋_GB2312" w:cs="仿宋_GB2312" w:eastAsia="仿宋_GB2312"/>
                      <w:sz w:val="22"/>
                    </w:rPr>
                    <w:t>≥2U机架式服务器</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r>
                    <w:rPr>
                      <w:rFonts w:ascii="仿宋_GB2312" w:hAnsi="仿宋_GB2312" w:cs="仿宋_GB2312" w:eastAsia="仿宋_GB2312"/>
                      <w:sz w:val="22"/>
                    </w:rPr>
                    <w:t>台</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180</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处理器：配置</w:t>
                  </w:r>
                  <w:r>
                    <w:rPr>
                      <w:rFonts w:ascii="仿宋_GB2312" w:hAnsi="仿宋_GB2312" w:cs="仿宋_GB2312" w:eastAsia="仿宋_GB2312"/>
                      <w:sz w:val="22"/>
                    </w:rPr>
                    <w:t>≥2 颗多核处理器，单颗处理器核心数≥32 核，主频≥2.6GHz，整机总核心数≥64 核</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181</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内存：配置</w:t>
                  </w:r>
                  <w:r>
                    <w:rPr>
                      <w:rFonts w:ascii="仿宋_GB2312" w:hAnsi="仿宋_GB2312" w:cs="仿宋_GB2312" w:eastAsia="仿宋_GB2312"/>
                      <w:sz w:val="22"/>
                    </w:rPr>
                    <w:t>≥64GB DDR4 ECC 高性能内存，支持内存热插拔</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182</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存储</w:t>
                  </w:r>
                  <w:r>
                    <w:rPr>
                      <w:rFonts w:ascii="仿宋_GB2312" w:hAnsi="仿宋_GB2312" w:cs="仿宋_GB2312" w:eastAsia="仿宋_GB2312"/>
                      <w:sz w:val="22"/>
                    </w:rPr>
                    <w:t>:配置≥3 块 3.5 英寸 4TB SATA 7.2K 热插拔硬盘，硬盘托架数量≥12 个</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183</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RAID 控制器：本次配置为RAID5</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184</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电源</w:t>
                  </w:r>
                  <w:r>
                    <w:rPr>
                      <w:rFonts w:ascii="仿宋_GB2312" w:hAnsi="仿宋_GB2312" w:cs="仿宋_GB2312" w:eastAsia="仿宋_GB2312"/>
                      <w:sz w:val="22"/>
                    </w:rPr>
                    <w:t>:配置≥2个900W高效冗余电源模块，满足 7×24 小时高可用运行需求</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185</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网络：配置</w:t>
                  </w:r>
                  <w:r>
                    <w:rPr>
                      <w:rFonts w:ascii="仿宋_GB2312" w:hAnsi="仿宋_GB2312" w:cs="仿宋_GB2312" w:eastAsia="仿宋_GB2312"/>
                      <w:sz w:val="22"/>
                    </w:rPr>
                    <w:t>≥1 块 4口千兆网卡</w:t>
                  </w:r>
                </w:p>
              </w:tc>
              <w:tc>
                <w:tcPr>
                  <w:tcW w:type="dxa" w:w="333"/>
                  <w:vMerge/>
                  <w:tcBorders>
                    <w:top w:val="none" w:color="000000" w:sz="4"/>
                    <w:left w:val="single" w:color="000000" w:sz="4"/>
                    <w:bottom w:val="single" w:color="000000" w:sz="4"/>
                    <w:right w:val="single" w:color="000000" w:sz="4"/>
                  </w:tcBorders>
                </w:tc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186</w:t>
                  </w:r>
                </w:p>
              </w:tc>
              <w:tc>
                <w:tcPr>
                  <w:tcW w:type="dxa" w:w="379"/>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年原厂质保</w:t>
                  </w:r>
                </w:p>
              </w:tc>
              <w:tc>
                <w:tcPr>
                  <w:tcW w:type="dxa" w:w="333"/>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三、实施和售后服务要求</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需针对本项目</w:t>
            </w:r>
            <w:r>
              <w:rPr>
                <w:rFonts w:ascii="仿宋_GB2312" w:hAnsi="仿宋_GB2312" w:cs="仿宋_GB2312" w:eastAsia="仿宋_GB2312"/>
                <w:sz w:val="22"/>
              </w:rPr>
              <w:t>制定</w:t>
            </w:r>
            <w:r>
              <w:rPr>
                <w:rFonts w:ascii="仿宋_GB2312" w:hAnsi="仿宋_GB2312" w:cs="仿宋_GB2312" w:eastAsia="仿宋_GB2312"/>
                <w:sz w:val="22"/>
              </w:rPr>
              <w:t>（周、月、季度、年）</w:t>
            </w:r>
            <w:r>
              <w:rPr>
                <w:rFonts w:ascii="仿宋_GB2312" w:hAnsi="仿宋_GB2312" w:cs="仿宋_GB2312" w:eastAsia="仿宋_GB2312"/>
                <w:sz w:val="22"/>
              </w:rPr>
              <w:t>工作任务清单，保证项目质量；对于升级改造项目，应提供详细的数据迁移方案和转换策略，确保数据的完整性和一致性。</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延展性需求：基于云原生</w:t>
            </w:r>
            <w:r>
              <w:rPr>
                <w:rFonts w:ascii="仿宋_GB2312" w:hAnsi="仿宋_GB2312" w:cs="仿宋_GB2312" w:eastAsia="仿宋_GB2312"/>
                <w:sz w:val="22"/>
              </w:rPr>
              <w:t>SAAS 架构搭建一体化康复医疗平台，支持成员单位轻量化入驻与分级权限管理，实现功能模块同质化共享及成员单位间数据协调交互，保障诊疗连续。</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接口对接：系统支持与集成平台、</w:t>
            </w:r>
            <w:r>
              <w:rPr>
                <w:rFonts w:ascii="仿宋_GB2312" w:hAnsi="仿宋_GB2312" w:cs="仿宋_GB2312" w:eastAsia="仿宋_GB2312"/>
                <w:sz w:val="22"/>
              </w:rPr>
              <w:t>HIS 系统、EMR 系统、CA系统、360系统、档案管理系统等多系统进行对接，实现标准化数据交互。</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软件接口对接费，公司为满足项目需求而产生的开发费用须自行折算到软件明细报价中，不单独报价。</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开放永久授权码，软件系统的服务端、客户端的软、硬件系统不得有任何加密限制、时间限制和使用数量的限制，须提供数据库表结构文档和操作说明文档。</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提供产品具有合法的版权和使用权。提供要求本次建设的平台系统支持具有总分院、多院区或多医疗机构体系）管理，系统集中部署、数据集中存储，支持多院区、具备医共体多机构接入并使用系统；</w:t>
            </w:r>
          </w:p>
          <w:p>
            <w:pPr>
              <w:pStyle w:val="null3"/>
              <w:jc w:val="both"/>
            </w:pPr>
            <w:r>
              <w:rPr>
                <w:rFonts w:ascii="仿宋_GB2312" w:hAnsi="仿宋_GB2312" w:cs="仿宋_GB2312" w:eastAsia="仿宋_GB2312"/>
                <w:sz w:val="22"/>
              </w:rPr>
              <w:t>7.年度维保费为合同金额5.5%；</w:t>
            </w:r>
          </w:p>
          <w:p>
            <w:pPr>
              <w:pStyle w:val="null3"/>
              <w:jc w:val="both"/>
            </w:pPr>
            <w:r>
              <w:rPr>
                <w:rFonts w:ascii="仿宋_GB2312" w:hAnsi="仿宋_GB2312" w:cs="仿宋_GB2312" w:eastAsia="仿宋_GB2312"/>
                <w:sz w:val="22"/>
              </w:rPr>
              <w:t>8.免费提供系统同一大版本内所有补丁更新、小版本升级及功能性优化；</w:t>
            </w:r>
          </w:p>
          <w:p>
            <w:pPr>
              <w:pStyle w:val="null3"/>
            </w:pP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所列需求为采购人初步需求，在本项目验收前，须配合院方进一步完善、补充系统功能，不再另行收取费用。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四、</w:t>
            </w:r>
            <w:r>
              <w:rPr>
                <w:rFonts w:ascii="仿宋_GB2312" w:hAnsi="仿宋_GB2312" w:cs="仿宋_GB2312" w:eastAsia="仿宋_GB2312"/>
                <w:sz w:val="20"/>
              </w:rPr>
              <w:t>说明</w:t>
            </w:r>
          </w:p>
          <w:p>
            <w:pPr>
              <w:pStyle w:val="null3"/>
            </w:pPr>
            <w:r>
              <w:rPr>
                <w:rFonts w:ascii="仿宋_GB2312" w:hAnsi="仿宋_GB2312" w:cs="仿宋_GB2312" w:eastAsia="仿宋_GB2312"/>
                <w:sz w:val="20"/>
              </w:rPr>
              <w:t>1.</w:t>
            </w:r>
            <w:r>
              <w:rPr>
                <w:rFonts w:ascii="仿宋_GB2312" w:hAnsi="仿宋_GB2312" w:cs="仿宋_GB2312" w:eastAsia="仿宋_GB2312"/>
                <w:sz w:val="20"/>
              </w:rPr>
              <w:t>标注</w:t>
            </w:r>
            <w:r>
              <w:rPr>
                <w:rFonts w:ascii="仿宋_GB2312" w:hAnsi="仿宋_GB2312" w:cs="仿宋_GB2312" w:eastAsia="仿宋_GB2312"/>
                <w:sz w:val="20"/>
              </w:rPr>
              <w:t>“</w:t>
            </w:r>
            <w:r>
              <w:rPr>
                <w:rFonts w:ascii="仿宋_GB2312" w:hAnsi="仿宋_GB2312" w:cs="仿宋_GB2312" w:eastAsia="仿宋_GB2312"/>
                <w:sz w:val="20"/>
                <w:b/>
              </w:rPr>
              <w:t>※</w:t>
            </w:r>
            <w:r>
              <w:rPr>
                <w:rFonts w:ascii="仿宋_GB2312" w:hAnsi="仿宋_GB2312" w:cs="仿宋_GB2312" w:eastAsia="仿宋_GB2312"/>
                <w:sz w:val="20"/>
              </w:rPr>
              <w:t>”的</w:t>
            </w:r>
            <w:r>
              <w:rPr>
                <w:rFonts w:ascii="仿宋_GB2312" w:hAnsi="仿宋_GB2312" w:cs="仿宋_GB2312" w:eastAsia="仿宋_GB2312"/>
                <w:sz w:val="20"/>
              </w:rPr>
              <w:t>为</w:t>
            </w:r>
            <w:r>
              <w:rPr>
                <w:rFonts w:ascii="仿宋_GB2312" w:hAnsi="仿宋_GB2312" w:cs="仿宋_GB2312" w:eastAsia="仿宋_GB2312"/>
                <w:sz w:val="20"/>
              </w:rPr>
              <w:t>要求</w:t>
            </w:r>
            <w:r>
              <w:rPr>
                <w:rFonts w:ascii="仿宋_GB2312" w:hAnsi="仿宋_GB2312" w:cs="仿宋_GB2312" w:eastAsia="仿宋_GB2312"/>
                <w:sz w:val="20"/>
              </w:rPr>
              <w:t>进行</w:t>
            </w:r>
            <w:r>
              <w:rPr>
                <w:rFonts w:ascii="仿宋_GB2312" w:hAnsi="仿宋_GB2312" w:cs="仿宋_GB2312" w:eastAsia="仿宋_GB2312"/>
                <w:sz w:val="20"/>
              </w:rPr>
              <w:t>现场演示</w:t>
            </w:r>
            <w:r>
              <w:rPr>
                <w:rFonts w:ascii="仿宋_GB2312" w:hAnsi="仿宋_GB2312" w:cs="仿宋_GB2312" w:eastAsia="仿宋_GB2312"/>
                <w:sz w:val="20"/>
              </w:rPr>
              <w:t>的内容</w:t>
            </w:r>
            <w:r>
              <w:rPr>
                <w:rFonts w:ascii="仿宋_GB2312" w:hAnsi="仿宋_GB2312" w:cs="仿宋_GB2312" w:eastAsia="仿宋_GB2312"/>
                <w:sz w:val="20"/>
              </w:rPr>
              <w:t>。（注：</w:t>
            </w:r>
            <w:r>
              <w:rPr>
                <w:rFonts w:ascii="仿宋_GB2312" w:hAnsi="仿宋_GB2312" w:cs="仿宋_GB2312" w:eastAsia="仿宋_GB2312"/>
                <w:sz w:val="20"/>
              </w:rPr>
              <w:t>供应商</w:t>
            </w:r>
            <w:r>
              <w:rPr>
                <w:rFonts w:ascii="仿宋_GB2312" w:hAnsi="仿宋_GB2312" w:cs="仿宋_GB2312" w:eastAsia="仿宋_GB2312"/>
                <w:sz w:val="20"/>
              </w:rPr>
              <w:t>应使用真实系统或视频文件</w:t>
            </w:r>
            <w:r>
              <w:rPr>
                <w:rFonts w:ascii="仿宋_GB2312" w:hAnsi="仿宋_GB2312" w:cs="仿宋_GB2312" w:eastAsia="仿宋_GB2312"/>
                <w:sz w:val="20"/>
              </w:rPr>
              <w:t>或</w:t>
            </w:r>
            <w:r>
              <w:rPr>
                <w:rFonts w:ascii="仿宋_GB2312" w:hAnsi="仿宋_GB2312" w:cs="仿宋_GB2312" w:eastAsia="仿宋_GB2312"/>
                <w:sz w:val="20"/>
              </w:rPr>
              <w:t>卡片形式进行现场演示</w:t>
            </w:r>
            <w:r>
              <w:rPr>
                <w:rFonts w:ascii="仿宋_GB2312" w:hAnsi="仿宋_GB2312" w:cs="仿宋_GB2312" w:eastAsia="仿宋_GB2312"/>
                <w:sz w:val="20"/>
              </w:rPr>
              <w:t>，不接受</w:t>
            </w:r>
            <w:r>
              <w:rPr>
                <w:rFonts w:ascii="仿宋_GB2312" w:hAnsi="仿宋_GB2312" w:cs="仿宋_GB2312" w:eastAsia="仿宋_GB2312"/>
                <w:sz w:val="20"/>
              </w:rPr>
              <w:t>PPT、截图、静态页面等形式进行演示。演示时间≤20 分钟）</w:t>
            </w:r>
          </w:p>
          <w:p>
            <w:pPr>
              <w:pStyle w:val="null3"/>
            </w:pPr>
            <w:r>
              <w:rPr>
                <w:rFonts w:ascii="仿宋_GB2312" w:hAnsi="仿宋_GB2312" w:cs="仿宋_GB2312" w:eastAsia="仿宋_GB2312"/>
                <w:sz w:val="20"/>
              </w:rPr>
              <w:t>2.</w:t>
            </w:r>
            <w:r>
              <w:rPr>
                <w:rFonts w:ascii="仿宋_GB2312" w:hAnsi="仿宋_GB2312" w:cs="仿宋_GB2312" w:eastAsia="仿宋_GB2312"/>
                <w:sz w:val="20"/>
              </w:rPr>
              <w:t>标注</w:t>
            </w:r>
            <w:r>
              <w:rPr>
                <w:rFonts w:ascii="仿宋_GB2312" w:hAnsi="仿宋_GB2312" w:cs="仿宋_GB2312" w:eastAsia="仿宋_GB2312"/>
                <w:sz w:val="20"/>
              </w:rPr>
              <w:t>“</w:t>
            </w:r>
            <w:r>
              <w:rPr>
                <w:rFonts w:ascii="仿宋_GB2312" w:hAnsi="仿宋_GB2312" w:cs="仿宋_GB2312" w:eastAsia="仿宋_GB2312"/>
                <w:sz w:val="21"/>
              </w:rPr>
              <w:t>●</w:t>
            </w:r>
            <w:r>
              <w:rPr>
                <w:rFonts w:ascii="仿宋_GB2312" w:hAnsi="仿宋_GB2312" w:cs="仿宋_GB2312" w:eastAsia="仿宋_GB2312"/>
                <w:sz w:val="20"/>
              </w:rPr>
              <w:t>”的</w:t>
            </w:r>
            <w:r>
              <w:rPr>
                <w:rFonts w:ascii="仿宋_GB2312" w:hAnsi="仿宋_GB2312" w:cs="仿宋_GB2312" w:eastAsia="仿宋_GB2312"/>
                <w:sz w:val="20"/>
              </w:rPr>
              <w:t>须</w:t>
            </w:r>
            <w:r>
              <w:rPr>
                <w:rFonts w:ascii="仿宋_GB2312" w:hAnsi="仿宋_GB2312" w:cs="仿宋_GB2312" w:eastAsia="仿宋_GB2312"/>
                <w:sz w:val="20"/>
              </w:rPr>
              <w:t>提供承诺函</w:t>
            </w:r>
            <w:r>
              <w:rPr>
                <w:rFonts w:ascii="仿宋_GB2312" w:hAnsi="仿宋_GB2312" w:cs="仿宋_GB2312" w:eastAsia="仿宋_GB2312"/>
                <w:sz w:val="20"/>
              </w:rPr>
              <w:t>并加盖供应商公章，否则作无效响应处理。</w:t>
            </w:r>
          </w:p>
        </w:tc>
      </w:tr>
    </w:tbl>
    <w:p>
      <w:pPr>
        <w:pStyle w:val="null3"/>
      </w:pPr>
      <w:r>
        <w:rPr>
          <w:rFonts w:ascii="仿宋_GB2312" w:hAnsi="仿宋_GB2312" w:cs="仿宋_GB2312" w:eastAsia="仿宋_GB2312"/>
        </w:rPr>
        <w:t>标的名称：康复远程会诊与教学平台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outlineLvl w:val="0"/>
            </w:pPr>
            <w:r>
              <w:rPr>
                <w:rFonts w:ascii="仿宋_GB2312" w:hAnsi="仿宋_GB2312" w:cs="仿宋_GB2312" w:eastAsia="仿宋_GB2312"/>
                <w:sz w:val="21"/>
                <w:b/>
              </w:rPr>
              <w:t>一、技术服务目标需求</w:t>
            </w:r>
          </w:p>
          <w:p>
            <w:pPr>
              <w:pStyle w:val="null3"/>
              <w:jc w:val="both"/>
              <w:outlineLvl w:val="1"/>
            </w:pPr>
            <w:r>
              <w:rPr>
                <w:rFonts w:ascii="仿宋_GB2312" w:hAnsi="仿宋_GB2312" w:cs="仿宋_GB2312" w:eastAsia="仿宋_GB2312"/>
                <w:sz w:val="21"/>
                <w:b/>
              </w:rPr>
              <w:t>（一）康复远程会诊与教学平台技术服务目标需求</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实现跨机构康复数据协同共享与系统无缝对接，打破信息壁垒，保障诊疗信息连续；</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构建全流程远程康复诊疗服务闭环，提升优质康复资源可及性与服务规范性；</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打造多元化教学培训与科普平台，双向赋能医护专业提升与患者康复认知；</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以数据可视化驱动运营管理优化，为业务决策提供精准支撑；</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强化专科联盟建设与品牌推广，提升学科影响力与行业辐射力；</w:t>
            </w:r>
          </w:p>
          <w:p>
            <w:pPr>
              <w:pStyle w:val="null3"/>
            </w:pPr>
            <w:r>
              <w:rPr>
                <w:rFonts w:ascii="仿宋_GB2312" w:hAnsi="仿宋_GB2312" w:cs="仿宋_GB2312" w:eastAsia="仿宋_GB2312"/>
                <w:sz w:val="22"/>
              </w:rPr>
              <w:t>6.</w:t>
            </w:r>
            <w:r>
              <w:rPr>
                <w:rFonts w:ascii="仿宋_GB2312" w:hAnsi="仿宋_GB2312" w:cs="仿宋_GB2312" w:eastAsia="仿宋_GB2312"/>
                <w:sz w:val="22"/>
              </w:rPr>
              <w:t>保障平台技术稳定、安全合规，适配多场景使用与现有系统兼容。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outlineLvl w:val="0"/>
            </w:pPr>
            <w:r>
              <w:rPr>
                <w:rFonts w:ascii="仿宋_GB2312" w:hAnsi="仿宋_GB2312" w:cs="仿宋_GB2312" w:eastAsia="仿宋_GB2312"/>
                <w:sz w:val="21"/>
                <w:b/>
              </w:rPr>
              <w:t>二、技术功能服务需求</w:t>
            </w:r>
          </w:p>
          <w:p>
            <w:pPr>
              <w:pStyle w:val="null3"/>
            </w:pPr>
            <w:r>
              <w:rPr>
                <w:rFonts w:ascii="仿宋_GB2312" w:hAnsi="仿宋_GB2312" w:cs="仿宋_GB2312" w:eastAsia="仿宋_GB2312"/>
                <w:sz w:val="21"/>
              </w:rPr>
              <w:t>（一）康复远程会诊与教学平台技术功能服务需求</w:t>
            </w:r>
          </w:p>
          <w:tbl>
            <w:tblPr>
              <w:tblInd w:type="dxa" w:w="135"/>
              <w:tblBorders>
                <w:top w:val="none" w:color="000000" w:sz="4"/>
                <w:left w:val="none" w:color="000000" w:sz="4"/>
                <w:bottom w:val="none" w:color="000000" w:sz="4"/>
                <w:right w:val="none" w:color="000000" w:sz="4"/>
                <w:insideH w:val="none"/>
                <w:insideV w:val="none"/>
              </w:tblBorders>
            </w:tblPr>
            <w:tblGrid>
              <w:gridCol w:w="211"/>
              <w:gridCol w:w="327"/>
              <w:gridCol w:w="314"/>
              <w:gridCol w:w="1461"/>
              <w:gridCol w:w="228"/>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技术服务名称</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功能服务名称</w:t>
                  </w:r>
                </w:p>
              </w:tc>
              <w:tc>
                <w:tcPr>
                  <w:tcW w:type="dxa" w:w="1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技术功能服务需求</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p>
                  <w:pPr>
                    <w:pStyle w:val="null3"/>
                    <w:jc w:val="center"/>
                  </w:pPr>
                  <w:r>
                    <w:rPr>
                      <w:rFonts w:ascii="仿宋_GB2312" w:hAnsi="仿宋_GB2312" w:cs="仿宋_GB2312" w:eastAsia="仿宋_GB2312"/>
                      <w:sz w:val="22"/>
                      <w:b/>
                    </w:rPr>
                    <w:t>（项）</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pPr>
                  <w:r>
                    <w:rPr>
                      <w:rFonts w:ascii="仿宋_GB2312" w:hAnsi="仿宋_GB2312" w:cs="仿宋_GB2312" w:eastAsia="仿宋_GB2312"/>
                      <w:sz w:val="22"/>
                    </w:rPr>
                    <w:t>1</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康复信息协同共享</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协同共享</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2"/>
                    </w:rPr>
                    <w:t>(1)</w:t>
                  </w:r>
                  <w:r>
                    <w:rPr>
                      <w:rFonts w:ascii="仿宋_GB2312" w:hAnsi="仿宋_GB2312" w:cs="仿宋_GB2312" w:eastAsia="仿宋_GB2312"/>
                      <w:sz w:val="22"/>
                    </w:rPr>
                    <w:t>支持实现医联体跨机构患者康复档案（评估、方案、疗效数据等）的实时互通、调阅同步，保障诊疗信息连续，支持与全院临床康复一体化平台无缝嵌入、实现数据同源、功能协同、权限一致。（须对本项所有内容提供承诺函并加盖供应商公章</w:t>
                  </w:r>
                  <w:r>
                    <w:rPr>
                      <w:rFonts w:ascii="仿宋_GB2312" w:hAnsi="仿宋_GB2312" w:cs="仿宋_GB2312" w:eastAsia="仿宋_GB2312"/>
                      <w:sz w:val="22"/>
                    </w:rPr>
                    <w:t>）</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pPr>
                  <w:r>
                    <w:rPr>
                      <w:rFonts w:ascii="仿宋_GB2312" w:hAnsi="仿宋_GB2312" w:cs="仿宋_GB2312" w:eastAsia="仿宋_GB2312"/>
                      <w:sz w:val="22"/>
                    </w:rPr>
                    <w:t>2</w:t>
                  </w:r>
                </w:p>
              </w:tc>
              <w:tc>
                <w:tcPr>
                  <w:tcW w:type="dxa" w:w="3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远程康复</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康复申请</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支持申请端医院申请提交远程康复，填写录入患者基本信息、就诊信息，选择中心端医院、会诊时间，录入患者诊断、就诊日期、病情摘要、既往史。</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支持查看申请端医院申请远程康复列表，进行修改、取消操作。</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11"/>
                  <w:vMerge/>
                  <w:tcBorders>
                    <w:top w:val="none" w:color="000000" w:sz="4"/>
                    <w:left w:val="single" w:color="000000" w:sz="4"/>
                    <w:bottom w:val="single" w:color="000000" w:sz="4"/>
                    <w:right w:val="single" w:color="000000" w:sz="4"/>
                  </w:tcBorders>
                </w:tcPr>
                <w:p/>
              </w:tc>
              <w:tc>
                <w:tcPr>
                  <w:tcW w:type="dxa" w:w="327"/>
                  <w:vMerge/>
                  <w:tcBorders>
                    <w:top w:val="none" w:color="000000" w:sz="4"/>
                    <w:left w:val="single" w:color="000000" w:sz="4"/>
                    <w:bottom w:val="single" w:color="000000" w:sz="4"/>
                    <w:right w:val="single" w:color="000000" w:sz="4"/>
                  </w:tcBorders>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康复分诊</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支持申请端医院分诊人员对已提交远程康复申请信息进行分诊、退回。</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支持查看患者详情信息，选择专家、会诊时间进行分诊。</w:t>
                  </w:r>
                </w:p>
              </w:tc>
              <w:tc>
                <w:tcPr>
                  <w:tcW w:type="dxa" w:w="228"/>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327"/>
                  <w:vMerge/>
                  <w:tcBorders>
                    <w:top w:val="none" w:color="000000" w:sz="4"/>
                    <w:left w:val="single" w:color="000000" w:sz="4"/>
                    <w:bottom w:val="single" w:color="000000" w:sz="4"/>
                    <w:right w:val="single" w:color="000000" w:sz="4"/>
                  </w:tcBorders>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评估诊断</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支持中心端医院评估诊断医生接收已分诊任务，对患者进行评估诊断。录入主要问题、鉴别诊断、短期目标、长期目标、治疗方案。</w:t>
                  </w:r>
                </w:p>
              </w:tc>
              <w:tc>
                <w:tcPr>
                  <w:tcW w:type="dxa" w:w="228"/>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327"/>
                  <w:vMerge/>
                  <w:tcBorders>
                    <w:top w:val="none" w:color="000000" w:sz="4"/>
                    <w:left w:val="single" w:color="000000" w:sz="4"/>
                    <w:bottom w:val="single" w:color="000000" w:sz="4"/>
                    <w:right w:val="single" w:color="000000" w:sz="4"/>
                  </w:tcBorders>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诊断审核</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支持中心端医院审核人员对已诊断任务进行审核，选择通过或不通过审核意见。</w:t>
                  </w:r>
                </w:p>
              </w:tc>
              <w:tc>
                <w:tcPr>
                  <w:tcW w:type="dxa" w:w="228"/>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327"/>
                  <w:vMerge/>
                  <w:tcBorders>
                    <w:top w:val="none" w:color="000000" w:sz="4"/>
                    <w:left w:val="single" w:color="000000" w:sz="4"/>
                    <w:bottom w:val="single" w:color="000000" w:sz="4"/>
                    <w:right w:val="single" w:color="000000" w:sz="4"/>
                  </w:tcBorders>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治疗计划</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支持制定康复治疗计划。</w:t>
                  </w:r>
                </w:p>
              </w:tc>
              <w:tc>
                <w:tcPr>
                  <w:tcW w:type="dxa" w:w="228"/>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327"/>
                  <w:vMerge/>
                  <w:tcBorders>
                    <w:top w:val="none" w:color="000000" w:sz="4"/>
                    <w:left w:val="single" w:color="000000" w:sz="4"/>
                    <w:bottom w:val="single" w:color="000000" w:sz="4"/>
                    <w:right w:val="single" w:color="000000" w:sz="4"/>
                  </w:tcBorders>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计划审核</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支持中心端医院审核人员对治疗计划进行审核，选择通过或不通过审核意见。</w:t>
                  </w:r>
                </w:p>
              </w:tc>
              <w:tc>
                <w:tcPr>
                  <w:tcW w:type="dxa" w:w="228"/>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327"/>
                  <w:vMerge/>
                  <w:tcBorders>
                    <w:top w:val="none" w:color="000000" w:sz="4"/>
                    <w:left w:val="single" w:color="000000" w:sz="4"/>
                    <w:bottom w:val="single" w:color="000000" w:sz="4"/>
                    <w:right w:val="single" w:color="000000" w:sz="4"/>
                  </w:tcBorders>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康复治疗</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支持查看康复治疗任务列表。</w:t>
                  </w:r>
                </w:p>
              </w:tc>
              <w:tc>
                <w:tcPr>
                  <w:tcW w:type="dxa" w:w="228"/>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327"/>
                  <w:vMerge/>
                  <w:tcBorders>
                    <w:top w:val="none" w:color="000000" w:sz="4"/>
                    <w:left w:val="single" w:color="000000" w:sz="4"/>
                    <w:bottom w:val="single" w:color="000000" w:sz="4"/>
                    <w:right w:val="single" w:color="000000" w:sz="4"/>
                  </w:tcBorders>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会诊中心一体机</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尺寸：</w:t>
                  </w:r>
                  <w:r>
                    <w:rPr>
                      <w:rFonts w:ascii="仿宋_GB2312" w:hAnsi="仿宋_GB2312" w:cs="仿宋_GB2312" w:eastAsia="仿宋_GB2312"/>
                      <w:sz w:val="22"/>
                    </w:rPr>
                    <w:t>≥75英寸，分辨率：≥3840×2160</w:t>
                  </w:r>
                  <w:r>
                    <w:rPr>
                      <w:rFonts w:ascii="仿宋_GB2312" w:hAnsi="仿宋_GB2312" w:cs="仿宋_GB2312" w:eastAsia="仿宋_GB2312"/>
                      <w:sz w:val="22"/>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最大亮度：不低于</w:t>
                  </w:r>
                  <w:r>
                    <w:rPr>
                      <w:rFonts w:ascii="仿宋_GB2312" w:hAnsi="仿宋_GB2312" w:cs="仿宋_GB2312" w:eastAsia="仿宋_GB2312"/>
                      <w:sz w:val="22"/>
                    </w:rPr>
                    <w:t>400cd/㎡</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支持不低于</w:t>
                  </w:r>
                  <w:r>
                    <w:rPr>
                      <w:rFonts w:ascii="仿宋_GB2312" w:hAnsi="仿宋_GB2312" w:cs="仿宋_GB2312" w:eastAsia="仿宋_GB2312"/>
                      <w:sz w:val="22"/>
                    </w:rPr>
                    <w:t>10点触摸</w:t>
                  </w:r>
                  <w:r>
                    <w:rPr>
                      <w:rFonts w:ascii="仿宋_GB2312" w:hAnsi="仿宋_GB2312" w:cs="仿宋_GB2312" w:eastAsia="仿宋_GB2312"/>
                      <w:sz w:val="22"/>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支持内置</w:t>
                  </w:r>
                  <w:r>
                    <w:rPr>
                      <w:rFonts w:ascii="仿宋_GB2312" w:hAnsi="仿宋_GB2312" w:cs="仿宋_GB2312" w:eastAsia="仿宋_GB2312"/>
                      <w:sz w:val="22"/>
                    </w:rPr>
                    <w:t>4G/5G模组×1(支持电信、移动、联通三种4G/5G卡)网</w:t>
                  </w:r>
                  <w:r>
                    <w:rPr>
                      <w:rFonts w:ascii="仿宋_GB2312" w:hAnsi="仿宋_GB2312" w:cs="仿宋_GB2312" w:eastAsia="仿宋_GB2312"/>
                      <w:sz w:val="22"/>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网线接口：</w:t>
                  </w:r>
                  <w:r>
                    <w:rPr>
                      <w:rFonts w:ascii="仿宋_GB2312" w:hAnsi="仿宋_GB2312" w:cs="仿宋_GB2312" w:eastAsia="仿宋_GB2312"/>
                      <w:sz w:val="22"/>
                    </w:rPr>
                    <w:t>LAN口×1、无线WIFI支持双WiFi 2.4G+5G，双WiFi模组</w:t>
                  </w:r>
                  <w:r>
                    <w:rPr>
                      <w:rFonts w:ascii="仿宋_GB2312" w:hAnsi="仿宋_GB2312" w:cs="仿宋_GB2312" w:eastAsia="仿宋_GB2312"/>
                      <w:sz w:val="22"/>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支持无线投屏，可</w:t>
                  </w:r>
                  <w:r>
                    <w:rPr>
                      <w:rFonts w:ascii="仿宋_GB2312" w:hAnsi="仿宋_GB2312" w:cs="仿宋_GB2312" w:eastAsia="仿宋_GB2312"/>
                      <w:sz w:val="22"/>
                    </w:rPr>
                    <w:t>9分屏</w:t>
                  </w:r>
                  <w:r>
                    <w:rPr>
                      <w:rFonts w:ascii="仿宋_GB2312" w:hAnsi="仿宋_GB2312" w:cs="仿宋_GB2312" w:eastAsia="仿宋_GB2312"/>
                      <w:sz w:val="22"/>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支持</w:t>
                  </w:r>
                  <w:r>
                    <w:rPr>
                      <w:rFonts w:ascii="仿宋_GB2312" w:hAnsi="仿宋_GB2312" w:cs="仿宋_GB2312" w:eastAsia="仿宋_GB2312"/>
                      <w:sz w:val="22"/>
                    </w:rPr>
                    <w:t>HDMI信号输入（HDMI IN ≥2 ）及HDMI信号输出（HDMI OUT ≥1 ），可支持CT/MR/DR/PET等各种图像的采集接入</w:t>
                  </w:r>
                  <w:r>
                    <w:rPr>
                      <w:rFonts w:ascii="仿宋_GB2312" w:hAnsi="仿宋_GB2312" w:cs="仿宋_GB2312" w:eastAsia="仿宋_GB2312"/>
                      <w:sz w:val="22"/>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所投会诊中心一体机产品与其应用软件为同一品牌，需提供相关证明资料或承诺函并加盖</w:t>
                  </w:r>
                  <w:r>
                    <w:rPr>
                      <w:rFonts w:ascii="仿宋_GB2312" w:hAnsi="仿宋_GB2312" w:cs="仿宋_GB2312" w:eastAsia="仿宋_GB2312"/>
                      <w:sz w:val="22"/>
                    </w:rPr>
                    <w:t>供应商公章</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(9)</w:t>
                  </w:r>
                  <w:r>
                    <w:rPr>
                      <w:rFonts w:ascii="仿宋_GB2312" w:hAnsi="仿宋_GB2312" w:cs="仿宋_GB2312" w:eastAsia="仿宋_GB2312"/>
                      <w:sz w:val="22"/>
                    </w:rPr>
                    <w:t>支持</w:t>
                  </w:r>
                  <w:r>
                    <w:rPr>
                      <w:rFonts w:ascii="仿宋_GB2312" w:hAnsi="仿宋_GB2312" w:cs="仿宋_GB2312" w:eastAsia="仿宋_GB2312"/>
                      <w:sz w:val="22"/>
                    </w:rPr>
                    <w:t>4K VP9 and 4K 10bits H265/H264视频编解码</w:t>
                  </w:r>
                  <w:r>
                    <w:rPr>
                      <w:rFonts w:ascii="仿宋_GB2312" w:hAnsi="仿宋_GB2312" w:cs="仿宋_GB2312" w:eastAsia="仿宋_GB2312"/>
                      <w:sz w:val="22"/>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2"/>
                    </w:rPr>
                    <w:t>需内置软件功能：支持云盘、投屏、医学英汉互译、白板、会议系统、云录制</w:t>
                  </w:r>
                  <w:r>
                    <w:rPr>
                      <w:rFonts w:ascii="仿宋_GB2312" w:hAnsi="仿宋_GB2312" w:cs="仿宋_GB2312" w:eastAsia="仿宋_GB2312"/>
                      <w:sz w:val="22"/>
                    </w:rPr>
                    <w:t>+存储+在线播放等软件功能，需提供相关证明资料并加盖</w:t>
                  </w:r>
                  <w:r>
                    <w:rPr>
                      <w:rFonts w:ascii="仿宋_GB2312" w:hAnsi="仿宋_GB2312" w:cs="仿宋_GB2312" w:eastAsia="仿宋_GB2312"/>
                      <w:sz w:val="22"/>
                    </w:rPr>
                    <w:t>供应商公章</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(11)</w:t>
                  </w:r>
                  <w:r>
                    <w:rPr>
                      <w:rFonts w:ascii="仿宋_GB2312" w:hAnsi="仿宋_GB2312" w:cs="仿宋_GB2312" w:eastAsia="仿宋_GB2312"/>
                      <w:sz w:val="22"/>
                    </w:rPr>
                    <w:t>需</w:t>
                  </w:r>
                  <w:r>
                    <w:rPr>
                      <w:rFonts w:ascii="仿宋_GB2312" w:hAnsi="仿宋_GB2312" w:cs="仿宋_GB2312" w:eastAsia="仿宋_GB2312"/>
                      <w:sz w:val="22"/>
                    </w:rPr>
                    <w:t>ARM架构CPU，不低于6核，性能不低于2*Cortex-A72 +4*Cortex-A53，需提供相关证明资料并加盖</w:t>
                  </w:r>
                  <w:r>
                    <w:rPr>
                      <w:rFonts w:ascii="仿宋_GB2312" w:hAnsi="仿宋_GB2312" w:cs="仿宋_GB2312" w:eastAsia="仿宋_GB2312"/>
                      <w:sz w:val="22"/>
                    </w:rPr>
                    <w:t>供应商公章</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不低于</w:t>
                  </w:r>
                  <w:r>
                    <w:rPr>
                      <w:rFonts w:ascii="仿宋_GB2312" w:hAnsi="仿宋_GB2312" w:cs="仿宋_GB2312" w:eastAsia="仿宋_GB2312"/>
                      <w:sz w:val="22"/>
                    </w:rPr>
                    <w:t>GPU Mali-T860 GPU，支持OpenGL ES1.1/2.0/3.0/3.1, OpenCL</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(13)</w:t>
                  </w:r>
                  <w:r>
                    <w:rPr>
                      <w:rFonts w:ascii="仿宋_GB2312" w:hAnsi="仿宋_GB2312" w:cs="仿宋_GB2312" w:eastAsia="仿宋_GB2312"/>
                      <w:sz w:val="22"/>
                    </w:rPr>
                    <w:t>需支持双屏异显：一体机支持主屏显示和副屏扩展显示，主副屏同时显示不同内容，需提供软著或其他相关证明资料并加盖</w:t>
                  </w:r>
                  <w:r>
                    <w:rPr>
                      <w:rFonts w:ascii="仿宋_GB2312" w:hAnsi="仿宋_GB2312" w:cs="仿宋_GB2312" w:eastAsia="仿宋_GB2312"/>
                      <w:sz w:val="22"/>
                    </w:rPr>
                    <w:t>供应商公章</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(14)</w:t>
                  </w:r>
                  <w:r>
                    <w:rPr>
                      <w:rFonts w:ascii="仿宋_GB2312" w:hAnsi="仿宋_GB2312" w:cs="仿宋_GB2312" w:eastAsia="仿宋_GB2312"/>
                      <w:sz w:val="22"/>
                    </w:rPr>
                    <w:t>支持</w:t>
                  </w:r>
                  <w:r>
                    <w:rPr>
                      <w:rFonts w:ascii="仿宋_GB2312" w:hAnsi="仿宋_GB2312" w:cs="仿宋_GB2312" w:eastAsia="仿宋_GB2312"/>
                      <w:sz w:val="22"/>
                    </w:rPr>
                    <w:t>USB3.0 接口、支持PCIe 2.1</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(15)</w:t>
                  </w:r>
                  <w:r>
                    <w:rPr>
                      <w:rFonts w:ascii="仿宋_GB2312" w:hAnsi="仿宋_GB2312" w:cs="仿宋_GB2312" w:eastAsia="仿宋_GB2312"/>
                      <w:sz w:val="22"/>
                    </w:rPr>
                    <w:t>一体机内置会议系统，会议软件支持支持基于无线和有线流媒体方式投屏入会，非手动开启共享屏幕形式，能满足非参会终端，通过无线投屏技术把画面传入到会议中，需提供软著或其他相关证明资料并加盖</w:t>
                  </w:r>
                  <w:r>
                    <w:rPr>
                      <w:rFonts w:ascii="仿宋_GB2312" w:hAnsi="仿宋_GB2312" w:cs="仿宋_GB2312" w:eastAsia="仿宋_GB2312"/>
                      <w:sz w:val="22"/>
                    </w:rPr>
                    <w:t>供应商公章</w:t>
                  </w:r>
                  <w:r>
                    <w:rPr>
                      <w:rFonts w:ascii="仿宋_GB2312" w:hAnsi="仿宋_GB2312" w:cs="仿宋_GB2312" w:eastAsia="仿宋_GB2312"/>
                      <w:sz w:val="22"/>
                    </w:rPr>
                    <w:t>。</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r>
                    <w:rPr>
                      <w:rFonts w:ascii="仿宋_GB2312" w:hAnsi="仿宋_GB2312" w:cs="仿宋_GB2312" w:eastAsia="仿宋_GB2312"/>
                      <w:sz w:val="22"/>
                    </w:rPr>
                    <w:t>台</w:t>
                  </w: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pPr>
                  <w:r>
                    <w:rPr>
                      <w:rFonts w:ascii="仿宋_GB2312" w:hAnsi="仿宋_GB2312" w:cs="仿宋_GB2312" w:eastAsia="仿宋_GB2312"/>
                      <w:sz w:val="22"/>
                    </w:rPr>
                    <w:t>3</w:t>
                  </w:r>
                </w:p>
              </w:tc>
              <w:tc>
                <w:tcPr>
                  <w:tcW w:type="dxa" w:w="3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教学培训</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直播授课</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支持高清、流畅的视频直播，可适应不同网络环境；</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授课端具备屏幕共享功能，方便展示</w:t>
                  </w:r>
                  <w:r>
                    <w:rPr>
                      <w:rFonts w:ascii="仿宋_GB2312" w:hAnsi="仿宋_GB2312" w:cs="仿宋_GB2312" w:eastAsia="仿宋_GB2312"/>
                      <w:sz w:val="22"/>
                    </w:rPr>
                    <w:t>PPT、文档、软件操作等内容；</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多路视频功能，可同时西安市授课端与学员互动视频；</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多终端、</w:t>
                  </w:r>
                  <w:r>
                    <w:rPr>
                      <w:rFonts w:ascii="仿宋_GB2312" w:hAnsi="仿宋_GB2312" w:cs="仿宋_GB2312" w:eastAsia="仿宋_GB2312"/>
                      <w:sz w:val="22"/>
                    </w:rPr>
                    <w:t>PC、平板、APP、小程序、H5等展示；</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自动生成课程二维码，可进行海报编辑和推送；</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直播、会议可设置白名单，支持封闭式、开放式等多种会议形式</w:t>
                  </w:r>
                  <w:r>
                    <w:rPr>
                      <w:rFonts w:ascii="仿宋_GB2312" w:hAnsi="仿宋_GB2312" w:cs="仿宋_GB2312" w:eastAsia="仿宋_GB2312"/>
                      <w:sz w:val="22"/>
                    </w:rPr>
                    <w:t>。</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11"/>
                  <w:vMerge/>
                  <w:tcBorders>
                    <w:top w:val="none" w:color="000000" w:sz="4"/>
                    <w:left w:val="single" w:color="000000" w:sz="4"/>
                    <w:bottom w:val="single" w:color="000000" w:sz="4"/>
                    <w:right w:val="single" w:color="000000" w:sz="4"/>
                  </w:tcBorders>
                </w:tcPr>
                <w:p/>
              </w:tc>
              <w:tc>
                <w:tcPr>
                  <w:tcW w:type="dxa" w:w="327"/>
                  <w:vMerge/>
                  <w:tcBorders>
                    <w:top w:val="none" w:color="000000" w:sz="4"/>
                    <w:left w:val="single" w:color="000000" w:sz="4"/>
                    <w:bottom w:val="single" w:color="000000" w:sz="4"/>
                    <w:right w:val="single" w:color="000000" w:sz="4"/>
                  </w:tcBorders>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互动功能</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具备实时聊天互动，学员可提问、发表见解，讲师可及时回复；</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签到、问卷功能，用于收集学员、观众反馈和意见</w:t>
                  </w:r>
                  <w:r>
                    <w:rPr>
                      <w:rFonts w:ascii="仿宋_GB2312" w:hAnsi="仿宋_GB2312" w:cs="仿宋_GB2312" w:eastAsia="仿宋_GB2312"/>
                      <w:sz w:val="22"/>
                    </w:rPr>
                    <w:t>。</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pPr>
                  <w:r>
                    <w:rPr>
                      <w:rFonts w:ascii="仿宋_GB2312" w:hAnsi="仿宋_GB2312" w:cs="仿宋_GB2312" w:eastAsia="仿宋_GB2312"/>
                      <w:sz w:val="22"/>
                    </w:rPr>
                    <w:t>4</w:t>
                  </w:r>
                </w:p>
              </w:tc>
              <w:tc>
                <w:tcPr>
                  <w:tcW w:type="dxa" w:w="3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统计管理</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统计报表</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具备会诊工作量统计，支持统计申请端会诊申请量、支持中心端会诊量、会诊人员工作量等</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支持报告质量审核通过率统计</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支持按照用户要求进行统计报表设计，报表支持导出</w:t>
                  </w:r>
                  <w:r>
                    <w:rPr>
                      <w:rFonts w:ascii="仿宋_GB2312" w:hAnsi="仿宋_GB2312" w:cs="仿宋_GB2312" w:eastAsia="仿宋_GB2312"/>
                      <w:sz w:val="22"/>
                    </w:rPr>
                    <w:t>。</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pPr>
                  <w:r>
                    <w:rPr>
                      <w:rFonts w:ascii="仿宋_GB2312" w:hAnsi="仿宋_GB2312" w:cs="仿宋_GB2312" w:eastAsia="仿宋_GB2312"/>
                      <w:sz w:val="22"/>
                    </w:rPr>
                    <w:t>5</w:t>
                  </w:r>
                </w:p>
              </w:tc>
              <w:tc>
                <w:tcPr>
                  <w:tcW w:type="dxa" w:w="327"/>
                  <w:vMerge/>
                  <w:tcBorders>
                    <w:top w:val="none" w:color="000000" w:sz="4"/>
                    <w:left w:val="single" w:color="000000" w:sz="4"/>
                    <w:bottom w:val="single" w:color="000000" w:sz="4"/>
                    <w:right w:val="single" w:color="000000" w:sz="4"/>
                  </w:tcBorders>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BI驾驶舱</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整合会诊业务、人员工作量、运营服务质量等全维度数据，通过数字看板、柱状图等可视化视图直观呈现核心指标；</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支持交互式操作，可通过点击图表查看数据明细及溯源</w:t>
                  </w:r>
                  <w:r>
                    <w:rPr>
                      <w:rFonts w:ascii="仿宋_GB2312" w:hAnsi="仿宋_GB2312" w:cs="仿宋_GB2312" w:eastAsia="仿宋_GB2312"/>
                      <w:sz w:val="22"/>
                    </w:rPr>
                    <w:t>。</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pPr>
                  <w:r>
                    <w:rPr>
                      <w:rFonts w:ascii="仿宋_GB2312" w:hAnsi="仿宋_GB2312" w:cs="仿宋_GB2312" w:eastAsia="仿宋_GB2312"/>
                      <w:sz w:val="22"/>
                    </w:rPr>
                    <w:t>6</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后台管理</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系统配置</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支持申请端、中心端机构信息数据维护</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支持人员角色管理</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支持人员权限管理</w:t>
                  </w:r>
                  <w:r>
                    <w:rPr>
                      <w:rFonts w:ascii="仿宋_GB2312" w:hAnsi="仿宋_GB2312" w:cs="仿宋_GB2312" w:eastAsia="仿宋_GB2312"/>
                      <w:sz w:val="22"/>
                    </w:rPr>
                    <w:t>。</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pPr>
                  <w:r>
                    <w:rPr>
                      <w:rFonts w:ascii="仿宋_GB2312" w:hAnsi="仿宋_GB2312" w:cs="仿宋_GB2312" w:eastAsia="仿宋_GB2312"/>
                      <w:sz w:val="22"/>
                    </w:rPr>
                    <w:t>7</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康复讲堂</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康复讲堂</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兼具医护端学术培训</w:t>
                  </w:r>
                  <w:r>
                    <w:rPr>
                      <w:rFonts w:ascii="仿宋_GB2312" w:hAnsi="仿宋_GB2312" w:cs="仿宋_GB2312" w:eastAsia="仿宋_GB2312"/>
                      <w:sz w:val="22"/>
                    </w:rPr>
                    <w:t>/病例交流、患者端康复科普功能，同步强化专业能力与医患康复认知；</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支持讲堂搭建，统一品牌设计；</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支持讲堂按周期稳定运行；</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支持讲堂课程计划按期顺利开展；</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支持讲堂运行所有技术服务（课程排期、专家测试、导播服务、推流服务、会控服务、视频剪辑及上传）</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支持大讲堂运行数据汇总及分析</w:t>
                  </w:r>
                  <w:r>
                    <w:rPr>
                      <w:rFonts w:ascii="仿宋_GB2312" w:hAnsi="仿宋_GB2312" w:cs="仿宋_GB2312" w:eastAsia="仿宋_GB2312"/>
                      <w:sz w:val="22"/>
                    </w:rPr>
                    <w:t>。</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学科运营</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运营服务</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支持专业化运营团队管理服务</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支持筹备、调研、设计、导播、宣传推广、品牌建设课程、联盟成员单位管理、工作报告等学科运营服务支撑</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协助医院完成专科联盟体系搭建，提供专业咨询、规划、执行一揽子落地执行方案；</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联盟成员单位调研，基础信息及意向收集，最大化挖掘需求及匹配达成，基层渗透；</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联盟资料库建立：日常运行活动计划落地执行，保障会议质量及效果反馈；</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保证学术活动规范、高质高效及联盟活跃度</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统一品牌</w:t>
                  </w:r>
                  <w:r>
                    <w:rPr>
                      <w:rFonts w:ascii="仿宋_GB2312" w:hAnsi="仿宋_GB2312" w:cs="仿宋_GB2312" w:eastAsia="仿宋_GB2312"/>
                      <w:sz w:val="22"/>
                    </w:rPr>
                    <w:t>VI设计：LOGO、会徽、背景板、宣传物料、海报等；</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协助科室官方公众号、互联网平台进行宣传，包括网站、社交媒体等运营维护；</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宣传文案优化、排版美化及宣传平台维护；</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学术活动会控、测试及技术支持；</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视频剪辑、内容维护、知识库搭建及维护；</w:t>
                  </w:r>
                </w:p>
                <w:p>
                  <w:pPr>
                    <w:pStyle w:val="null3"/>
                    <w:jc w:val="left"/>
                  </w:pPr>
                  <w:r>
                    <w:rPr>
                      <w:rFonts w:ascii="仿宋_GB2312" w:hAnsi="仿宋_GB2312" w:cs="仿宋_GB2312" w:eastAsia="仿宋_GB2312"/>
                      <w:sz w:val="21"/>
                    </w:rPr>
                    <w:t>●</w:t>
                  </w:r>
                  <w:r>
                    <w:rPr>
                      <w:rFonts w:ascii="仿宋_GB2312" w:hAnsi="仿宋_GB2312" w:cs="仿宋_GB2312" w:eastAsia="仿宋_GB2312"/>
                      <w:sz w:val="22"/>
                    </w:rPr>
                    <w:t>(12)</w:t>
                  </w:r>
                  <w:r>
                    <w:rPr>
                      <w:rFonts w:ascii="仿宋_GB2312" w:hAnsi="仿宋_GB2312" w:cs="仿宋_GB2312" w:eastAsia="仿宋_GB2312"/>
                      <w:sz w:val="22"/>
                    </w:rPr>
                    <w:t>具备联盟单位调研及拓展、资料库建立，协助日常管理服务能力；（须对本项所有内容提供承诺函并加盖供应商公章</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康复专科宣教平台技术支持（统一设计、宣传、推广、导播、数据统计及汇报），全年不限时长，不限场次；</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学术活动线上平台技术支持：直播会议平台、直播创建、授课专家测试、会控调试、导播转播、视频剪辑、回放生成；</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运营过程管理、文档整理及复盘、运营工作总结汇报。</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11"/>
                  <w:vMerge/>
                  <w:tcBorders>
                    <w:top w:val="none" w:color="000000" w:sz="4"/>
                    <w:left w:val="single" w:color="000000" w:sz="4"/>
                    <w:bottom w:val="single" w:color="000000" w:sz="4"/>
                    <w:right w:val="single" w:color="000000" w:sz="4"/>
                  </w:tcBorders>
                </w:tcPr>
                <w:p/>
              </w:tc>
              <w:tc>
                <w:tcPr>
                  <w:tcW w:type="dxa" w:w="327"/>
                  <w:vMerge/>
                  <w:tcBorders>
                    <w:top w:val="none" w:color="000000" w:sz="4"/>
                    <w:left w:val="single" w:color="000000" w:sz="4"/>
                    <w:bottom w:val="single" w:color="000000" w:sz="4"/>
                    <w:right w:val="single" w:color="000000" w:sz="4"/>
                  </w:tcBorders>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直播、导播服务</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支持一年内科室会议宣传服务、在线导播技术服务（</w:t>
                  </w:r>
                  <w:r>
                    <w:rPr>
                      <w:rFonts w:ascii="仿宋_GB2312" w:hAnsi="仿宋_GB2312" w:cs="仿宋_GB2312" w:eastAsia="仿宋_GB2312"/>
                      <w:sz w:val="22"/>
                    </w:rPr>
                    <w:t>12场次）</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支持一年内科室线上、线下会议进行在线直播（</w:t>
                  </w:r>
                  <w:r>
                    <w:rPr>
                      <w:rFonts w:ascii="仿宋_GB2312" w:hAnsi="仿宋_GB2312" w:cs="仿宋_GB2312" w:eastAsia="仿宋_GB2312"/>
                      <w:sz w:val="22"/>
                    </w:rPr>
                    <w:t>12场次）</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支持一年内使用直播推流功能：支持多终端和用户场景</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支持一年内使用直播课程回放功能，支持二次分享</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支持支持</w:t>
                  </w:r>
                  <w:r>
                    <w:rPr>
                      <w:rFonts w:ascii="仿宋_GB2312" w:hAnsi="仿宋_GB2312" w:cs="仿宋_GB2312" w:eastAsia="仿宋_GB2312"/>
                      <w:sz w:val="22"/>
                    </w:rPr>
                    <w:t>RTMP、HLS、RTSP 流，同时满足跨平台（windows、android、iOS）直播</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用户可根据预设或自定义模板，可以实时将多路视频音频流根据需要按照</w:t>
                  </w:r>
                  <w:r>
                    <w:rPr>
                      <w:rFonts w:ascii="仿宋_GB2312" w:hAnsi="仿宋_GB2312" w:cs="仿宋_GB2312" w:eastAsia="仿宋_GB2312"/>
                      <w:sz w:val="22"/>
                    </w:rPr>
                    <w:t>4:3 或 16:9 及自定义画面直播</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支持进行多个场景导播切换输出画面通过旁路推流到电脑端、手机</w:t>
                  </w:r>
                  <w:r>
                    <w:rPr>
                      <w:rFonts w:ascii="仿宋_GB2312" w:hAnsi="仿宋_GB2312" w:cs="仿宋_GB2312" w:eastAsia="仿宋_GB2312"/>
                      <w:sz w:val="22"/>
                    </w:rPr>
                    <w:t>APP 以及微信端</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终端显示讲者及讲者</w:t>
                  </w:r>
                  <w:r>
                    <w:rPr>
                      <w:rFonts w:ascii="仿宋_GB2312" w:hAnsi="仿宋_GB2312" w:cs="仿宋_GB2312" w:eastAsia="仿宋_GB2312"/>
                      <w:sz w:val="22"/>
                    </w:rPr>
                    <w:t>PPT 画面，术者及手术画面， 会场画面等。根据网络视频支持 4K/1080P/720P 30 帧的高清直播</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观众端可实时进行直播互动，可进行文字，视频互动。其他观众（网页端等）可以观看到连麦者与主播的互动。</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r>
              <w:tc>
                <w:tcPr>
                  <w:tcW w:type="dxa" w:w="211"/>
                  <w:vMerge/>
                  <w:tcBorders>
                    <w:top w:val="none" w:color="000000" w:sz="4"/>
                    <w:left w:val="single" w:color="000000" w:sz="4"/>
                    <w:bottom w:val="single" w:color="000000" w:sz="4"/>
                    <w:right w:val="single" w:color="000000" w:sz="4"/>
                  </w:tcBorders>
                </w:tcPr>
                <w:p/>
              </w:tc>
              <w:tc>
                <w:tcPr>
                  <w:tcW w:type="dxa" w:w="327"/>
                  <w:vMerge/>
                  <w:tcBorders>
                    <w:top w:val="none" w:color="000000" w:sz="4"/>
                    <w:left w:val="single" w:color="000000" w:sz="4"/>
                    <w:bottom w:val="single" w:color="000000" w:sz="4"/>
                    <w:right w:val="single" w:color="000000" w:sz="4"/>
                  </w:tcBorders>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基础支撑</w:t>
                  </w:r>
                </w:p>
              </w:tc>
              <w:tc>
                <w:tcPr>
                  <w:tcW w:type="dxa" w:w="1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适配多终端，保障数据安全合规，支持与现有医疗系统对接</w:t>
                  </w:r>
                  <w:r>
                    <w:rPr>
                      <w:rFonts w:ascii="仿宋_GB2312" w:hAnsi="仿宋_GB2312" w:cs="仿宋_GB2312" w:eastAsia="仿宋_GB2312"/>
                      <w:sz w:val="22"/>
                    </w:rPr>
                    <w:t>。</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center"/>
                  </w:pPr>
                  <w:r>
                    <w:rPr>
                      <w:rFonts w:ascii="仿宋_GB2312" w:hAnsi="仿宋_GB2312" w:cs="仿宋_GB2312" w:eastAsia="仿宋_GB2312"/>
                      <w:sz w:val="22"/>
                    </w:rPr>
                    <w:t>1</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三、实施和售后服务要求</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需针对本项目</w:t>
            </w:r>
            <w:r>
              <w:rPr>
                <w:rFonts w:ascii="仿宋_GB2312" w:hAnsi="仿宋_GB2312" w:cs="仿宋_GB2312" w:eastAsia="仿宋_GB2312"/>
                <w:sz w:val="22"/>
              </w:rPr>
              <w:t>制定</w:t>
            </w:r>
            <w:r>
              <w:rPr>
                <w:rFonts w:ascii="仿宋_GB2312" w:hAnsi="仿宋_GB2312" w:cs="仿宋_GB2312" w:eastAsia="仿宋_GB2312"/>
                <w:sz w:val="22"/>
              </w:rPr>
              <w:t>（周、月、季度、年）</w:t>
            </w:r>
            <w:r>
              <w:rPr>
                <w:rFonts w:ascii="仿宋_GB2312" w:hAnsi="仿宋_GB2312" w:cs="仿宋_GB2312" w:eastAsia="仿宋_GB2312"/>
                <w:sz w:val="22"/>
              </w:rPr>
              <w:t>工作任务清单，保证项目质量；对于升级改造项目，应提供详细的数据迁移方案和转换策略，确保数据的完整性和一致性。</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延展性需求：基于云原生</w:t>
            </w:r>
            <w:r>
              <w:rPr>
                <w:rFonts w:ascii="仿宋_GB2312" w:hAnsi="仿宋_GB2312" w:cs="仿宋_GB2312" w:eastAsia="仿宋_GB2312"/>
                <w:sz w:val="22"/>
              </w:rPr>
              <w:t>SAAS 架构搭建一体化康复医疗平台，支持成员单位轻量化入驻与分级权限管理，实现功能模块同质化共享及成员单位间数据协调交互，保障诊疗连续。</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接口对接：系统支持与集成平台、</w:t>
            </w:r>
            <w:r>
              <w:rPr>
                <w:rFonts w:ascii="仿宋_GB2312" w:hAnsi="仿宋_GB2312" w:cs="仿宋_GB2312" w:eastAsia="仿宋_GB2312"/>
                <w:sz w:val="22"/>
              </w:rPr>
              <w:t>HIS 系统、EMR 系统、CA系统、360系统、档案管理系统等多系统进行对接，实现标准化数据交互。</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软件接口对接费，公司为满足项目需求而产生的开发费用须自行折算到软件明细报价中，不单独报价。</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开放永久授权码，软件系统的服务端、客户端的软、硬件系统不得有任何加密限制、时间限制和使用数量的限制，须提供数据库表结构文档和操作说明文档。</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提供产品具有合法的版权和使用权。提供要求本次建设的平台系统支持具有总分院、多院区或多医疗机构体系）管理，系统集中部署、数据集中存储，支持多院区、具备医共体多机构接入并使用系统；</w:t>
            </w:r>
          </w:p>
          <w:p>
            <w:pPr>
              <w:pStyle w:val="null3"/>
              <w:jc w:val="both"/>
            </w:pPr>
            <w:r>
              <w:rPr>
                <w:rFonts w:ascii="仿宋_GB2312" w:hAnsi="仿宋_GB2312" w:cs="仿宋_GB2312" w:eastAsia="仿宋_GB2312"/>
                <w:sz w:val="22"/>
              </w:rPr>
              <w:t>7.年度维保费为合同金额5.5%；</w:t>
            </w:r>
          </w:p>
          <w:p>
            <w:pPr>
              <w:pStyle w:val="null3"/>
              <w:jc w:val="both"/>
            </w:pPr>
            <w:r>
              <w:rPr>
                <w:rFonts w:ascii="仿宋_GB2312" w:hAnsi="仿宋_GB2312" w:cs="仿宋_GB2312" w:eastAsia="仿宋_GB2312"/>
                <w:sz w:val="22"/>
              </w:rPr>
              <w:t>8.免费提供系统同一大版本内所有补丁更新、小版本升级及功能性优化；</w:t>
            </w:r>
          </w:p>
          <w:p>
            <w:pPr>
              <w:pStyle w:val="null3"/>
            </w:pP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所列需求为采购人初步需求，在本项目验收前，须配合院方进一步完善、补充系统功能，不再另行收取费用。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四、</w:t>
            </w:r>
            <w:r>
              <w:rPr>
                <w:rFonts w:ascii="仿宋_GB2312" w:hAnsi="仿宋_GB2312" w:cs="仿宋_GB2312" w:eastAsia="仿宋_GB2312"/>
                <w:sz w:val="20"/>
              </w:rPr>
              <w:t>说明</w:t>
            </w:r>
          </w:p>
          <w:p>
            <w:pPr>
              <w:pStyle w:val="null3"/>
            </w:pPr>
            <w:r>
              <w:rPr>
                <w:rFonts w:ascii="仿宋_GB2312" w:hAnsi="仿宋_GB2312" w:cs="仿宋_GB2312" w:eastAsia="仿宋_GB2312"/>
                <w:sz w:val="22"/>
              </w:rPr>
              <w:t>1.</w:t>
            </w:r>
            <w:r>
              <w:rPr>
                <w:rFonts w:ascii="仿宋_GB2312" w:hAnsi="仿宋_GB2312" w:cs="仿宋_GB2312" w:eastAsia="仿宋_GB2312"/>
                <w:sz w:val="22"/>
              </w:rPr>
              <w:t>标注</w:t>
            </w:r>
            <w:r>
              <w:rPr>
                <w:rFonts w:ascii="仿宋_GB2312" w:hAnsi="仿宋_GB2312" w:cs="仿宋_GB2312" w:eastAsia="仿宋_GB2312"/>
                <w:sz w:val="22"/>
              </w:rPr>
              <w:t>“●”的</w:t>
            </w:r>
            <w:r>
              <w:rPr>
                <w:rFonts w:ascii="仿宋_GB2312" w:hAnsi="仿宋_GB2312" w:cs="仿宋_GB2312" w:eastAsia="仿宋_GB2312"/>
                <w:sz w:val="22"/>
              </w:rPr>
              <w:t>须</w:t>
            </w:r>
            <w:r>
              <w:rPr>
                <w:rFonts w:ascii="仿宋_GB2312" w:hAnsi="仿宋_GB2312" w:cs="仿宋_GB2312" w:eastAsia="仿宋_GB2312"/>
                <w:sz w:val="22"/>
              </w:rPr>
              <w:t>提</w:t>
            </w:r>
            <w:r>
              <w:rPr>
                <w:rFonts w:ascii="仿宋_GB2312" w:hAnsi="仿宋_GB2312" w:cs="仿宋_GB2312" w:eastAsia="仿宋_GB2312"/>
                <w:sz w:val="20"/>
              </w:rPr>
              <w:t>供</w:t>
            </w:r>
            <w:r>
              <w:rPr>
                <w:rFonts w:ascii="仿宋_GB2312" w:hAnsi="仿宋_GB2312" w:cs="仿宋_GB2312" w:eastAsia="仿宋_GB2312"/>
                <w:sz w:val="22"/>
              </w:rPr>
              <w:t>承诺函</w:t>
            </w:r>
            <w:r>
              <w:rPr>
                <w:rFonts w:ascii="仿宋_GB2312" w:hAnsi="仿宋_GB2312" w:cs="仿宋_GB2312" w:eastAsia="仿宋_GB2312"/>
                <w:sz w:val="22"/>
              </w:rPr>
              <w:t>并加盖供应商公章</w:t>
            </w:r>
            <w:r>
              <w:rPr>
                <w:rFonts w:ascii="仿宋_GB2312" w:hAnsi="仿宋_GB2312" w:cs="仿宋_GB2312" w:eastAsia="仿宋_GB2312"/>
                <w:sz w:val="21"/>
              </w:rPr>
              <w:t>，否则作无效</w:t>
            </w:r>
            <w:r>
              <w:rPr>
                <w:rFonts w:ascii="仿宋_GB2312" w:hAnsi="仿宋_GB2312" w:cs="仿宋_GB2312" w:eastAsia="仿宋_GB2312"/>
                <w:sz w:val="21"/>
              </w:rPr>
              <w:t>响应</w:t>
            </w:r>
            <w:r>
              <w:rPr>
                <w:rFonts w:ascii="仿宋_GB2312" w:hAnsi="仿宋_GB2312" w:cs="仿宋_GB2312" w:eastAsia="仿宋_GB2312"/>
                <w:sz w:val="21"/>
              </w:rPr>
              <w:t>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质量保修范围和保修期：1.质量保修范围：磋商文件中技术参数与性能指标全部内容；2.质保期：软件（3年）自系统正式验收之日起，硬件（5年）自到货验收之日起。</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合同签订之日起60个日历天内（合同签订之日起软件系统在45个日历天之内完成安装调试，项目整体试运行15天），完成所有系统的安装调试并提请采购人验收使用。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2.由甲方和乙方共同对项目进行整体验收，甲方对验收是否合格进行确认。其内容包括是否按照甲方要求进行服务、是否在规定时间内服务完毕。 3.验收依据包含但不限于：本项目采购文件、响应文件；本合同及附件文本；合同履行时国家及行业现行的标准和技术规范。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项目团队配备表.docx 业绩一览表.docx 标注“●”的技术服务要求一览表.docx 供应商应提交的相关资格证明材料.docx 中小企业声明函 商务要求应答表.docx 标的清单 报价表 服务内容及服务要求应答表.docx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 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项目团队配备表.docx 业绩一览表.docx 标注“●”的技术服务要求一览表.docx 供应商应提交的相关资格证明材料.docx 中小企业声明函 商务要求应答表.docx 标的清单 报价表 服务内容及服务要求应答表.docx 响应函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标注“●”内容</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标注“●”的技术服务要求一览表.docx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针对本项目服务内容制定整体服务方案，包括①临床康复一体化管理平台信息系统实施方案②康复远程会诊与教学平台实施方案；③质量保证措施；④项目进度计划；⑤服务保障措施；⑥系统调试方案；⑦管理制度；⑧项目验收方案；⑨项目团队人员配备。 二、赋分标准： 1.完整性：对上述各项内容均有描述，得9分；每缺1项扣1分，扣完为止。此项不提供不得分。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一、评审内容：针对本项目服务内容制定维保方案，包括①日常维保介绍；②维保工作内容；③维保流程及管理；④维保优化方案。 二、赋分标准： 1.完整性：对上述各项内容均有描述，得4分；每缺1项扣1分，扣完为止。此项不提供不得分。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服务内容制定售后服务方案，包括①售后服务网点；②售后服务人员；③售后服务保障措施；④交付采购方后出现服务质量问题的响应时间⑤系统如出现不能正常工作、出现系统不运转等情况的维护及响应解决方案⑥售后服务承诺。 二、赋分标准： 1.完整性：对上述各项内容均有描述，得6分；每缺1项扣1分，扣完为止。此项不提供不得分。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一、评审内容：针对本项目服务内容制定培训方案，包括①培训计划；②培训内容；③培训标准。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一、评审内容：针对本项目服务内容制定应急方案，包括①突发事件情况分析；②应急响应时间及应对措施。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一、评审内容：演示内容详见磋商文件第三章标※参数。 二、赋分标准：供应商应按照磋商文件要求进行现场演示，每一项内容完整齐全，与磋商文件要求相符，得 1分，每一项内容（演示环节某项中的功能点未演示完全的、内容描述不清的或与本项目无关），得0分。（注：供应商应使用真实系统或视频文件或卡片形式进行现场演示，不接受 PPT、截图、静态页面等形式进行演示。演示时间≤20 分钟。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一、评审内容：提供2023年3月1日至今类似项目业绩。 二、赋分标准： 每提供1份得2分，满分4分。无此项内容不得分。（注：业绩证明材料以中标（成交）通知书或合同协议书为准，磋商响应文件中附中标（成交）通知书或合同协议书复印件并加盖供应商公章。）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1.上限为采购预算价，即报价大于上限价视为无效报价； 2.以满足本次磋商文件要求的最低报价为评审基准价，其价格为满分； 3.供应商报价得分=[评审基准价/报价]×10 得算分数时四舍五入取小数点后两位。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详见附件：标注“●”的技术服务要求一览表.docx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