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版本号：HZJZS2026--005720260328002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汉中市博物馆“五馆联动”数字化应用项目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HZJZS2026--0057</w:t>
      </w:r>
      <w:r>
        <w:br/>
      </w:r>
      <w:r>
        <w:br/>
      </w:r>
      <w:r>
        <w:br/>
      </w:r>
    </w:p>
    <w:p>
      <w:pPr>
        <w:pStyle w:val="null3"/>
        <w:jc w:val="center"/>
        <w:outlineLvl w:val="2"/>
      </w:pPr>
      <w:r>
        <w:rPr>
          <w:rFonts w:ascii="仿宋_GB2312" w:hAnsi="仿宋_GB2312" w:cs="仿宋_GB2312" w:eastAsia="仿宋_GB2312"/>
          <w:sz w:val="28"/>
          <w:b/>
        </w:rPr>
        <w:t>汉中市文化和旅游局（汉中市文物广电局）</w:t>
      </w:r>
    </w:p>
    <w:p>
      <w:pPr>
        <w:pStyle w:val="null3"/>
        <w:jc w:val="center"/>
        <w:outlineLvl w:val="2"/>
      </w:pPr>
      <w:r>
        <w:rPr>
          <w:rFonts w:ascii="仿宋_GB2312" w:hAnsi="仿宋_GB2312" w:cs="仿宋_GB2312" w:eastAsia="仿宋_GB2312"/>
          <w:sz w:val="28"/>
          <w:b/>
        </w:rPr>
        <w:t>华智建造价咨询有限公司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华智建造价咨询有限公司</w:t>
      </w:r>
      <w:r>
        <w:rPr>
          <w:rFonts w:ascii="仿宋_GB2312" w:hAnsi="仿宋_GB2312" w:cs="仿宋_GB2312" w:eastAsia="仿宋_GB2312"/>
        </w:rPr>
        <w:t>（以下简称“代理机构”）受</w:t>
      </w:r>
      <w:r>
        <w:rPr>
          <w:rFonts w:ascii="仿宋_GB2312" w:hAnsi="仿宋_GB2312" w:cs="仿宋_GB2312" w:eastAsia="仿宋_GB2312"/>
        </w:rPr>
        <w:t>汉中市文化和旅游局（汉中市文物广电局）</w:t>
      </w:r>
      <w:r>
        <w:rPr>
          <w:rFonts w:ascii="仿宋_GB2312" w:hAnsi="仿宋_GB2312" w:cs="仿宋_GB2312" w:eastAsia="仿宋_GB2312"/>
        </w:rPr>
        <w:t>委托，拟对</w:t>
      </w:r>
      <w:r>
        <w:rPr>
          <w:rFonts w:ascii="仿宋_GB2312" w:hAnsi="仿宋_GB2312" w:cs="仿宋_GB2312" w:eastAsia="仿宋_GB2312"/>
        </w:rPr>
        <w:t>汉中市博物馆“五馆联动”数字化应用项目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HZJZS2026--0057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汉中市博物馆“五馆联动”数字化应用项目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依托汉中市内五家相关博物馆资源或场地，运用增强现实、虚拟现实等数字科技并融合文化创意等元素，通过文旅融合、虚实结合等方式，设计研发本地文化内容，开发“两汉三国”等主题沉浸式互动体验空间，配套购置相关设备；通过软件开发和硬件配套，构建“古汉台”数字化互动展示平台，将汉中市历史文化资源转化为可感知、可互动的数字化体验，充分体现旅游与科技的深度融合，创新提升游客的多维旅游体验，培育旅游消费新场景新热点，提升博物馆质量效益，增强用户粘性和参与度，提供长期可靠的技术支持和服务保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采购包1（汉中市博物馆“五馆联动”数字化应用项目）：属于专门面向小微企业采购。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2、法定代表人身份证明或授权委托书：法定代表人参加投标须提供 《法定代表人身份证明》及身份证复印件；法定代表人授权他人参加投标，须提供《法定代表人授权委托书》、被授权人身份证复印件；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3、供应商资格承诺函：拟参与本项目的投标人应按照汉中市财政局《关于全面推行政府采购供应商基本资格条件承诺制的通知》(汉财办采管(2024)20 号)文件要求，提供满足相应条件的资格承诺函；</w:t>
      </w:r>
    </w:p>
    <w:p>
      <w:pPr>
        <w:pStyle w:val="null3"/>
      </w:pPr>
      <w:r>
        <w:rPr>
          <w:rFonts w:ascii="仿宋_GB2312" w:hAnsi="仿宋_GB2312" w:cs="仿宋_GB2312" w:eastAsia="仿宋_GB2312"/>
        </w:rPr>
        <w:t>4、非联合体声明：本项目不接受联合体投标，需提供非联合体书面声明。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汉中市文化和旅游局（汉中市文物广电局）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汉中市汉台区前进西路1567号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0916-2996589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华智建造价咨询有限公司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汉中市汉台区北关街道办事处留侯路东方明珠小区南门临街商铺2层#1</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0916-3792520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开户名称：华智建造价咨询有限公司汉中分公司</w:t>
            </w:r>
          </w:p>
          <w:p>
            <w:pPr>
              <w:pStyle w:val="null3"/>
            </w:pPr>
            <w:r>
              <w:rPr>
                <w:rFonts w:ascii="仿宋_GB2312" w:hAnsi="仿宋_GB2312" w:cs="仿宋_GB2312" w:eastAsia="仿宋_GB2312"/>
              </w:rPr>
              <w:t>开户银行：中国建设银行股份有限公司汉中前进路支行</w:t>
            </w:r>
          </w:p>
          <w:p>
            <w:pPr>
              <w:pStyle w:val="null3"/>
            </w:pPr>
            <w:r>
              <w:rPr>
                <w:rFonts w:ascii="仿宋_GB2312" w:hAnsi="仿宋_GB2312" w:cs="仿宋_GB2312" w:eastAsia="仿宋_GB2312"/>
              </w:rPr>
              <w:t>银行账号：6105 0165 0042 0000 0712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代理服务费收费标准：以中标金额为基数，参照国家计委颁发的《招标代理服务收费管理暂行办法》（计价格[2002]1980号）和《关于招标代理服务收费有关问题的通知》（发改办价格[2003]857号）的有关规定执行。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汉中市文化和旅游局（汉中市文物广电局）</w:t>
      </w:r>
      <w:r>
        <w:rPr>
          <w:rFonts w:ascii="仿宋_GB2312" w:hAnsi="仿宋_GB2312" w:cs="仿宋_GB2312" w:eastAsia="仿宋_GB2312"/>
        </w:rPr>
        <w:t>和</w:t>
      </w:r>
      <w:r>
        <w:rPr>
          <w:rFonts w:ascii="仿宋_GB2312" w:hAnsi="仿宋_GB2312" w:cs="仿宋_GB2312" w:eastAsia="仿宋_GB2312"/>
        </w:rPr>
        <w:t>华智建造价咨询有限公司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汉中市文化和旅游局（汉中市文物广电局）</w:t>
      </w:r>
      <w:r>
        <w:rPr>
          <w:rFonts w:ascii="仿宋_GB2312" w:hAnsi="仿宋_GB2312" w:cs="仿宋_GB2312" w:eastAsia="仿宋_GB2312"/>
        </w:rPr>
        <w:t>负责解释。除上述招标文件内容，其他内容由</w:t>
      </w:r>
      <w:r>
        <w:rPr>
          <w:rFonts w:ascii="仿宋_GB2312" w:hAnsi="仿宋_GB2312" w:cs="仿宋_GB2312" w:eastAsia="仿宋_GB2312"/>
        </w:rPr>
        <w:t>华智建造价咨询有限公司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汉中市文化和旅游局（汉中市文物广电局）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华智建造价咨询有限公司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华智建造价咨询有限公司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华智建造价咨询有限公司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华智建造价咨询有限公司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联系电话：0916-3792520</w:t>
      </w:r>
    </w:p>
    <w:p>
      <w:pPr>
        <w:pStyle w:val="null3"/>
      </w:pPr>
      <w:r>
        <w:rPr>
          <w:rFonts w:ascii="仿宋_GB2312" w:hAnsi="仿宋_GB2312" w:cs="仿宋_GB2312" w:eastAsia="仿宋_GB2312"/>
        </w:rPr>
        <w:t>地址：汉中市汉台区北关街道办事处留侯路东方明珠小区南门临街商铺2层#1</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依托汉中市内五家相关博物馆资源或场地，运用增强现实、虚拟现实等数字科技并融合文化创意等元素，通过文旅融合、虚实结合等方式，设计研发本地文化内容，开发“两汉三国”等主题沉浸式互动体验空间，配套购置相关设备；通过软件开发和硬件配套，构建“古汉台”数字化互动展示平台，将汉中市历史文化资源转化为可感知、可互动的数字化体验，充分体现旅游与科技的深度融合，创新提升游客的多维旅游体验，培育旅游消费新场景新热点，提升博物馆质量效益，增强用户粘性和参与度，提供长期可靠的技术支持和服务保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3,000,000.00</w:t>
      </w:r>
    </w:p>
    <w:p>
      <w:pPr>
        <w:pStyle w:val="null3"/>
      </w:pPr>
      <w:r>
        <w:rPr>
          <w:rFonts w:ascii="仿宋_GB2312" w:hAnsi="仿宋_GB2312" w:cs="仿宋_GB2312" w:eastAsia="仿宋_GB2312"/>
        </w:rPr>
        <w:t>采购包最高限价（元）: 3,000,000.00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汉中市博物馆五馆联动数字化应用项目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标的名称：汉中市博物馆五馆联动数字化应用项目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32"/>
                <w:b/>
              </w:rPr>
              <w:t>1.建设内容</w:t>
            </w:r>
          </w:p>
          <w:tbl>
            <w:tblPr>
              <w:tblBorders>
                <w:top w:val="none" w:color="000000" w:sz="4"/>
                <w:left w:val="none" w:color="000000" w:sz="4"/>
                <w:bottom w:val="none" w:color="000000" w:sz="4"/>
                <w:right w:val="none" w:color="000000" w:sz="4"/>
                <w:insideH w:val="none"/>
                <w:insideV w:val="none"/>
              </w:tblBorders>
            </w:tblPr>
            <w:tblGrid>
              <w:gridCol w:w="302"/>
              <w:gridCol w:w="1532"/>
              <w:gridCol w:w="348"/>
              <w:gridCol w:w="371"/>
            </w:tblGrid>
            <w:tr>
              <w:tc>
                <w:tcPr>
                  <w:tcW w:type="dxa" w:w="302"/>
                  <w:tcBorders>
                    <w:top w:val="single" w:color="000000" w:sz="4"/>
                    <w:left w:val="single" w:color="000000" w:sz="4"/>
                    <w:bottom w:val="single" w:color="000000" w:sz="4"/>
                    <w:right w:val="singl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1532"/>
                  <w:tcBorders>
                    <w:top w:val="single" w:color="000000" w:sz="4"/>
                    <w:left w:val="single" w:color="000000" w:sz="4"/>
                    <w:bottom w:val="single" w:color="000000" w:sz="4"/>
                    <w:right w:val="singl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建设内容</w:t>
                  </w:r>
                </w:p>
              </w:tc>
              <w:tc>
                <w:tcPr>
                  <w:tcW w:type="dxa" w:w="348"/>
                  <w:tcBorders>
                    <w:top w:val="single" w:color="000000" w:sz="4"/>
                    <w:left w:val="single" w:color="000000" w:sz="4"/>
                    <w:bottom w:val="single" w:color="000000" w:sz="4"/>
                    <w:right w:val="singl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371"/>
                  <w:tcBorders>
                    <w:top w:val="single" w:color="000000" w:sz="4"/>
                    <w:left w:val="single" w:color="000000" w:sz="4"/>
                    <w:bottom w:val="single" w:color="000000" w:sz="4"/>
                    <w:right w:val="singl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数字制作及程序开发</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运营设施设备及运营配套服务</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文创衍生及活动宣发配套</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pPr>
              <w:pStyle w:val="null3"/>
            </w:pPr>
            <w:r>
              <w:rPr>
                <w:rFonts w:ascii="仿宋_GB2312" w:hAnsi="仿宋_GB2312" w:cs="仿宋_GB2312" w:eastAsia="仿宋_GB2312"/>
                <w:sz w:val="32"/>
                <w:b/>
              </w:rPr>
              <w:t>2.数字制作及程序开发</w:t>
            </w: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sz w:val="24"/>
              </w:rPr>
              <w:t>立足古汉台作为汉王朝发祥地的核心历史地位，以</w:t>
            </w:r>
            <w:r>
              <w:rPr>
                <w:rFonts w:ascii="仿宋_GB2312" w:hAnsi="仿宋_GB2312" w:cs="仿宋_GB2312" w:eastAsia="仿宋_GB2312"/>
                <w:sz w:val="24"/>
              </w:rPr>
              <w:t>“溯源汉魂、活化遗产”为核心，借AR虚实交融技术让游客亲历汉文明的开篇历程。其核心的数字内容制作及程序开发要求如下表：</w:t>
            </w:r>
          </w:p>
          <w:tbl>
            <w:tblPr>
              <w:tblBorders>
                <w:top w:val="none" w:color="000000" w:sz="4"/>
                <w:left w:val="none" w:color="000000" w:sz="4"/>
                <w:bottom w:val="none" w:color="000000" w:sz="4"/>
                <w:right w:val="none" w:color="000000" w:sz="4"/>
                <w:insideH w:val="none"/>
                <w:insideV w:val="none"/>
              </w:tblBorders>
            </w:tblPr>
            <w:tblGrid>
              <w:gridCol w:w="217"/>
              <w:gridCol w:w="392"/>
              <w:gridCol w:w="1403"/>
              <w:gridCol w:w="277"/>
              <w:gridCol w:w="263"/>
            </w:tblGrid>
            <w:tr>
              <w:tc>
                <w:tcPr>
                  <w:tcW w:type="dxa" w:w="217"/>
                  <w:tcBorders>
                    <w:top w:val="single" w:color="000000" w:sz="4"/>
                    <w:left w:val="single" w:color="000000" w:sz="4"/>
                    <w:bottom w:val="single" w:color="000000" w:sz="4"/>
                    <w:right w:val="singl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392"/>
                  <w:tcBorders>
                    <w:top w:val="single" w:color="000000" w:sz="4"/>
                    <w:left w:val="single" w:color="000000" w:sz="4"/>
                    <w:bottom w:val="single" w:color="000000" w:sz="4"/>
                    <w:right w:val="singl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建设内容</w:t>
                  </w:r>
                </w:p>
              </w:tc>
              <w:tc>
                <w:tcPr>
                  <w:tcW w:type="dxa" w:w="1403"/>
                  <w:tcBorders>
                    <w:top w:val="single" w:color="000000" w:sz="4"/>
                    <w:left w:val="single" w:color="000000" w:sz="4"/>
                    <w:bottom w:val="single" w:color="000000" w:sz="4"/>
                    <w:right w:val="singl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技术要求</w:t>
                  </w:r>
                </w:p>
              </w:tc>
              <w:tc>
                <w:tcPr>
                  <w:tcW w:type="dxa" w:w="277"/>
                  <w:tcBorders>
                    <w:top w:val="single" w:color="000000" w:sz="4"/>
                    <w:left w:val="single" w:color="000000" w:sz="4"/>
                    <w:bottom w:val="single" w:color="000000" w:sz="4"/>
                    <w:right w:val="singl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263"/>
                  <w:tcBorders>
                    <w:top w:val="single" w:color="000000" w:sz="4"/>
                    <w:left w:val="single" w:color="000000" w:sz="4"/>
                    <w:bottom w:val="single" w:color="000000" w:sz="4"/>
                    <w:right w:val="singl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项目深度策划及专家审校</w:t>
                  </w:r>
                </w:p>
                <w:p>
                  <w:pPr>
                    <w:pStyle w:val="null3"/>
                    <w:jc w:val="center"/>
                  </w:pP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1）基于古汉台馆AR主题进行项目深度创意策划与设计；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2）主题策划、知识大纲及文稿创作充分结合汉中市的文化与历史，注重科学性、严谨性与原创性；</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3）贯彻创新性、互动性、趣味性相结合的原则，内容应通俗易懂，能深刻掌握历史知识、了解文物背后的故事；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4）深度策划文本需经馆方组织专家完成审校。</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AR导览策划及基础氛围元素</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1）结合环境对每个点位进行AR技术评估；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2）对明确AR点位进行用户体验式线路规划；</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3）根据点位的环境特点，明确体验者站位范</w:t>
                  </w:r>
                  <w:r>
                    <w:rPr>
                      <w:rFonts w:ascii="仿宋_GB2312" w:hAnsi="仿宋_GB2312" w:cs="仿宋_GB2312" w:eastAsia="仿宋_GB2312"/>
                      <w:sz w:val="21"/>
                    </w:rPr>
                    <w:t>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4）点位标牌、指示标牌设计开发及制作；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5）常规导览中展示 UI 设计开发；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6）点缀氛围元素开发和优化。</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英雄</w:t>
                  </w:r>
                  <w:r>
                    <w:rPr>
                      <w:rFonts w:ascii="仿宋_GB2312" w:hAnsi="仿宋_GB2312" w:cs="仿宋_GB2312" w:eastAsia="仿宋_GB2312"/>
                      <w:sz w:val="21"/>
                    </w:rPr>
                    <w:t>IP数字人</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1）IP数字人创意设计：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2）3D建模，含人物、服装造型；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3）骨骼绑定及模型动作渲染。</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数字地图</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博物馆概况、建议参观路线和所有点位分布情况。包括导览图建模和引导讲解。</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1）点位标牌、指示标牌设计开发；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2）常规导览中展示UI设计开发；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3）点缀氛围元素开发和优化。</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交互讲解体验点</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每个点位不少于</w:t>
                  </w:r>
                  <w:r>
                    <w:rPr>
                      <w:rFonts w:ascii="仿宋_GB2312" w:hAnsi="仿宋_GB2312" w:cs="仿宋_GB2312" w:eastAsia="仿宋_GB2312"/>
                      <w:sz w:val="21"/>
                    </w:rPr>
                    <w:t>90 秒。</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1）导览内容策划、脚本及解说词撰写；</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2）每个点位都需要进行一个核心模型二维或三维制作；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3）每个点位配套数字视频制作；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核心展项模型制作、场景氛围与交互</w:t>
                  </w:r>
                  <w:r>
                    <w:rPr>
                      <w:rFonts w:ascii="仿宋_GB2312" w:hAnsi="仿宋_GB2312" w:cs="仿宋_GB2312" w:eastAsia="仿宋_GB2312"/>
                      <w:sz w:val="21"/>
                    </w:rPr>
                    <w:t>UI设计开发；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可交互</w:t>
                  </w:r>
                  <w:r>
                    <w:rPr>
                      <w:rFonts w:ascii="仿宋_GB2312" w:hAnsi="仿宋_GB2312" w:cs="仿宋_GB2312" w:eastAsia="仿宋_GB2312"/>
                      <w:sz w:val="21"/>
                    </w:rPr>
                    <w:t>AR应用单元集成开发</w:t>
                  </w:r>
                  <w:r>
                    <w:rPr>
                      <w:rFonts w:ascii="仿宋_GB2312" w:hAnsi="仿宋_GB2312" w:cs="仿宋_GB2312" w:eastAsia="仿宋_GB2312"/>
                      <w:sz w:val="21"/>
                    </w:rPr>
                    <w:t>。</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场景交互体验点</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重点场景复活呈现，包含场景建模、核心</w:t>
                  </w:r>
                  <w:r>
                    <w:rPr>
                      <w:rFonts w:ascii="仿宋_GB2312" w:hAnsi="仿宋_GB2312" w:cs="仿宋_GB2312" w:eastAsia="仿宋_GB2312"/>
                      <w:sz w:val="21"/>
                    </w:rPr>
                    <w:t>3D内容模型建模以及配套氛围模型点缀。</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1）每个点位都需要进行场景*1和核心三维内容模型*1的建模；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核心展项模型制作、场景氛围与交互</w:t>
                  </w:r>
                  <w:r>
                    <w:rPr>
                      <w:rFonts w:ascii="仿宋_GB2312" w:hAnsi="仿宋_GB2312" w:cs="仿宋_GB2312" w:eastAsia="仿宋_GB2312"/>
                      <w:sz w:val="21"/>
                    </w:rPr>
                    <w:t>UI设计开发</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可交互</w:t>
                  </w:r>
                  <w:r>
                    <w:rPr>
                      <w:rFonts w:ascii="仿宋_GB2312" w:hAnsi="仿宋_GB2312" w:cs="仿宋_GB2312" w:eastAsia="仿宋_GB2312"/>
                      <w:sz w:val="21"/>
                    </w:rPr>
                    <w:t>AR应用单元集成开发</w:t>
                  </w:r>
                  <w:r>
                    <w:rPr>
                      <w:rFonts w:ascii="仿宋_GB2312" w:hAnsi="仿宋_GB2312" w:cs="仿宋_GB2312" w:eastAsia="仿宋_GB2312"/>
                      <w:sz w:val="21"/>
                    </w:rPr>
                    <w:t>。</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AR眼镜应用部署服务</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服务平台支持模块化体验区域设定。平台需支持导入与管理图文、音视频、</w:t>
                  </w:r>
                  <w:r>
                    <w:rPr>
                      <w:rFonts w:ascii="仿宋_GB2312" w:hAnsi="仿宋_GB2312" w:cs="仿宋_GB2312" w:eastAsia="仿宋_GB2312"/>
                      <w:sz w:val="21"/>
                    </w:rPr>
                    <w:t>360°全景视频等基础媒资，并能集成、打包及发布一个统一的、包含所有体验区域内容与交互逻辑的应用程序</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2）支持基于语音识别、图像识别、空间识别等识别触发场景；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3）能够快速进行AR眼镜端进行各体验区域应用/媒资内容进行统一集成部署；</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4）各体验区域点位AR内容能够快速、灵活、迭代和优化；</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5）体验区域点位识别能力可进行AR眼镜端部署离线使用；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需提供体验区域的空间数据采集与处理服务，为空间定位与内容部署提供基础数据</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7）对接应用开发的SDK及API接口，及空间定位的技术服务。</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体验区域点云空间定位服务</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1）体验区域场景点位识别算法训练；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2）体验区域场景识别算法优化服务。</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pPr>
              <w:pStyle w:val="null3"/>
            </w:pPr>
            <w:r>
              <w:rPr>
                <w:rFonts w:ascii="仿宋_GB2312" w:hAnsi="仿宋_GB2312" w:cs="仿宋_GB2312" w:eastAsia="仿宋_GB2312"/>
                <w:sz w:val="32"/>
                <w:b/>
              </w:rPr>
              <w:t>3.运营设施设备及运营配套服务</w:t>
            </w:r>
          </w:p>
          <w:p>
            <w:pPr>
              <w:pStyle w:val="null3"/>
            </w:pPr>
            <w:r>
              <w:rPr>
                <w:rFonts w:ascii="仿宋_GB2312" w:hAnsi="仿宋_GB2312" w:cs="仿宋_GB2312" w:eastAsia="仿宋_GB2312"/>
                <w:sz w:val="24"/>
              </w:rPr>
              <w:t>为支撑古汉台馆</w:t>
            </w:r>
            <w:r>
              <w:rPr>
                <w:rFonts w:ascii="仿宋_GB2312" w:hAnsi="仿宋_GB2312" w:cs="仿宋_GB2312" w:eastAsia="仿宋_GB2312"/>
                <w:sz w:val="24"/>
              </w:rPr>
              <w:t>AR主题体验，需提供运营所必需的设施设备及配套服务，详细要求如下表：</w:t>
            </w:r>
          </w:p>
          <w:tbl>
            <w:tblPr>
              <w:tblBorders>
                <w:top w:val="none" w:color="000000" w:sz="4"/>
                <w:left w:val="none" w:color="000000" w:sz="4"/>
                <w:bottom w:val="none" w:color="000000" w:sz="4"/>
                <w:right w:val="none" w:color="000000" w:sz="4"/>
                <w:insideH w:val="none"/>
                <w:insideV w:val="none"/>
              </w:tblBorders>
            </w:tblPr>
            <w:tblGrid>
              <w:gridCol w:w="217"/>
              <w:gridCol w:w="392"/>
              <w:gridCol w:w="1403"/>
              <w:gridCol w:w="277"/>
              <w:gridCol w:w="263"/>
            </w:tblGrid>
            <w:tr>
              <w:tc>
                <w:tcPr>
                  <w:tcW w:type="dxa" w:w="217"/>
                  <w:tcBorders>
                    <w:top w:val="single" w:color="000000" w:sz="4"/>
                    <w:left w:val="single" w:color="000000" w:sz="4"/>
                    <w:bottom w:val="single" w:color="000000" w:sz="4"/>
                    <w:right w:val="singl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392"/>
                  <w:tcBorders>
                    <w:top w:val="single" w:color="000000" w:sz="4"/>
                    <w:left w:val="single" w:color="000000" w:sz="4"/>
                    <w:bottom w:val="single" w:color="000000" w:sz="4"/>
                    <w:right w:val="singl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建设内容</w:t>
                  </w:r>
                </w:p>
              </w:tc>
              <w:tc>
                <w:tcPr>
                  <w:tcW w:type="dxa" w:w="1403"/>
                  <w:tcBorders>
                    <w:top w:val="single" w:color="000000" w:sz="4"/>
                    <w:left w:val="single" w:color="000000" w:sz="4"/>
                    <w:bottom w:val="single" w:color="000000" w:sz="4"/>
                    <w:right w:val="singl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技术要求</w:t>
                  </w:r>
                </w:p>
              </w:tc>
              <w:tc>
                <w:tcPr>
                  <w:tcW w:type="dxa" w:w="277"/>
                  <w:tcBorders>
                    <w:top w:val="single" w:color="000000" w:sz="4"/>
                    <w:left w:val="single" w:color="000000" w:sz="4"/>
                    <w:bottom w:val="single" w:color="000000" w:sz="4"/>
                    <w:right w:val="singl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263"/>
                  <w:tcBorders>
                    <w:top w:val="single" w:color="000000" w:sz="4"/>
                    <w:left w:val="single" w:color="000000" w:sz="4"/>
                    <w:bottom w:val="single" w:color="000000" w:sz="4"/>
                    <w:right w:val="singl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AR眼镜</w:t>
                  </w:r>
                </w:p>
                <w:p>
                  <w:pPr>
                    <w:pStyle w:val="null3"/>
                    <w:jc w:val="center"/>
                  </w:pPr>
                  <w:r>
                    <w:rPr>
                      <w:rFonts w:ascii="仿宋_GB2312" w:hAnsi="仿宋_GB2312" w:cs="仿宋_GB2312" w:eastAsia="仿宋_GB2312"/>
                      <w:sz w:val="21"/>
                    </w:rPr>
                    <w:t>套装</w:t>
                  </w:r>
                </w:p>
                <w:p>
                  <w:pPr>
                    <w:pStyle w:val="null3"/>
                    <w:jc w:val="center"/>
                  </w:pP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AR眼镜：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1）分辨率：</w:t>
                  </w:r>
                  <w:r>
                    <w:rPr>
                      <w:rFonts w:ascii="仿宋_GB2312" w:hAnsi="仿宋_GB2312" w:cs="仿宋_GB2312" w:eastAsia="仿宋_GB2312"/>
                      <w:sz w:val="21"/>
                    </w:rPr>
                    <w:t>单目物理分辨率</w:t>
                  </w:r>
                  <w:r>
                    <w:rPr>
                      <w:rFonts w:ascii="仿宋_GB2312" w:hAnsi="仿宋_GB2312" w:cs="仿宋_GB2312" w:eastAsia="仿宋_GB2312"/>
                      <w:sz w:val="21"/>
                    </w:rPr>
                    <w:t>≥1920*1080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2）刷新率：≥60Hz</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视场角</w:t>
                  </w:r>
                  <w:r>
                    <w:rPr>
                      <w:rFonts w:ascii="仿宋_GB2312" w:hAnsi="仿宋_GB2312" w:cs="仿宋_GB2312" w:eastAsia="仿宋_GB2312"/>
                      <w:sz w:val="21"/>
                    </w:rPr>
                    <w:t>(FOV):≥50°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4）镜腿：可折叠</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具备空间感知能力</w:t>
                  </w:r>
                </w:p>
                <w:p>
                  <w:pPr>
                    <w:pStyle w:val="null3"/>
                    <w:jc w:val="both"/>
                  </w:pPr>
                  <w:r>
                    <w:rPr>
                      <w:rFonts w:ascii="仿宋_GB2312" w:hAnsi="仿宋_GB2312" w:cs="仿宋_GB2312" w:eastAsia="仿宋_GB2312"/>
                      <w:sz w:val="21"/>
                    </w:rPr>
                    <w:t>眼镜主机</w:t>
                  </w:r>
                  <w:r>
                    <w:rPr>
                      <w:rFonts w:ascii="仿宋_GB2312" w:hAnsi="仿宋_GB2312" w:cs="仿宋_GB2312" w:eastAsia="仿宋_GB2312"/>
                      <w:sz w:val="21"/>
                    </w:rPr>
                    <w:t>(计算单元)</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性能：内存</w:t>
                  </w:r>
                  <w:r>
                    <w:rPr>
                      <w:rFonts w:ascii="仿宋_GB2312" w:hAnsi="仿宋_GB2312" w:cs="仿宋_GB2312" w:eastAsia="仿宋_GB2312"/>
                      <w:sz w:val="21"/>
                    </w:rPr>
                    <w:t>≥2GB</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2）储存：≥32GB。</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续航：电池容量</w:t>
                  </w:r>
                  <w:r>
                    <w:rPr>
                      <w:rFonts w:ascii="仿宋_GB2312" w:hAnsi="仿宋_GB2312" w:cs="仿宋_GB2312" w:eastAsia="仿宋_GB2312"/>
                      <w:sz w:val="21"/>
                    </w:rPr>
                    <w:t>≥3000毫安时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4）传输方式：支持wifi，蓝牙5.0及以上。</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5）系统：</w:t>
                  </w:r>
                  <w:r>
                    <w:rPr>
                      <w:rFonts w:ascii="仿宋_GB2312" w:hAnsi="仿宋_GB2312" w:cs="仿宋_GB2312" w:eastAsia="仿宋_GB2312"/>
                      <w:sz w:val="21"/>
                    </w:rPr>
                    <w:t>操作系统需具备开放性，支持安装并稳定运行由</w:t>
                  </w:r>
                  <w:r>
                    <w:rPr>
                      <w:rFonts w:ascii="仿宋_GB2312" w:hAnsi="仿宋_GB2312" w:cs="仿宋_GB2312" w:eastAsia="仿宋_GB2312"/>
                      <w:sz w:val="21"/>
                    </w:rPr>
                    <w:t>Unity、Unreal Engine等主流引擎构建的应用程序</w:t>
                  </w:r>
                  <w:r>
                    <w:rPr>
                      <w:rFonts w:ascii="仿宋_GB2312" w:hAnsi="仿宋_GB2312" w:cs="仿宋_GB2312" w:eastAsia="仿宋_GB2312"/>
                      <w:sz w:val="21"/>
                    </w:rPr>
                    <w:t>。</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AR眼镜套装质保服务</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AR眼镜套装提供第一年免费维保（人为引起损坏除外），硬件延保2年。</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r>
                    <w:rPr>
                      <w:rFonts w:ascii="仿宋_GB2312" w:hAnsi="仿宋_GB2312" w:cs="仿宋_GB2312" w:eastAsia="仿宋_GB2312"/>
                      <w:sz w:val="21"/>
                    </w:rPr>
                    <w:t>/2年</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运营充电柜</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1）充电位：≥6</w:t>
                  </w:r>
                  <w:r>
                    <w:rPr>
                      <w:rFonts w:ascii="仿宋_GB2312" w:hAnsi="仿宋_GB2312" w:cs="仿宋_GB2312" w:eastAsia="仿宋_GB2312"/>
                      <w:sz w:val="21"/>
                    </w:rPr>
                    <w:t>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2）材质：主要材质钣金+ABS；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3）存放方式：分隔存放；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4）供电：AC交流供电；</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5）万向轮：≥4个；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6）门锁数量：≥1个。</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经营设备</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电脑</w:t>
                  </w:r>
                  <w:r>
                    <w:rPr>
                      <w:rFonts w:ascii="仿宋_GB2312" w:hAnsi="仿宋_GB2312" w:cs="仿宋_GB2312" w:eastAsia="仿宋_GB2312"/>
                      <w:sz w:val="21"/>
                    </w:rPr>
                    <w:t>+扫码枪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台式机电脑、</w:t>
                  </w:r>
                  <w:r>
                    <w:rPr>
                      <w:rFonts w:ascii="仿宋_GB2312" w:hAnsi="仿宋_GB2312" w:cs="仿宋_GB2312" w:eastAsia="仿宋_GB2312"/>
                      <w:sz w:val="21"/>
                    </w:rPr>
                    <w:t>23.8英寸显示器；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2）有线扫码枪，支持条形码、二维码、屏幕码等。</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运营三件套</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1）防滑绑带*1；</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2）背壳*1；</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3）背绳*1。</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运营租赁服务系统</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1）订单小程序系统开发；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2）运营管理平台开发；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3）支持PC端、小程序端。</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设备及系统安装调试、人员培训及试运营保障</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1）资源及软件内容联动测试；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2）AR眼镜硬件及系统刷机适配；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3）现场功能点测试及优调；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4）设施设备、系统安装及整体部署；</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5）试运营阶段技术人员现场保障：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6）运营服务的系统性培训服务。</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运营物料设计制作</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1）运营美陈打卡物料设计及制作；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2）易拉宝整体设计及制作：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3）运营DM单设计及制作，4折页：1万份。</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pPr>
              <w:pStyle w:val="null3"/>
            </w:pPr>
            <w:r>
              <w:rPr>
                <w:rFonts w:ascii="仿宋_GB2312" w:hAnsi="仿宋_GB2312" w:cs="仿宋_GB2312" w:eastAsia="仿宋_GB2312"/>
                <w:sz w:val="32"/>
                <w:b/>
              </w:rPr>
              <w:t>4.文创衍生及活动宣发配套</w:t>
            </w:r>
            <w:r>
              <w:rPr>
                <w:rFonts w:ascii="仿宋_GB2312" w:hAnsi="仿宋_GB2312" w:cs="仿宋_GB2312" w:eastAsia="仿宋_GB2312"/>
              </w:rPr>
              <w:t xml:space="preserve"> </w:t>
            </w:r>
          </w:p>
          <w:p>
            <w:pPr>
              <w:pStyle w:val="null3"/>
            </w:pPr>
            <w:r>
              <w:rPr>
                <w:rFonts w:ascii="仿宋_GB2312" w:hAnsi="仿宋_GB2312" w:cs="仿宋_GB2312" w:eastAsia="仿宋_GB2312"/>
                <w:sz w:val="24"/>
              </w:rPr>
              <w:t>为丰富和推广</w:t>
            </w:r>
            <w:r>
              <w:rPr>
                <w:rFonts w:ascii="仿宋_GB2312" w:hAnsi="仿宋_GB2312" w:cs="仿宋_GB2312" w:eastAsia="仿宋_GB2312"/>
                <w:sz w:val="24"/>
              </w:rPr>
              <w:t>“古汉台”AR体验项目，设计开发AI小程序实现打卡、合影等功能，丰富现场体验，完成相关文创衍生品的设计、开发与销售，并通过制作系列宣发视频，结合媒体平台完成宣发，相关要求如下表：</w:t>
            </w:r>
          </w:p>
          <w:tbl>
            <w:tblPr>
              <w:tblBorders>
                <w:top w:val="none" w:color="000000" w:sz="4"/>
                <w:left w:val="none" w:color="000000" w:sz="4"/>
                <w:bottom w:val="none" w:color="000000" w:sz="4"/>
                <w:right w:val="none" w:color="000000" w:sz="4"/>
                <w:insideH w:val="none"/>
                <w:insideV w:val="none"/>
              </w:tblBorders>
            </w:tblPr>
            <w:tblGrid>
              <w:gridCol w:w="217"/>
              <w:gridCol w:w="392"/>
              <w:gridCol w:w="1403"/>
              <w:gridCol w:w="277"/>
              <w:gridCol w:w="263"/>
            </w:tblGrid>
            <w:tr>
              <w:tc>
                <w:tcPr>
                  <w:tcW w:type="dxa" w:w="217"/>
                  <w:tcBorders>
                    <w:top w:val="single" w:color="000000" w:sz="4"/>
                    <w:left w:val="single" w:color="000000" w:sz="4"/>
                    <w:bottom w:val="single" w:color="000000" w:sz="4"/>
                    <w:right w:val="singl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392"/>
                  <w:tcBorders>
                    <w:top w:val="single" w:color="000000" w:sz="4"/>
                    <w:left w:val="single" w:color="000000" w:sz="4"/>
                    <w:bottom w:val="single" w:color="000000" w:sz="4"/>
                    <w:right w:val="singl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建设内容</w:t>
                  </w:r>
                </w:p>
              </w:tc>
              <w:tc>
                <w:tcPr>
                  <w:tcW w:type="dxa" w:w="1403"/>
                  <w:tcBorders>
                    <w:top w:val="single" w:color="000000" w:sz="4"/>
                    <w:left w:val="single" w:color="000000" w:sz="4"/>
                    <w:bottom w:val="single" w:color="000000" w:sz="4"/>
                    <w:right w:val="singl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技术要求</w:t>
                  </w:r>
                </w:p>
              </w:tc>
              <w:tc>
                <w:tcPr>
                  <w:tcW w:type="dxa" w:w="277"/>
                  <w:tcBorders>
                    <w:top w:val="single" w:color="000000" w:sz="4"/>
                    <w:left w:val="single" w:color="000000" w:sz="4"/>
                    <w:bottom w:val="single" w:color="000000" w:sz="4"/>
                    <w:right w:val="singl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263"/>
                  <w:tcBorders>
                    <w:top w:val="single" w:color="000000" w:sz="4"/>
                    <w:left w:val="single" w:color="000000" w:sz="4"/>
                    <w:bottom w:val="single" w:color="000000" w:sz="4"/>
                    <w:right w:val="singl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AI小程序开发（一期）</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游客通过</w:t>
                  </w:r>
                  <w:r>
                    <w:rPr>
                      <w:rFonts w:ascii="仿宋_GB2312" w:hAnsi="仿宋_GB2312" w:cs="仿宋_GB2312" w:eastAsia="仿宋_GB2312"/>
                      <w:sz w:val="21"/>
                    </w:rPr>
                    <w:t>AI小程序可以在现场完成打卡、合影，并得到相关活动和产品推荐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1）全局设计；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2）UI整体设计；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3）基础功能模块开发；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4）AR合影模块开发：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5）AI虚拟助手开发：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6）AR徽章体验模块开发；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7）管理后台开发；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8）支付模块开发；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9）数据资源配置；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10）单元测试、功能测试及整体测试。</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文创衍生品设计、开发</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1）主题纪念章元素设计</w:t>
                  </w:r>
                  <w:r>
                    <w:rPr>
                      <w:rFonts w:ascii="仿宋_GB2312" w:hAnsi="仿宋_GB2312" w:cs="仿宋_GB2312" w:eastAsia="仿宋_GB2312"/>
                      <w:sz w:val="21"/>
                    </w:rPr>
                    <w:t>≥</w:t>
                  </w:r>
                  <w:r>
                    <w:rPr>
                      <w:rFonts w:ascii="仿宋_GB2312" w:hAnsi="仿宋_GB2312" w:cs="仿宋_GB2312" w:eastAsia="仿宋_GB2312"/>
                      <w:sz w:val="21"/>
                    </w:rPr>
                    <w:t>4套；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2）活动主题盖章卡设计及制作</w:t>
                  </w:r>
                  <w:r>
                    <w:rPr>
                      <w:rFonts w:ascii="仿宋_GB2312" w:hAnsi="仿宋_GB2312" w:cs="仿宋_GB2312" w:eastAsia="仿宋_GB2312"/>
                      <w:sz w:val="21"/>
                    </w:rPr>
                    <w:t>≥</w:t>
                  </w:r>
                  <w:r>
                    <w:rPr>
                      <w:rFonts w:ascii="仿宋_GB2312" w:hAnsi="仿宋_GB2312" w:cs="仿宋_GB2312" w:eastAsia="仿宋_GB2312"/>
                      <w:sz w:val="21"/>
                    </w:rPr>
                    <w:t>4*1000；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3）AR纪念章设计及制作</w:t>
                  </w:r>
                  <w:r>
                    <w:rPr>
                      <w:rFonts w:ascii="仿宋_GB2312" w:hAnsi="仿宋_GB2312" w:cs="仿宋_GB2312" w:eastAsia="仿宋_GB2312"/>
                      <w:sz w:val="21"/>
                    </w:rPr>
                    <w:t>≥</w:t>
                  </w:r>
                  <w:r>
                    <w:rPr>
                      <w:rFonts w:ascii="仿宋_GB2312" w:hAnsi="仿宋_GB2312" w:cs="仿宋_GB2312" w:eastAsia="仿宋_GB2312"/>
                      <w:sz w:val="21"/>
                    </w:rPr>
                    <w:t>4*1000；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4）AR纪念章数字内容制作。</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宣发视频</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1）项目整体宣传推荐视频制作套，不少于90秒；</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2）项目宣发短视频策划及包装制作</w:t>
                  </w:r>
                  <w:r>
                    <w:rPr>
                      <w:rFonts w:ascii="仿宋_GB2312" w:hAnsi="仿宋_GB2312" w:cs="仿宋_GB2312" w:eastAsia="仿宋_GB2312"/>
                      <w:sz w:val="21"/>
                    </w:rPr>
                    <w:t>≥</w:t>
                  </w:r>
                  <w:r>
                    <w:rPr>
                      <w:rFonts w:ascii="仿宋_GB2312" w:hAnsi="仿宋_GB2312" w:cs="仿宋_GB2312" w:eastAsia="仿宋_GB2312"/>
                      <w:sz w:val="21"/>
                    </w:rPr>
                    <w:t>10套，每套不少于15秒。</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新闻媒体宣发</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在新闻媒体宣发，平台重点推荐</w:t>
                  </w:r>
                  <w:r>
                    <w:rPr>
                      <w:rFonts w:ascii="仿宋_GB2312" w:hAnsi="仿宋_GB2312" w:cs="仿宋_GB2312" w:eastAsia="仿宋_GB2312"/>
                      <w:sz w:val="21"/>
                    </w:rPr>
                    <w:t>，全国范围推荐阅读不少于50万人次。</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ind w:firstLine="640"/>
              <w:jc w:val="both"/>
            </w:pPr>
            <w:r>
              <w:rPr>
                <w:rFonts w:ascii="仿宋_GB2312" w:hAnsi="仿宋_GB2312" w:cs="仿宋_GB2312" w:eastAsia="仿宋_GB2312"/>
                <w:sz w:val="32"/>
              </w:rPr>
              <w:t>服务要求：</w:t>
            </w:r>
          </w:p>
          <w:p>
            <w:pPr>
              <w:pStyle w:val="null3"/>
              <w:ind w:firstLine="640"/>
              <w:jc w:val="both"/>
            </w:pPr>
            <w:r>
              <w:rPr>
                <w:rFonts w:ascii="仿宋_GB2312" w:hAnsi="仿宋_GB2312" w:cs="仿宋_GB2312" w:eastAsia="仿宋_GB2312"/>
                <w:sz w:val="32"/>
              </w:rPr>
              <w:t>1）培训要求</w:t>
            </w:r>
          </w:p>
          <w:p>
            <w:pPr>
              <w:pStyle w:val="null3"/>
              <w:ind w:firstLine="640"/>
              <w:jc w:val="both"/>
            </w:pPr>
            <w:r>
              <w:rPr>
                <w:rFonts w:ascii="仿宋_GB2312" w:hAnsi="仿宋_GB2312" w:cs="仿宋_GB2312" w:eastAsia="仿宋_GB2312"/>
                <w:sz w:val="32"/>
              </w:rPr>
              <w:t>培训业主单位专业业务人员次数不少于</w:t>
            </w:r>
            <w:r>
              <w:rPr>
                <w:rFonts w:ascii="仿宋_GB2312" w:hAnsi="仿宋_GB2312" w:cs="仿宋_GB2312" w:eastAsia="仿宋_GB2312"/>
                <w:sz w:val="32"/>
              </w:rPr>
              <w:t>3次。</w:t>
            </w:r>
          </w:p>
          <w:p>
            <w:pPr>
              <w:pStyle w:val="null3"/>
              <w:ind w:firstLine="640"/>
              <w:jc w:val="both"/>
            </w:pPr>
            <w:r>
              <w:rPr>
                <w:rFonts w:ascii="仿宋_GB2312" w:hAnsi="仿宋_GB2312" w:cs="仿宋_GB2312" w:eastAsia="仿宋_GB2312"/>
                <w:sz w:val="32"/>
              </w:rPr>
              <w:t>2）售后要求</w:t>
            </w:r>
          </w:p>
          <w:p>
            <w:pPr>
              <w:pStyle w:val="null3"/>
              <w:ind w:firstLine="640"/>
              <w:jc w:val="both"/>
            </w:pPr>
            <w:r>
              <w:rPr>
                <w:rFonts w:ascii="仿宋_GB2312" w:hAnsi="仿宋_GB2312" w:cs="仿宋_GB2312" w:eastAsia="仿宋_GB2312"/>
                <w:sz w:val="32"/>
              </w:rPr>
              <w:t>质保期</w:t>
            </w:r>
            <w:r>
              <w:rPr>
                <w:rFonts w:ascii="仿宋_GB2312" w:hAnsi="仿宋_GB2312" w:cs="仿宋_GB2312" w:eastAsia="仿宋_GB2312"/>
                <w:sz w:val="32"/>
              </w:rPr>
              <w:t>1年，在质保期内提供7x24小时响应服务，24小时内解决问题。</w:t>
            </w:r>
          </w:p>
          <w:p>
            <w:pPr>
              <w:pStyle w:val="null3"/>
              <w:ind w:firstLine="640"/>
              <w:jc w:val="both"/>
            </w:pPr>
            <w:r>
              <w:rPr>
                <w:rFonts w:ascii="仿宋_GB2312" w:hAnsi="仿宋_GB2312" w:cs="仿宋_GB2312" w:eastAsia="仿宋_GB2312"/>
                <w:sz w:val="32"/>
              </w:rPr>
              <w:t>3）免费运营期：自项目竣工验收合格之日起一年。</w:t>
            </w:r>
          </w:p>
          <w:p>
            <w:pPr>
              <w:pStyle w:val="null3"/>
              <w:ind w:firstLine="640"/>
              <w:jc w:val="both"/>
            </w:pPr>
            <w:r>
              <w:rPr>
                <w:rFonts w:ascii="仿宋_GB2312" w:hAnsi="仿宋_GB2312" w:cs="仿宋_GB2312" w:eastAsia="仿宋_GB2312"/>
                <w:sz w:val="32"/>
              </w:rPr>
              <w:t>4）项目驻场人员要求：不少于1人。</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合同签订后180天内完成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合同签订之日起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项目所有硬件到甲方指定地点且核心数字内容初验通过后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项目所有建设内容完成交付，经甲方验收合格后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成交供应商在成交结果公示结束后3个工作日内向代理机构提供纸质版响应文件，响应文件为正本一份，副本二份(响应文件内容须与电子交易平台上传文件内容保持一致)。纸质响应文件均须A4纸打印，分别各自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法定代表人参加投标须提供 《法定代表人身份证明》及身份证复印件；法定代表人授权他人参加投标，须提供《法定代表人授权委托书》、被授权人身份证复印件；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法定代表人身份证明或授权委托书.docx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拟参与本项目的投标人应按照汉中市财政局《关于全面推行政府采购供应商基本资格条件承诺制的通知》(汉财办采管(2024)20 号)文件要求，提供满足相应条件的资格承诺函；</w:t>
            </w:r>
          </w:p>
        </w:tc>
        <w:tc>
          <w:tcPr>
            <w:tcW w:type="dxa" w:w="1661"/>
          </w:tcPr>
          <w:p>
            <w:pPr>
              <w:pStyle w:val="null3"/>
            </w:pPr>
            <w:r>
              <w:rPr>
                <w:rFonts w:ascii="仿宋_GB2312" w:hAnsi="仿宋_GB2312" w:cs="仿宋_GB2312" w:eastAsia="仿宋_GB2312"/>
              </w:rPr>
              <w:t>法定代表人身份证明或授权委托书.docx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本项目不接受联合体投标，需提供非联合体书面声明。</w:t>
            </w:r>
          </w:p>
        </w:tc>
        <w:tc>
          <w:tcPr>
            <w:tcW w:type="dxa" w:w="1661"/>
          </w:tcPr>
          <w:p>
            <w:pPr>
              <w:pStyle w:val="null3"/>
            </w:pPr>
            <w:r>
              <w:rPr>
                <w:rFonts w:ascii="仿宋_GB2312" w:hAnsi="仿宋_GB2312" w:cs="仿宋_GB2312" w:eastAsia="仿宋_GB2312"/>
              </w:rPr>
              <w:t>非联合体声明.docx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投标文件内容及格式</w:t>
            </w:r>
          </w:p>
        </w:tc>
        <w:tc>
          <w:tcPr>
            <w:tcW w:type="dxa" w:w="3322"/>
          </w:tcPr>
          <w:p>
            <w:pPr>
              <w:pStyle w:val="null3"/>
            </w:pPr>
            <w:r>
              <w:rPr>
                <w:rFonts w:ascii="仿宋_GB2312" w:hAnsi="仿宋_GB2312" w:cs="仿宋_GB2312" w:eastAsia="仿宋_GB2312"/>
              </w:rPr>
              <w:t>符合招标文件要求，投标文件内容齐全、无遗漏</w:t>
            </w:r>
          </w:p>
        </w:tc>
        <w:tc>
          <w:tcPr>
            <w:tcW w:type="dxa" w:w="1661"/>
          </w:tcPr>
          <w:p>
            <w:pPr>
              <w:pStyle w:val="null3"/>
            </w:pPr>
            <w:r>
              <w:rPr>
                <w:rFonts w:ascii="仿宋_GB2312" w:hAnsi="仿宋_GB2312" w:cs="仿宋_GB2312" w:eastAsia="仿宋_GB2312"/>
              </w:rPr>
              <w:t>开标一览表 服务内容及服务邀请应答表 中小企业声明函 商务应答表 汉中市政府采购供应商资格承诺函.docx 投标人应提交的相关资格证明材料 法定代表人身份证明或授权委托书.docx 硬件产品技术指标.docx 非联合体声明.docx 投标函 残疾人福利性单位声明函 服务方案 标的清单 投标文件封面 业绩相关证明材料.docx 项目拟派人员情况表.docx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w:t>
            </w:r>
          </w:p>
        </w:tc>
        <w:tc>
          <w:tcPr>
            <w:tcW w:type="dxa" w:w="1661"/>
          </w:tcPr>
          <w:p>
            <w:pPr>
              <w:pStyle w:val="null3"/>
            </w:pPr>
            <w:r>
              <w:rPr>
                <w:rFonts w:ascii="仿宋_GB2312" w:hAnsi="仿宋_GB2312" w:cs="仿宋_GB2312" w:eastAsia="仿宋_GB2312"/>
              </w:rPr>
              <w:t>开标一览表 服务内容及服务邀请应答表 中小企业声明函 商务应答表 汉中市政府采购供应商资格承诺函.docx 投标人应提交的相关资格证明材料 法定代表人身份证明或授权委托书.docx 硬件产品技术指标.docx 非联合体声明.docx 投标函 残疾人福利性单位声明函 服务方案 标的清单 投标文件封面 业绩相关证明材料.docx 项目拟派人员情况表.docx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不得提交选择性报价，投标报价符合招标文件要求</w:t>
            </w:r>
          </w:p>
        </w:tc>
        <w:tc>
          <w:tcPr>
            <w:tcW w:type="dxa" w:w="1661"/>
          </w:tcPr>
          <w:p>
            <w:pPr>
              <w:pStyle w:val="null3"/>
            </w:pPr>
            <w:r>
              <w:rPr>
                <w:rFonts w:ascii="仿宋_GB2312" w:hAnsi="仿宋_GB2312" w:cs="仿宋_GB2312" w:eastAsia="仿宋_GB2312"/>
              </w:rPr>
              <w:t>开标一览表 投标函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投标人近三年（即2023年1月1日之后）拥有执行类似项目。（以合同签订时间为准），每提供一个得3分，最高得 6分。 备注：以合同协议书或中标通知书的复印件为准，如合同中无法体现合同签订时间、项目类型等评审因素的，须另提供业主单位证明等相关证明材料复印件。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业绩相关证明材料.docx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1、项目经理具备软件类高级职称得3分，中级职称得2分，初级职称得1分、无职称不得分。 2、项目实施团队成员中(不含项目经理)，每具有一个高级职称得3分，每具有一个中级职称得2分，每具有一个初级职称得1分，最高得6分。 备注:须提供人员身份证、相关职称证书和投标截止时间前一年内任意一月社保缴纳证明。</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项目拟派人员情况表.docx</w:t>
            </w:r>
          </w:p>
        </w:tc>
      </w:tr>
      <w:tr>
        <w:tc>
          <w:tcPr>
            <w:tcW w:type="dxa" w:w="831"/>
            <w:vMerge/>
          </w:tcPr>
          <w:p/>
        </w:tc>
        <w:tc>
          <w:tcPr>
            <w:tcW w:type="dxa" w:w="1661"/>
          </w:tcPr>
          <w:p>
            <w:pPr>
              <w:pStyle w:val="null3"/>
            </w:pPr>
            <w:r>
              <w:rPr>
                <w:rFonts w:ascii="仿宋_GB2312" w:hAnsi="仿宋_GB2312" w:cs="仿宋_GB2312" w:eastAsia="仿宋_GB2312"/>
              </w:rPr>
              <w:t>项目实施保障方案</w:t>
            </w:r>
          </w:p>
        </w:tc>
        <w:tc>
          <w:tcPr>
            <w:tcW w:type="dxa" w:w="2492"/>
          </w:tcPr>
          <w:p>
            <w:pPr>
              <w:pStyle w:val="null3"/>
            </w:pPr>
            <w:r>
              <w:rPr>
                <w:rFonts w:ascii="仿宋_GB2312" w:hAnsi="仿宋_GB2312" w:cs="仿宋_GB2312" w:eastAsia="仿宋_GB2312"/>
              </w:rPr>
              <w:t>一、评审内容： 根据本项目提供针对性强且完善的项目实施保障方案。内容包含：①实施进度计划及保障措施②服务质量保障措施。 二、评审标准： 1、完整性：方案须全面，对评审内容中的各项要求有详细描述； 2、可实施性：结合本项目实际情况，内容合理、步骤清晰、可操作性强； 3、针对性：方案能够紧扣项目实际情况，内容科学合理、符合项目实际需求。 三、赋分标准：（针对每条评审标准，如存在不合理的方面扣 0.5 分） ①实施进度计划及保障措施：每完全满足一项评审标准得 2 分，本条满分 6 分； ②服务质量保障措施：每完全满足一项评审标准得2分，本条满分6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数字制作及程序开发方案</w:t>
            </w:r>
          </w:p>
        </w:tc>
        <w:tc>
          <w:tcPr>
            <w:tcW w:type="dxa" w:w="2492"/>
          </w:tcPr>
          <w:p>
            <w:pPr>
              <w:pStyle w:val="null3"/>
            </w:pPr>
            <w:r>
              <w:rPr>
                <w:rFonts w:ascii="仿宋_GB2312" w:hAnsi="仿宋_GB2312" w:cs="仿宋_GB2312" w:eastAsia="仿宋_GB2312"/>
              </w:rPr>
              <w:t>一、评审内容： 提供满足技术要求的数字制作及程序开发方案。内容包含：①数字制作②程序开发 二、评审标准： 1、完整性：方案全面，对评审内容中的各项要求有详细描述； 2、可实施性：结合本项目实际情况，实施步骤清晰、合理； 3、针对性：方案能够紧扣项目实际情况，结合汉中本土文化，内容科学合理。 三、赋分标准：（针对每条评审标准，如存在不合理的方面扣 0.5 分） ①数字制作：每完全满足一项评审标准得 2 分，本条满分6分； ② 程序开发：每完全满足一项评审标准得 2 分，本条满分6分；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运营设施设备及运营配套服务方案</w:t>
            </w:r>
          </w:p>
        </w:tc>
        <w:tc>
          <w:tcPr>
            <w:tcW w:type="dxa" w:w="2492"/>
          </w:tcPr>
          <w:p>
            <w:pPr>
              <w:pStyle w:val="null3"/>
            </w:pPr>
            <w:r>
              <w:rPr>
                <w:rFonts w:ascii="仿宋_GB2312" w:hAnsi="仿宋_GB2312" w:cs="仿宋_GB2312" w:eastAsia="仿宋_GB2312"/>
              </w:rPr>
              <w:t>一、评审内容 提供适配项目需求的运营方案，内容包含：①运营设施设备选型与适配性②运营服务体系③运营考核与应急处理。 二、评审标准 1、完整性：方案须全面，对评审内容中的各项要求有详细描述； 2、可实施性：结合本项目实际情况，实施步骤清晰、合理； 3、针对性：方案能够紧扣项目实际情况，设备选型与服务体系匹配项目运营需求。 三、赋分标准：（针对每条评审标准，如存在不合理的方面扣 0.5 分） ①运营设施设备选型与适配性：每完全满足一项评审标准得 1 分，本条满分 3 分； ②运营服务体系：每完全满足一项评审标准得 1 分，本条满分 3 分； ③运营考核与应急处理：每完全满足一项评审标准得 2 分，本条满分 6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文创衍生及活动宣发配套方案</w:t>
            </w:r>
          </w:p>
        </w:tc>
        <w:tc>
          <w:tcPr>
            <w:tcW w:type="dxa" w:w="2492"/>
          </w:tcPr>
          <w:p>
            <w:pPr>
              <w:pStyle w:val="null3"/>
            </w:pPr>
            <w:r>
              <w:rPr>
                <w:rFonts w:ascii="仿宋_GB2312" w:hAnsi="仿宋_GB2312" w:cs="仿宋_GB2312" w:eastAsia="仿宋_GB2312"/>
              </w:rPr>
              <w:t>一、评审内容 提供满足技术要求的配套方案，内容包含：①文创衍生品设计②宣发渠道规划③宣发节奏与效果。 二、评审标准 1、完整性：方案须全面，对评审内容中的各项要求有详细描述； 2、可实施性：结合本项目实际情况，实施步骤清晰、合理； 3、针对性：方案能够紧扣项目实际情况，文创设计与宣发方案匹配项目定位。 三、赋分标准：（针对每条评审标准，如存在不合理的方面扣 0.5 分） ①文创衍生品设计：每完全满足一项评审标准得 1 分，本条满分 3 分； ②宣发渠道规划：每完全满足一项评审标准得 1 分，本条满分3 分； ③宣发节奏与效果：每完全满足一项评审标准得 1 分，本条满分 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硬件产品技术指标</w:t>
            </w:r>
          </w:p>
        </w:tc>
        <w:tc>
          <w:tcPr>
            <w:tcW w:type="dxa" w:w="2492"/>
          </w:tcPr>
          <w:p>
            <w:pPr>
              <w:pStyle w:val="null3"/>
            </w:pPr>
            <w:r>
              <w:rPr>
                <w:rFonts w:ascii="仿宋_GB2312" w:hAnsi="仿宋_GB2312" w:cs="仿宋_GB2312" w:eastAsia="仿宋_GB2312"/>
              </w:rPr>
              <w:t>投标人所投产品（AR 眼镜套装、充电柜、经营设备）硬件的技术指标和性能优于或完全满足招标文件计9分。1项不满足扣3分；扣完为止。提供相应技术参数的佐证材料（包含但不限于投标人出具的产品技术说明书或产品彩页、使用说明书、第三方检测机构出具的检测报告，或证明产品技术指标的支持文件。未提供佐证材料的，按负偏离处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硬件产品技术指标.docx</w:t>
            </w:r>
          </w:p>
        </w:tc>
      </w:tr>
      <w:tr>
        <w:tc>
          <w:tcPr>
            <w:tcW w:type="dxa" w:w="831"/>
            <w:vMerge/>
          </w:tcPr>
          <w:p/>
        </w:tc>
        <w:tc>
          <w:tcPr>
            <w:tcW w:type="dxa" w:w="1661"/>
          </w:tcPr>
          <w:p>
            <w:pPr>
              <w:pStyle w:val="null3"/>
            </w:pPr>
            <w:r>
              <w:rPr>
                <w:rFonts w:ascii="仿宋_GB2312" w:hAnsi="仿宋_GB2312" w:cs="仿宋_GB2312" w:eastAsia="仿宋_GB2312"/>
              </w:rPr>
              <w:t>人员培训方案</w:t>
            </w:r>
          </w:p>
        </w:tc>
        <w:tc>
          <w:tcPr>
            <w:tcW w:type="dxa" w:w="2492"/>
          </w:tcPr>
          <w:p>
            <w:pPr>
              <w:pStyle w:val="null3"/>
            </w:pPr>
            <w:r>
              <w:rPr>
                <w:rFonts w:ascii="仿宋_GB2312" w:hAnsi="仿宋_GB2312" w:cs="仿宋_GB2312" w:eastAsia="仿宋_GB2312"/>
              </w:rPr>
              <w:t>一、评审内容 针对本项目提供全面的人员培训计划，内容包含：①培训内容②培训方式 二、评审标准 1、完整性：结合本项目实际情况，方案内容齐全，对各项要求有详细描述及其他内容的补充； 2、可实施性：结合本项目实际情况，叙述清楚，符合客观实际情况； 3、合理性：方案内容符合项目实际特点，合理、恰当。 三、赋分标准：（针对每条评审标准，如存在不合理的方面扣 0.5 分） ①培训内容：每完全满足一项评审标准得 1 分，本条满分 3 分； ②培训方式：每完全满足一项评审标准得 1 分，本条满分 3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运营保障方案</w:t>
            </w:r>
          </w:p>
        </w:tc>
        <w:tc>
          <w:tcPr>
            <w:tcW w:type="dxa" w:w="2492"/>
          </w:tcPr>
          <w:p>
            <w:pPr>
              <w:pStyle w:val="null3"/>
            </w:pPr>
            <w:r>
              <w:rPr>
                <w:rFonts w:ascii="仿宋_GB2312" w:hAnsi="仿宋_GB2312" w:cs="仿宋_GB2312" w:eastAsia="仿宋_GB2312"/>
              </w:rPr>
              <w:t>一、评审内容 针对项目试运营阶段制定专项保障方案，内容包含：①试运营人员保障②试运营设备保障③试运营服务质量保障。 二、评审标准 1、完整性：方案须全面，对评审内容中的各项要求有详细描述； 2、可实施性：结合本项目实际情况，提出步骤清晰、合理的方案； 3、针对性：方案能够紧扣项目实际情况，内容科学合理。 三、赋分标准：（针对每条评审标准，如存在不合理的方面扣 0.5 分） ①试运营人员保障：每完全满足一项评审标准得 1 分，本条满分 3 分； ②试运营设备保障：每完全满足一项评审标准得 1 分，本条满分3 分。 ③试运营服务质量保障：每完全满足一项评审标准得 1 分，本条满分 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根据项目实际需求提供专属售后服务方案，内容包含：①质保服务承诺②故障响应时间③故障处理及补救措施④售后服务质量保障。 二、评审标准 1、完整性：方案须全面，对评审内容中的各项要求有详细描述； 2、可实施性：结合本项目实际情况，提出步骤清晰、合理的方案； 3、针对性：方案能够紧扣项目实际情况，匹配项目运营的售后需求。 三、赋分标准：（针对每条评审标准，如存在不合理的方面扣 0.5 分） ①质保服务承诺：每完全满足一项评审标准得 0.5 分，本条满分 1.5 分； ②故障响应时间：每完全满足一项评审标准得 0.5 分，本条满分 1.5 分。 ③故障处理及补救措施：每完全满足一项评审标准得 0.5 分，本条满分 1.5 分。 ④售后服务质量保障：每完全满足一项评审标准得 0.5 分，本条满分 1.5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1、有效投标人的最低报价为基准价得10分，其他各投标人的报价得分统一按下列公式计算：（评标基准价/投标报价）×10 ％×100。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详见附件：法定代表人身份证明或授权委托书.docx</w:t>
      </w:r>
    </w:p>
    <w:p>
      <w:pPr>
        <w:pStyle w:val="null3"/>
        <w:ind w:firstLine="960"/>
      </w:pPr>
      <w:r>
        <w:rPr>
          <w:rFonts w:ascii="仿宋_GB2312" w:hAnsi="仿宋_GB2312" w:cs="仿宋_GB2312" w:eastAsia="仿宋_GB2312"/>
        </w:rPr>
        <w:t>详见附件：项目拟派人员情况表.docx</w:t>
      </w:r>
    </w:p>
    <w:p>
      <w:pPr>
        <w:pStyle w:val="null3"/>
        <w:ind w:firstLine="960"/>
      </w:pPr>
      <w:r>
        <w:rPr>
          <w:rFonts w:ascii="仿宋_GB2312" w:hAnsi="仿宋_GB2312" w:cs="仿宋_GB2312" w:eastAsia="仿宋_GB2312"/>
        </w:rPr>
        <w:t>详见附件：业绩相关证明材料.docx</w:t>
      </w:r>
    </w:p>
    <w:p>
      <w:pPr>
        <w:pStyle w:val="null3"/>
        <w:ind w:firstLine="960"/>
      </w:pPr>
      <w:r>
        <w:rPr>
          <w:rFonts w:ascii="仿宋_GB2312" w:hAnsi="仿宋_GB2312" w:cs="仿宋_GB2312" w:eastAsia="仿宋_GB2312"/>
        </w:rPr>
        <w:t>详见附件：硬件产品技术指标.docx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