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版本号：ZJDY-HZCG-2026-0220260401001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2025年中央财政资金栓皮栎良种培育项目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ZJDY-HZCG-2026-02</w:t>
      </w:r>
      <w:r>
        <w:br/>
      </w:r>
      <w:r>
        <w:br/>
      </w:r>
      <w:r>
        <w:br/>
      </w:r>
    </w:p>
    <w:p>
      <w:pPr>
        <w:pStyle w:val="null3"/>
        <w:jc w:val="center"/>
        <w:outlineLvl w:val="2"/>
      </w:pPr>
      <w:r>
        <w:rPr>
          <w:rFonts w:ascii="仿宋_GB2312" w:hAnsi="仿宋_GB2312" w:cs="仿宋_GB2312" w:eastAsia="仿宋_GB2312"/>
          <w:sz w:val="28"/>
          <w:b/>
        </w:rPr>
        <w:t>汉中市林业局</w:t>
      </w:r>
    </w:p>
    <w:p>
      <w:pPr>
        <w:pStyle w:val="null3"/>
        <w:jc w:val="center"/>
        <w:outlineLvl w:val="2"/>
      </w:pPr>
      <w:r>
        <w:rPr>
          <w:rFonts w:ascii="仿宋_GB2312" w:hAnsi="仿宋_GB2312" w:cs="仿宋_GB2312" w:eastAsia="仿宋_GB2312"/>
          <w:sz w:val="28"/>
          <w:b/>
        </w:rPr>
        <w:t>中佳鼎运建设管理有限公司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中佳鼎运建设管理有限公司</w:t>
      </w:r>
      <w:r>
        <w:rPr>
          <w:rFonts w:ascii="仿宋_GB2312" w:hAnsi="仿宋_GB2312" w:cs="仿宋_GB2312" w:eastAsia="仿宋_GB2312"/>
        </w:rPr>
        <w:t>（以下简称“代理机构”）受</w:t>
      </w:r>
      <w:r>
        <w:rPr>
          <w:rFonts w:ascii="仿宋_GB2312" w:hAnsi="仿宋_GB2312" w:cs="仿宋_GB2312" w:eastAsia="仿宋_GB2312"/>
        </w:rPr>
        <w:t>汉中市林业局</w:t>
      </w:r>
      <w:r>
        <w:rPr>
          <w:rFonts w:ascii="仿宋_GB2312" w:hAnsi="仿宋_GB2312" w:cs="仿宋_GB2312" w:eastAsia="仿宋_GB2312"/>
        </w:rPr>
        <w:t>委托，拟对</w:t>
      </w:r>
      <w:r>
        <w:rPr>
          <w:rFonts w:ascii="仿宋_GB2312" w:hAnsi="仿宋_GB2312" w:cs="仿宋_GB2312" w:eastAsia="仿宋_GB2312"/>
        </w:rPr>
        <w:t>2025年中央财政资金栓皮栎良种培育项目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ZJDY-HZCG-2026-02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2025年中央财政资金栓皮栎良种培育项目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新建栓皮栎良种繁育基地25亩，主要包括苗床整地、化肥农药、遮阴措施、抚育管护等，培育栓皮栎良种营养杯苗木80万株，Ⅱ级苗木出圃率85%以上。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采购包1（2025年中央财政资金栓皮栎良种培育项目）：属于专门面向中小企业采购。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有效的营业执照：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法定代表人或被授权委托代理人身份：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3、企业资格要求：供应商须提供相关部门颁发的《林木种子生产经营许可证》或《林草种子生产经营许可证》</w:t>
      </w:r>
    </w:p>
    <w:p>
      <w:pPr>
        <w:pStyle w:val="null3"/>
      </w:pPr>
      <w:r>
        <w:rPr>
          <w:rFonts w:ascii="仿宋_GB2312" w:hAnsi="仿宋_GB2312" w:cs="仿宋_GB2312" w:eastAsia="仿宋_GB2312"/>
        </w:rPr>
        <w:t>4、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5、中小企业声明函：本项目专门面向中小企业采购（提供中小企业声明函）</w:t>
      </w:r>
    </w:p>
    <w:p>
      <w:pPr>
        <w:pStyle w:val="null3"/>
      </w:pPr>
      <w:r>
        <w:rPr>
          <w:rFonts w:ascii="仿宋_GB2312" w:hAnsi="仿宋_GB2312" w:cs="仿宋_GB2312" w:eastAsia="仿宋_GB2312"/>
        </w:rPr>
        <w:t>6、本项目不接受联合体磋商：本项目不接受联合体磋商（提供非联合体声明）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汉台区讲坛西路市政府南门</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陶小斌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13892625836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中佳鼎运建设管理有限公司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四川省成都市武侯区成都市武侯区佳灵路5号1栋11层1117号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邹丽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18980735047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开户名称：中佳鼎运建设管理有限公司汉中分公司</w:t>
            </w:r>
          </w:p>
          <w:p>
            <w:pPr>
              <w:pStyle w:val="null3"/>
            </w:pPr>
            <w:r>
              <w:rPr>
                <w:rFonts w:ascii="仿宋_GB2312" w:hAnsi="仿宋_GB2312" w:cs="仿宋_GB2312" w:eastAsia="仿宋_GB2312"/>
              </w:rPr>
              <w:t>开户银行：中国工商银行股份有限公司汉中西环路支行</w:t>
            </w:r>
          </w:p>
          <w:p>
            <w:pPr>
              <w:pStyle w:val="null3"/>
            </w:pPr>
            <w:r>
              <w:rPr>
                <w:rFonts w:ascii="仿宋_GB2312" w:hAnsi="仿宋_GB2312" w:cs="仿宋_GB2312" w:eastAsia="仿宋_GB2312"/>
              </w:rPr>
              <w:t>银行账号：2606053909200098484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汉中市林业局</w:t>
      </w:r>
      <w:r>
        <w:rPr>
          <w:rFonts w:ascii="仿宋_GB2312" w:hAnsi="仿宋_GB2312" w:cs="仿宋_GB2312" w:eastAsia="仿宋_GB2312"/>
        </w:rPr>
        <w:t>和</w:t>
      </w:r>
      <w:r>
        <w:rPr>
          <w:rFonts w:ascii="仿宋_GB2312" w:hAnsi="仿宋_GB2312" w:cs="仿宋_GB2312" w:eastAsia="仿宋_GB2312"/>
        </w:rPr>
        <w:t>中佳鼎运建设管理有限公司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中佳鼎运建设管理有限公司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中佳鼎运建设管理有限公司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符合国家、行业要求，达到合格标准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联系电话：1357167736</w:t>
      </w:r>
    </w:p>
    <w:p>
      <w:pPr>
        <w:pStyle w:val="null3"/>
      </w:pPr>
      <w:r>
        <w:rPr>
          <w:rFonts w:ascii="仿宋_GB2312" w:hAnsi="仿宋_GB2312" w:cs="仿宋_GB2312" w:eastAsia="仿宋_GB2312"/>
        </w:rPr>
        <w:t>地址：汉台区东关街道办事处中饮国际办公中心8026室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新建栓皮栎良种繁育基地25亩，主要包括苗床整地、化肥农药、遮阴措施、抚育管护等，培育栓皮栎良种营养杯苗木80万株，Ⅱ级苗木出圃率85%以上。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726,000.00</w:t>
      </w:r>
    </w:p>
    <w:p>
      <w:pPr>
        <w:pStyle w:val="null3"/>
      </w:pPr>
      <w:r>
        <w:rPr>
          <w:rFonts w:ascii="仿宋_GB2312" w:hAnsi="仿宋_GB2312" w:cs="仿宋_GB2312" w:eastAsia="仿宋_GB2312"/>
        </w:rPr>
        <w:t>采购包最高限价（元）: 726,000.00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新建25亩苗圃地培育栓皮栎良种营养杯苗木80万株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726,000.00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标的名称：新建25亩苗圃地培育栓皮栎良种营养杯苗木80万株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服务内容及服务要求</w:t>
            </w:r>
          </w:p>
          <w:p>
            <w:pPr>
              <w:pStyle w:val="null3"/>
              <w:jc w:val="center"/>
              <w:outlineLvl w:val="4"/>
            </w:pPr>
            <w:r>
              <w:rPr>
                <w:rFonts w:ascii="仿宋_GB2312" w:hAnsi="仿宋_GB2312" w:cs="仿宋_GB2312" w:eastAsia="仿宋_GB2312"/>
                <w:sz w:val="24"/>
                <w:b/>
              </w:rPr>
              <w:t>一、项目概况：</w:t>
            </w:r>
            <w:r>
              <w:rPr>
                <w:rFonts w:ascii="仿宋_GB2312" w:hAnsi="仿宋_GB2312" w:cs="仿宋_GB2312" w:eastAsia="仿宋_GB2312"/>
                <w:sz w:val="24"/>
                <w:b/>
              </w:rPr>
              <w:t>新建栓皮栎良种繁育基地</w:t>
            </w:r>
            <w:r>
              <w:rPr>
                <w:rFonts w:ascii="仿宋_GB2312" w:hAnsi="仿宋_GB2312" w:cs="仿宋_GB2312" w:eastAsia="仿宋_GB2312"/>
                <w:sz w:val="24"/>
                <w:b/>
              </w:rPr>
              <w:t>25</w:t>
            </w:r>
            <w:r>
              <w:rPr>
                <w:rFonts w:ascii="仿宋_GB2312" w:hAnsi="仿宋_GB2312" w:cs="仿宋_GB2312" w:eastAsia="仿宋_GB2312"/>
                <w:sz w:val="24"/>
                <w:b/>
              </w:rPr>
              <w:t>亩，主要包括苗床整地、化肥农药、遮阴措施、抚育管护等，培育栓皮栎良种</w:t>
            </w:r>
            <w:r>
              <w:rPr>
                <w:rFonts w:ascii="仿宋_GB2312" w:hAnsi="仿宋_GB2312" w:cs="仿宋_GB2312" w:eastAsia="仿宋_GB2312"/>
                <w:sz w:val="24"/>
                <w:b/>
              </w:rPr>
              <w:t>营养杯</w:t>
            </w:r>
            <w:r>
              <w:rPr>
                <w:rFonts w:ascii="仿宋_GB2312" w:hAnsi="仿宋_GB2312" w:cs="仿宋_GB2312" w:eastAsia="仿宋_GB2312"/>
                <w:sz w:val="24"/>
                <w:b/>
              </w:rPr>
              <w:t>苗木</w:t>
            </w:r>
            <w:r>
              <w:rPr>
                <w:rFonts w:ascii="仿宋_GB2312" w:hAnsi="仿宋_GB2312" w:cs="仿宋_GB2312" w:eastAsia="仿宋_GB2312"/>
                <w:sz w:val="24"/>
                <w:b/>
              </w:rPr>
              <w:t>8</w:t>
            </w:r>
            <w:r>
              <w:rPr>
                <w:rFonts w:ascii="仿宋_GB2312" w:hAnsi="仿宋_GB2312" w:cs="仿宋_GB2312" w:eastAsia="仿宋_GB2312"/>
                <w:sz w:val="24"/>
                <w:b/>
              </w:rPr>
              <w:t>0万株，Ⅱ级苗木出圃率85%以上。</w:t>
            </w:r>
          </w:p>
          <w:p>
            <w:pPr>
              <w:pStyle w:val="null3"/>
              <w:jc w:val="both"/>
            </w:pPr>
            <w:r>
              <w:rPr>
                <w:rFonts w:ascii="仿宋_GB2312" w:hAnsi="仿宋_GB2312" w:cs="仿宋_GB2312" w:eastAsia="仿宋_GB2312"/>
                <w:sz w:val="24"/>
              </w:rPr>
              <w:t>二、服务期限：合同签订后至</w:t>
            </w:r>
            <w:r>
              <w:rPr>
                <w:rFonts w:ascii="仿宋_GB2312" w:hAnsi="仿宋_GB2312" w:cs="仿宋_GB2312" w:eastAsia="仿宋_GB2312"/>
                <w:sz w:val="24"/>
              </w:rPr>
              <w:t>2026年12月完成。</w:t>
            </w:r>
          </w:p>
          <w:p>
            <w:pPr>
              <w:pStyle w:val="null3"/>
              <w:jc w:val="both"/>
            </w:pPr>
            <w:r>
              <w:rPr>
                <w:rFonts w:ascii="仿宋_GB2312" w:hAnsi="仿宋_GB2312" w:cs="仿宋_GB2312" w:eastAsia="仿宋_GB2312"/>
                <w:sz w:val="24"/>
              </w:rPr>
              <w:t>三、技术要求</w:t>
            </w:r>
          </w:p>
          <w:p>
            <w:pPr>
              <w:pStyle w:val="null3"/>
              <w:ind w:firstLine="480"/>
              <w:jc w:val="both"/>
            </w:pPr>
            <w:r>
              <w:rPr>
                <w:rFonts w:ascii="仿宋_GB2312" w:hAnsi="仿宋_GB2312" w:cs="仿宋_GB2312" w:eastAsia="仿宋_GB2312"/>
                <w:sz w:val="24"/>
              </w:rPr>
              <w:t>1、苗圃地准备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1）苗圃地整地。通过挖机深度翻耕、平整、清除草根、树根和石块等杂质，做到深耕细整、土壤疏松平整。以土壤深厚、肥沃，质地疏松，排水良好，中性沙壤土最佳。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2）圃地作床。以高床为主(高于地面10.0 cm)，苗床面宽 1.0m—1.2m左右，长度依据地形和育苗量确定。步道宽 30cm左右，育苗地周围要挖排水沟。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配制营养土时，可根据当地实际情况，使用当地成本较低、容易获取、重量轻、保湿透气性好的农林废弃物替代泥炭或珍珠岩，</w:t>
            </w:r>
            <w:r>
              <w:rPr>
                <w:rFonts w:ascii="仿宋_GB2312" w:hAnsi="仿宋_GB2312" w:cs="仿宋_GB2312" w:eastAsia="仿宋_GB2312"/>
                <w:sz w:val="24"/>
              </w:rPr>
              <w:t>3:2配比营养熟化土、添加复合型控释肥混匀使用，并用硫酸亚铁溶液对土壤进行消毒。育苗基质的pH值应调整到5.5—7.5，pH值调高可用生石灰或草木灰，调低可用硫磺粉、硫酸亚铁或硫酸铝等。</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播种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种子催芽，一般在春季当气温日均稳定在</w:t>
            </w:r>
            <w:r>
              <w:rPr>
                <w:rFonts w:ascii="仿宋_GB2312" w:hAnsi="仿宋_GB2312" w:cs="仿宋_GB2312" w:eastAsia="仿宋_GB2312"/>
                <w:sz w:val="24"/>
              </w:rPr>
              <w:t>12 ℃以上时将栓皮栎种子从冷库取出，摊放在铺设草帘的地面上，厚度5—7cm，每天翻动2次，种子干燥时适时喷水。一般3天后，种子约有25% 左右露白，即可准备播种。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将营养杯装配制好的营养土至杯口</w:t>
            </w:r>
            <w:r>
              <w:rPr>
                <w:rFonts w:ascii="仿宋_GB2312" w:hAnsi="仿宋_GB2312" w:cs="仿宋_GB2312" w:eastAsia="仿宋_GB2312"/>
                <w:sz w:val="24"/>
              </w:rPr>
              <w:t>3/4处，营养杯规格13*16cm,容器内横向放置种子一粒，再覆盖营养土距杯口上沿2.0 cm压实，使种子与土壤紧密接触。随选随播随浇透水。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遮荫。</w:t>
            </w:r>
            <w:r>
              <w:rPr>
                <w:rFonts w:ascii="仿宋_GB2312" w:hAnsi="仿宋_GB2312" w:cs="仿宋_GB2312" w:eastAsia="仿宋_GB2312"/>
                <w:sz w:val="24"/>
              </w:rPr>
              <w:t>4月底完成营养袋苗播种，播后苗床履盖遮阳网。用遮光率75%的遮阳网遮荫，3个月后可撤除遮阳网，防鸟、鼠害，确保出苗整齐。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水肥管理</w:t>
            </w:r>
          </w:p>
          <w:p>
            <w:pPr>
              <w:pStyle w:val="null3"/>
              <w:ind w:firstLine="480"/>
              <w:jc w:val="both"/>
            </w:pPr>
            <w:r>
              <w:rPr>
                <w:rFonts w:ascii="仿宋_GB2312" w:hAnsi="仿宋_GB2312" w:cs="仿宋_GB2312" w:eastAsia="仿宋_GB2312"/>
                <w:sz w:val="24"/>
              </w:rPr>
              <w:t>观察出苗情况，保持苗床和容器内土壤湿润。控制棚内温度变化，温度不超过</w:t>
            </w:r>
            <w:r>
              <w:rPr>
                <w:rFonts w:ascii="仿宋_GB2312" w:hAnsi="仿宋_GB2312" w:cs="仿宋_GB2312" w:eastAsia="仿宋_GB2312"/>
                <w:sz w:val="24"/>
              </w:rPr>
              <w:t>35 ºC。苗出齐后，用0.3波美度的石硫合剂或退菌特800倍液～1000倍液喷洒苗床。</w:t>
            </w:r>
            <w:r>
              <w:rPr>
                <w:rFonts w:ascii="仿宋_GB2312" w:hAnsi="仿宋_GB2312" w:cs="仿宋_GB2312" w:eastAsia="仿宋_GB2312"/>
                <w:sz w:val="24"/>
                <w:color w:val="000000"/>
              </w:rPr>
              <w:t>苗期除草坚持</w:t>
            </w:r>
            <w:r>
              <w:rPr>
                <w:rFonts w:ascii="仿宋_GB2312" w:hAnsi="仿宋_GB2312" w:cs="仿宋_GB2312" w:eastAsia="仿宋_GB2312"/>
                <w:sz w:val="24"/>
                <w:color w:val="000000"/>
              </w:rPr>
              <w:t>“除早、除小、除了”原则，可采用人工和药物相结合的方式。人工除草要防止苗根松动，适时灌水。如遇多雨气候，及时排水，防止内涝，</w:t>
            </w:r>
            <w:r>
              <w:rPr>
                <w:rFonts w:ascii="仿宋_GB2312" w:hAnsi="仿宋_GB2312" w:cs="仿宋_GB2312" w:eastAsia="仿宋_GB2312"/>
                <w:sz w:val="24"/>
              </w:rPr>
              <w:t>防止有害生物危害。薄肥勤施，在苗木快速生长期</w:t>
            </w:r>
            <w:r>
              <w:rPr>
                <w:rFonts w:ascii="仿宋_GB2312" w:hAnsi="仿宋_GB2312" w:cs="仿宋_GB2312" w:eastAsia="仿宋_GB2312"/>
                <w:sz w:val="24"/>
              </w:rPr>
              <w:t>7月到10月，追肥3次，复合肥每次用量为15kg/亩左右。</w:t>
            </w:r>
          </w:p>
          <w:p>
            <w:pPr>
              <w:pStyle w:val="null3"/>
              <w:ind w:firstLine="480"/>
              <w:jc w:val="both"/>
            </w:pPr>
            <w:r>
              <w:rPr>
                <w:rFonts w:ascii="仿宋_GB2312" w:hAnsi="仿宋_GB2312" w:cs="仿宋_GB2312" w:eastAsia="仿宋_GB2312"/>
                <w:sz w:val="24"/>
              </w:rPr>
              <w:t>3、苗木病虫害防治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主要虫害有食叶害虫类，如栎褐天社蛾（又称栎毛虫，红头虫），防治方法为：用</w:t>
            </w:r>
            <w:r>
              <w:rPr>
                <w:rFonts w:ascii="仿宋_GB2312" w:hAnsi="仿宋_GB2312" w:cs="仿宋_GB2312" w:eastAsia="仿宋_GB2312"/>
                <w:sz w:val="24"/>
              </w:rPr>
              <w:t>90％敌百虫1500倍液喷杀，然后人工扑杀扫尾。发现红蜘蛛和蚜虫危害时，喷施环保型农药杀螨灵1000倍液进行防治。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主要病害有立枯病和白粉病等，防治方法是用甲基托布津</w:t>
            </w:r>
            <w:r>
              <w:rPr>
                <w:rFonts w:ascii="仿宋_GB2312" w:hAnsi="仿宋_GB2312" w:cs="仿宋_GB2312" w:eastAsia="仿宋_GB2312"/>
                <w:sz w:val="24"/>
              </w:rPr>
              <w:t>0.08％—0.1％浓度的溶液喷洒苗木，效果较好。</w:t>
            </w:r>
          </w:p>
          <w:p>
            <w:pPr>
              <w:pStyle w:val="null3"/>
              <w:ind w:firstLine="480"/>
              <w:jc w:val="both"/>
            </w:pPr>
            <w:r>
              <w:rPr>
                <w:rFonts w:ascii="仿宋_GB2312" w:hAnsi="仿宋_GB2312" w:cs="仿宋_GB2312" w:eastAsia="仿宋_GB2312"/>
                <w:sz w:val="24"/>
              </w:rPr>
              <w:t>4、出圃</w:t>
            </w:r>
          </w:p>
          <w:p>
            <w:pPr>
              <w:pStyle w:val="null3"/>
              <w:ind w:firstLine="480"/>
              <w:jc w:val="both"/>
            </w:pPr>
            <w:r>
              <w:rPr>
                <w:rFonts w:ascii="仿宋_GB2312" w:hAnsi="仿宋_GB2312" w:cs="仿宋_GB2312" w:eastAsia="仿宋_GB2312"/>
                <w:sz w:val="24"/>
              </w:rPr>
              <w:t>栓皮栎良种苗木达到</w:t>
            </w:r>
            <w:r>
              <w:rPr>
                <w:rFonts w:ascii="仿宋_GB2312" w:hAnsi="仿宋_GB2312" w:cs="仿宋_GB2312" w:eastAsia="仿宋_GB2312"/>
                <w:sz w:val="24"/>
              </w:rPr>
              <w:t>II级以上造林标准时起苗出圃。当年2026年12月或次年3月，苗木成活率达到85%以上合格，地径0.3cm以上，苗高30cm以上，充分木质化。</w:t>
            </w:r>
          </w:p>
          <w:p>
            <w:pPr>
              <w:pStyle w:val="null3"/>
              <w:ind w:firstLine="480"/>
              <w:jc w:val="both"/>
            </w:pPr>
            <w:r>
              <w:rPr>
                <w:rFonts w:ascii="仿宋_GB2312" w:hAnsi="仿宋_GB2312" w:cs="仿宋_GB2312" w:eastAsia="仿宋_GB2312"/>
                <w:sz w:val="24"/>
              </w:rPr>
              <w:t>上述技术措施和技术路线全程由实施单位现场指导并签字确认。</w:t>
            </w:r>
          </w:p>
          <w:p>
            <w:pPr>
              <w:pStyle w:val="null3"/>
            </w:pPr>
            <w:r>
              <w:rPr>
                <w:rFonts w:ascii="仿宋_GB2312" w:hAnsi="仿宋_GB2312" w:cs="仿宋_GB2312" w:eastAsia="仿宋_GB2312"/>
                <w:sz w:val="24"/>
              </w:rPr>
              <w:t>四、采购内容</w:t>
            </w:r>
          </w:p>
          <w:p>
            <w:pPr>
              <w:pStyle w:val="null3"/>
            </w:pPr>
            <w:r>
              <w:rPr>
                <w:rFonts w:ascii="仿宋_GB2312" w:hAnsi="仿宋_GB2312" w:cs="仿宋_GB2312" w:eastAsia="仿宋_GB2312"/>
                <w:sz w:val="24"/>
              </w:rPr>
              <w:t>2025年中央财政资金栓皮栎良种培育项目清单</w:t>
            </w:r>
          </w:p>
          <w:tbl>
            <w:tblPr>
              <w:tblInd w:type="dxa" w:w="135"/>
              <w:tblBorders>
                <w:top w:val="none" w:color="000000" w:sz="4"/>
                <w:left w:val="none" w:color="000000" w:sz="4"/>
                <w:bottom w:val="none" w:color="000000" w:sz="4"/>
                <w:right w:val="none" w:color="000000" w:sz="4"/>
                <w:insideH w:val="none"/>
                <w:insideV w:val="none"/>
              </w:tblBorders>
            </w:tblPr>
            <w:tblGrid>
              <w:gridCol w:w="328"/>
              <w:gridCol w:w="1141"/>
              <w:gridCol w:w="586"/>
              <w:gridCol w:w="498"/>
            </w:tblGrid>
            <w:tr>
              <w:tc>
                <w:tcPr>
                  <w:tcW w:type="dxa" w:w="32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14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建设内容</w:t>
                  </w:r>
                </w:p>
              </w:tc>
              <w:tc>
                <w:tcPr>
                  <w:tcW w:type="dxa" w:w="58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49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328"/>
                  <w:vMerge/>
                  <w:tcBorders>
                    <w:top w:val="single" w:color="000000" w:sz="4"/>
                    <w:left w:val="single" w:color="000000" w:sz="4"/>
                    <w:bottom w:val="single" w:color="000000" w:sz="4"/>
                    <w:right w:val="single" w:color="000000" w:sz="4"/>
                  </w:tcBorders>
                </w:tcPr>
                <w:p/>
              </w:tc>
              <w:tc>
                <w:tcPr>
                  <w:tcW w:type="dxa" w:w="1141"/>
                  <w:vMerge/>
                  <w:tcBorders>
                    <w:top w:val="single" w:color="000000" w:sz="4"/>
                    <w:left w:val="single" w:color="000000" w:sz="4"/>
                    <w:bottom w:val="single" w:color="000000" w:sz="4"/>
                    <w:right w:val="single" w:color="000000" w:sz="4"/>
                  </w:tcBorders>
                </w:tcPr>
                <w:p/>
              </w:tc>
              <w:tc>
                <w:tcPr>
                  <w:tcW w:type="dxa" w:w="586"/>
                  <w:vMerge/>
                  <w:tcBorders>
                    <w:top w:val="single" w:color="000000" w:sz="4"/>
                    <w:left w:val="single" w:color="000000" w:sz="4"/>
                    <w:bottom w:val="single" w:color="000000" w:sz="4"/>
                    <w:right w:val="single" w:color="000000" w:sz="4"/>
                  </w:tcBorders>
                </w:tcPr>
                <w:p/>
              </w:tc>
              <w:tc>
                <w:tcPr>
                  <w:tcW w:type="dxa" w:w="498"/>
                  <w:vMerge/>
                  <w:tcBorders>
                    <w:top w:val="single" w:color="000000" w:sz="4"/>
                    <w:left w:val="single" w:color="000000" w:sz="4"/>
                    <w:bottom w:val="single" w:color="000000" w:sz="4"/>
                    <w:right w:val="single" w:color="000000" w:sz="4"/>
                  </w:tcBorders>
                </w:tcP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40"/>
                    <w:jc w:val="left"/>
                  </w:pPr>
                  <w:r>
                    <w:rPr>
                      <w:rFonts w:ascii="仿宋_GB2312" w:hAnsi="仿宋_GB2312" w:cs="仿宋_GB2312" w:eastAsia="仿宋_GB2312"/>
                      <w:sz w:val="24"/>
                      <w:b/>
                    </w:rPr>
                    <w:t>1</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840"/>
                    <w:jc w:val="both"/>
                  </w:pPr>
                  <w:r>
                    <w:rPr>
                      <w:rFonts w:ascii="仿宋_GB2312" w:hAnsi="仿宋_GB2312" w:cs="仿宋_GB2312" w:eastAsia="仿宋_GB2312"/>
                      <w:sz w:val="24"/>
                      <w:b/>
                    </w:rPr>
                    <w:t>物料费</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1</w:t>
                  </w:r>
                  <w:r>
                    <w:rPr>
                      <w:rFonts w:ascii="仿宋_GB2312" w:hAnsi="仿宋_GB2312" w:cs="仿宋_GB2312" w:eastAsia="仿宋_GB2312"/>
                      <w:sz w:val="24"/>
                    </w:rPr>
                    <w:t>-1</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化肥农药</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公斤</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128</w:t>
                  </w:r>
                  <w:r>
                    <w:rPr>
                      <w:rFonts w:ascii="仿宋_GB2312" w:hAnsi="仿宋_GB2312" w:cs="仿宋_GB2312" w:eastAsia="仿宋_GB2312"/>
                      <w:sz w:val="24"/>
                    </w:rPr>
                    <w:t>0</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1</w:t>
                  </w:r>
                  <w:r>
                    <w:rPr>
                      <w:rFonts w:ascii="仿宋_GB2312" w:hAnsi="仿宋_GB2312" w:cs="仿宋_GB2312" w:eastAsia="仿宋_GB2312"/>
                      <w:sz w:val="24"/>
                    </w:rPr>
                    <w:t>-2</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遮阴措施</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平方米</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r>
                    <w:rPr>
                      <w:rFonts w:ascii="仿宋_GB2312" w:hAnsi="仿宋_GB2312" w:cs="仿宋_GB2312" w:eastAsia="仿宋_GB2312"/>
                      <w:sz w:val="24"/>
                    </w:rPr>
                    <w:t>000</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1</w:t>
                  </w:r>
                  <w:r>
                    <w:rPr>
                      <w:rFonts w:ascii="仿宋_GB2312" w:hAnsi="仿宋_GB2312" w:cs="仿宋_GB2312" w:eastAsia="仿宋_GB2312"/>
                      <w:sz w:val="24"/>
                    </w:rPr>
                    <w:t>-3</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整地租赁机械</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1-4</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营养杯</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万个</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1-5</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营养熟化土</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立方</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2</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劳务用工</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2</w:t>
                  </w:r>
                  <w:r>
                    <w:rPr>
                      <w:rFonts w:ascii="仿宋_GB2312" w:hAnsi="仿宋_GB2312" w:cs="仿宋_GB2312" w:eastAsia="仿宋_GB2312"/>
                      <w:sz w:val="24"/>
                    </w:rPr>
                    <w:t>-1</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苗床整地</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40"/>
                    <w:jc w:val="center"/>
                  </w:pPr>
                  <w:r>
                    <w:rPr>
                      <w:rFonts w:ascii="仿宋_GB2312" w:hAnsi="仿宋_GB2312" w:cs="仿宋_GB2312" w:eastAsia="仿宋_GB2312"/>
                      <w:sz w:val="24"/>
                    </w:rPr>
                    <w:t>项</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40"/>
                    <w:jc w:val="center"/>
                  </w:pPr>
                  <w:r>
                    <w:rPr>
                      <w:rFonts w:ascii="仿宋_GB2312" w:hAnsi="仿宋_GB2312" w:cs="仿宋_GB2312" w:eastAsia="仿宋_GB2312"/>
                      <w:sz w:val="24"/>
                    </w:rPr>
                    <w:t>1</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2</w:t>
                  </w:r>
                  <w:r>
                    <w:rPr>
                      <w:rFonts w:ascii="仿宋_GB2312" w:hAnsi="仿宋_GB2312" w:cs="仿宋_GB2312" w:eastAsia="仿宋_GB2312"/>
                      <w:sz w:val="24"/>
                    </w:rPr>
                    <w:t>-2</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装杯、播种、水肥管理</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40"/>
                    <w:jc w:val="center"/>
                  </w:pPr>
                  <w:r>
                    <w:rPr>
                      <w:rFonts w:ascii="仿宋_GB2312" w:hAnsi="仿宋_GB2312" w:cs="仿宋_GB2312" w:eastAsia="仿宋_GB2312"/>
                      <w:sz w:val="24"/>
                    </w:rPr>
                    <w:t>项</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40"/>
                    <w:jc w:val="center"/>
                  </w:pPr>
                  <w:r>
                    <w:rPr>
                      <w:rFonts w:ascii="仿宋_GB2312" w:hAnsi="仿宋_GB2312" w:cs="仿宋_GB2312" w:eastAsia="仿宋_GB2312"/>
                      <w:sz w:val="24"/>
                    </w:rPr>
                    <w:t>1</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2</w:t>
                  </w:r>
                  <w:r>
                    <w:rPr>
                      <w:rFonts w:ascii="仿宋_GB2312" w:hAnsi="仿宋_GB2312" w:cs="仿宋_GB2312" w:eastAsia="仿宋_GB2312"/>
                      <w:sz w:val="24"/>
                    </w:rPr>
                    <w:t>-3</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除草、病虫害防治管护</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40"/>
                    <w:jc w:val="center"/>
                  </w:pPr>
                  <w:r>
                    <w:rPr>
                      <w:rFonts w:ascii="仿宋_GB2312" w:hAnsi="仿宋_GB2312" w:cs="仿宋_GB2312" w:eastAsia="仿宋_GB2312"/>
                      <w:sz w:val="24"/>
                    </w:rPr>
                    <w:t>项</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40"/>
                    <w:jc w:val="center"/>
                  </w:pPr>
                  <w:r>
                    <w:rPr>
                      <w:rFonts w:ascii="仿宋_GB2312" w:hAnsi="仿宋_GB2312" w:cs="仿宋_GB2312" w:eastAsia="仿宋_GB2312"/>
                      <w:sz w:val="24"/>
                    </w:rPr>
                    <w:t>1</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合同签订后至2026年12月完成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项目人员进场后，土地平整做好苗床，完成营养钵装置育苗后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具有有效的营业执照</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法定代表人或被授权委托代理人身份</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企业资格要求</w:t>
            </w:r>
          </w:p>
        </w:tc>
        <w:tc>
          <w:tcPr>
            <w:tcW w:type="dxa" w:w="3322"/>
          </w:tcPr>
          <w:p>
            <w:pPr>
              <w:pStyle w:val="null3"/>
            </w:pPr>
            <w:r>
              <w:rPr>
                <w:rFonts w:ascii="仿宋_GB2312" w:hAnsi="仿宋_GB2312" w:cs="仿宋_GB2312" w:eastAsia="仿宋_GB2312"/>
              </w:rPr>
              <w:t>供应商须提供相关部门颁发的《林木种子生产经营许可证》或《林草种子生产经营许可证》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中小企业声明函 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商务应答表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磋商响应文件的签署、盖章符合磋商文件要求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服务时间</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1.评审内容：供应商针对本项目编制完善的总体服务方案，内容包含但不限于：①服务内容（3分）；②服务目标（3分）；③服务计划（3分）。 2.评审标准：①内容全面详细，且条理清晰、准确、措施合理具体；②内容能够紧扣实际情况，内容清晰、合理。 3.赋分标准：各项评审内容每满足一条评审标准得1.5分，未提供相关内容的不计分。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所投设备及材料投入计划</w:t>
            </w:r>
          </w:p>
        </w:tc>
        <w:tc>
          <w:tcPr>
            <w:tcW w:type="dxa" w:w="2492"/>
          </w:tcPr>
          <w:p>
            <w:pPr>
              <w:pStyle w:val="null3"/>
            </w:pPr>
            <w:r>
              <w:rPr>
                <w:rFonts w:ascii="仿宋_GB2312" w:hAnsi="仿宋_GB2312" w:cs="仿宋_GB2312" w:eastAsia="仿宋_GB2312"/>
              </w:rPr>
              <w:t>1.评审内容：供应商针对本项目编制完善的设备和材料投入计划，内容包含但不限于：①机械配备计划（3分）；②材料投入计划（3分）；③机械设备保障措施（3分）。 2.评审标准：①内容全面详细，且条理清晰、准确、措施合理具体；②内容能够紧扣项目实际情况，内容清晰、合理。 3.赋分标准：各项评审内容每满足一条评审标准得1.5分，未提供相关内容的不计分。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后续服务</w:t>
            </w:r>
          </w:p>
        </w:tc>
        <w:tc>
          <w:tcPr>
            <w:tcW w:type="dxa" w:w="2492"/>
          </w:tcPr>
          <w:p>
            <w:pPr>
              <w:pStyle w:val="null3"/>
            </w:pPr>
            <w:r>
              <w:rPr>
                <w:rFonts w:ascii="仿宋_GB2312" w:hAnsi="仿宋_GB2312" w:cs="仿宋_GB2312" w:eastAsia="仿宋_GB2312"/>
              </w:rPr>
              <w:t>1.评审内容：供应商针对本项目编制完善的后续服务，内容包含但不限于：①后续服务计划（3分）；②后续服务措施（3分）。 2.评审标准：①内容全面详细，且条理清晰、准确、措施合理具体；②内容能够紧扣项目实际情况，内容清晰、合理。 3.赋分标准：各项评审内容每满足一条评审标准得1.5分，未提供相关内容的不计分。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1.评审内容：供应商针对本项目编制完善的进度保障措施，内容包含但不限于：①项目进度计划（3分）；②进度计划保证措施（3分）；工期保证措施（3分）。 2.评审标准：①内容全面详细，且条理清晰、准确、措施合理具体；②内容能够紧扣项目实际情况，内容清晰、合理。 3.赋分标准：各项评审内容每满足一条评审标准得1.5分，未提供相关内容的不计分。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1.评审内容：供应商针对本项目编制完善的服务质量保障措施，内容包含但不限于：①质量目标管理体系（3分）；②质量的检验制度（3分）；③确保质量的技术组织措施（3分）；④成活率保障（3分）。 2.评审标准：①内容全面详细，且条理清晰、准确、措施合理具体；②内容能够紧扣项目实际情况，内容清晰、合理。 3.赋分标准：各项评审内容每满足一条评审标准得1.5分，未提供相关内容的不计分。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1.评审内容：供应商针对项目编制完善的应急预案，内容包含但不限于： ① 应急保障体系（3分）；②各类突发情况应对措施（3分）；③ 备用资源配置及应急响应流程（3分）。2.评审标准：①内容全面详细，且条理清晰、准确、措施合理具体；②内容能够紧扣项目实际情况，内容清晰、合理。 3.赋分标准：各项评审内容每满足一条评审标准得1.5分，未提供相关内容的不计分。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1.评审内容：供应商针对本项目编制完善的安全保障措施，内容包含但不限于：①安全管理体系（3分）；②安全管理措施（3分）；③安全教育培训（3分）。 2.评审标准：①内容全面详细，且条理清晰、准确、措施合理具体；②内容能够紧扣项目实际情况，内容清晰、合理。 3.赋分标准：各项评审内容每满足一条评审标准得1.5分，未提供相关内容的不计分。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1.评审内容：供应商针对本项目编制完善的文明施工及环境保护措施，内容包含但不限于：①环境保护保证措施（3分）；②文明施工保障措施（3分）；③环境保护管理体系（3分）；。 2.评审标准：①内容全面详细，且条理清晰、准确、措施合理具体；②内容能够紧扣项目实际情况，内容清晰、合理。 3.赋分标准：各项评审内容每满足一条评审标准得1.5分，未提供相关内容的不计分。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供应商提供近三年（2023年1月-至今）完成类似业绩证明材料（时间以签订的合同时间为准），每提供1个业绩得2.5分，此项最高得5分；（注：业绩评审需提供加盖公章的合同复印件）。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拟投入人员</w:t>
            </w:r>
          </w:p>
        </w:tc>
        <w:tc>
          <w:tcPr>
            <w:tcW w:type="dxa" w:w="2492"/>
          </w:tcPr>
          <w:p>
            <w:pPr>
              <w:pStyle w:val="null3"/>
            </w:pPr>
            <w:r>
              <w:rPr>
                <w:rFonts w:ascii="仿宋_GB2312" w:hAnsi="仿宋_GB2312" w:cs="仿宋_GB2312" w:eastAsia="仿宋_GB2312"/>
              </w:rPr>
              <w:t>1、项目负责人具有相关专业中级及以上职称的得 3 分，其他不得分。 2、项目团队成员，除项目负责人外，项目团队专业技术人员每提供一名技术人员得1分，最高得4分。 （以上人员需提供身份证及相关证书复印件或扫描件并加盖公章，未提供证明材料不得分。）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重难点分析及解决措施</w:t>
            </w:r>
          </w:p>
        </w:tc>
        <w:tc>
          <w:tcPr>
            <w:tcW w:type="dxa" w:w="2492"/>
          </w:tcPr>
          <w:p>
            <w:pPr>
              <w:pStyle w:val="null3"/>
            </w:pPr>
            <w:r>
              <w:rPr>
                <w:rFonts w:ascii="仿宋_GB2312" w:hAnsi="仿宋_GB2312" w:cs="仿宋_GB2312" w:eastAsia="仿宋_GB2312"/>
              </w:rPr>
              <w:t>1.评审内容：针对本项目作出合理有效的重难点分析及解决措施，内容包含但不限于：①针对本项目的重难点分析；（3分）②针对重难点分析后的预防及解决措施。（3分）2.评审标准：①内容全面详细，且条理清晰、准确、措施合理具体；②内容能够紧扣项目实际情况，内容清晰、合理。 3.赋分标准：各项评审内容每满足一条评审标准得1.5分，未提供相关内容的不计分。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1、上限为采购预算价，即报价大于上限价视为无效标；2. 磋商报价采用低价优先法计算，即满足竞争性磋商文件要求且最后磋商总报价最低的报价为评审基准价，其价格分为满分。其他供应商的价格分统一按照下列公式计算： 磋商报价得分=（评审基准价/最后磋商总报价）×10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