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版本号：BYTC2026CG01120260414001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原子荧光光度计采购项目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BYTC2026CG011</w:t>
      </w:r>
      <w:r>
        <w:br/>
      </w:r>
      <w:r>
        <w:br/>
      </w:r>
      <w:r>
        <w:br/>
      </w:r>
    </w:p>
    <w:p>
      <w:pPr>
        <w:pStyle w:val="null3"/>
        <w:jc w:val="center"/>
        <w:outlineLvl w:val="2"/>
      </w:pPr>
      <w:r>
        <w:rPr>
          <w:rFonts w:ascii="仿宋_GB2312" w:hAnsi="仿宋_GB2312" w:cs="仿宋_GB2312" w:eastAsia="仿宋_GB2312"/>
          <w:sz w:val="28"/>
          <w:b/>
        </w:rPr>
        <w:t>汉中市城市供水水质监测站</w:t>
      </w:r>
    </w:p>
    <w:p>
      <w:pPr>
        <w:pStyle w:val="null3"/>
        <w:jc w:val="center"/>
        <w:outlineLvl w:val="2"/>
      </w:pPr>
      <w:r>
        <w:rPr>
          <w:rFonts w:ascii="仿宋_GB2312" w:hAnsi="仿宋_GB2312" w:cs="仿宋_GB2312" w:eastAsia="仿宋_GB2312"/>
          <w:sz w:val="28"/>
          <w:b/>
        </w:rPr>
        <w:t>陕西博宇天诚项目管理有限公司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陕西博宇天诚项目管理有限公司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汉中市城市供水水质监测站</w:t>
      </w:r>
      <w:r>
        <w:rPr>
          <w:rFonts w:ascii="仿宋_GB2312" w:hAnsi="仿宋_GB2312" w:cs="仿宋_GB2312" w:eastAsia="仿宋_GB2312"/>
        </w:rPr>
        <w:t>委托，拟对</w:t>
      </w:r>
      <w:r>
        <w:rPr>
          <w:rFonts w:ascii="仿宋_GB2312" w:hAnsi="仿宋_GB2312" w:cs="仿宋_GB2312" w:eastAsia="仿宋_GB2312"/>
        </w:rPr>
        <w:t>原子荧光光度计采购项目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BYTC2026CG011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原子荧光光度计采购项目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汉中市城市供水水质监测站因工作需要，现需采购原子荧光光度计一套，具体内容及要求详见采购文件技术要求。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采购包1（原子荧光光度计采购项目）：属于专门面向小微企业采购。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2、供应商资格承诺函：提供“汉中市政府采购供应商资格承诺函”；</w:t>
      </w:r>
    </w:p>
    <w:p>
      <w:pPr>
        <w:pStyle w:val="null3"/>
      </w:pPr>
      <w:r>
        <w:rPr>
          <w:rFonts w:ascii="仿宋_GB2312" w:hAnsi="仿宋_GB2312" w:cs="仿宋_GB2312" w:eastAsia="仿宋_GB2312"/>
        </w:rPr>
        <w:t>3、法定代表人授权委托书：供应商应授权合法的人员参加投标，其中法定代表人直接参加的，须出具身份证，并与营业执照上信息一致；被授权代表参加的，须出具法定代表人授权书及被授权人身份证；（非法人单位的负责人均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汉中市城市供水水质监测站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0916—2239430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陕西博宇天诚项目管理有限公司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陕西省汉中市汉台区陕西省汉中市汉台区汉中路街道办事处荔枝路智诚雅居2楼1号写字间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开户名称：陕西博宇天诚项目管理有限公司</w:t>
            </w:r>
          </w:p>
          <w:p>
            <w:pPr>
              <w:pStyle w:val="null3"/>
            </w:pPr>
            <w:r>
              <w:rPr>
                <w:rFonts w:ascii="仿宋_GB2312" w:hAnsi="仿宋_GB2312" w:cs="仿宋_GB2312" w:eastAsia="仿宋_GB2312"/>
              </w:rPr>
              <w:t>开户银行：长安银行股份有限公司汉中兴元路支行</w:t>
            </w:r>
          </w:p>
          <w:p>
            <w:pPr>
              <w:pStyle w:val="null3"/>
            </w:pPr>
            <w:r>
              <w:rPr>
                <w:rFonts w:ascii="仿宋_GB2312" w:hAnsi="仿宋_GB2312" w:cs="仿宋_GB2312" w:eastAsia="仿宋_GB2312"/>
              </w:rPr>
              <w:t>银行账号：806060601429999888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代理服务费收费标准：本项目招标代理服务费按《招标代理服务收费管理暂行办法》所规定的收费标准收取由中标供应商向招标代理机构支付。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汉中市城市供水水质监测站</w:t>
      </w:r>
      <w:r>
        <w:rPr>
          <w:rFonts w:ascii="仿宋_GB2312" w:hAnsi="仿宋_GB2312" w:cs="仿宋_GB2312" w:eastAsia="仿宋_GB2312"/>
        </w:rPr>
        <w:t>和</w:t>
      </w:r>
      <w:r>
        <w:rPr>
          <w:rFonts w:ascii="仿宋_GB2312" w:hAnsi="仿宋_GB2312" w:cs="仿宋_GB2312" w:eastAsia="仿宋_GB2312"/>
        </w:rPr>
        <w:t>陕西博宇天诚项目管理有限公司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汉中市城市供水水质监测站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陕西博宇天诚项目管理有限公司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汉中市城市供水水质监测站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陕西博宇天诚项目管理有限公司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仪器设备安装调试完成后，按采购人要求选择具备CMA资质的第三方检测机构进行首次检定，检定费用由中标供应商承担。</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陕西博宇天诚项目管理有限公司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联系人：杨克</w:t>
      </w:r>
    </w:p>
    <w:p>
      <w:pPr>
        <w:pStyle w:val="null3"/>
      </w:pPr>
      <w:r>
        <w:rPr>
          <w:rFonts w:ascii="仿宋_GB2312" w:hAnsi="仿宋_GB2312" w:cs="仿宋_GB2312" w:eastAsia="仿宋_GB2312"/>
        </w:rPr>
        <w:t>联系电话：0916-2697988</w:t>
      </w:r>
    </w:p>
    <w:p>
      <w:pPr>
        <w:pStyle w:val="null3"/>
      </w:pPr>
      <w:r>
        <w:rPr>
          <w:rFonts w:ascii="仿宋_GB2312" w:hAnsi="仿宋_GB2312" w:cs="仿宋_GB2312" w:eastAsia="仿宋_GB2312"/>
        </w:rPr>
        <w:t>地址：陕西省汉中市汉台区汉中路街道办事处荔枝路智诚雅居2楼1号写字间</w:t>
      </w:r>
    </w:p>
    <w:p>
      <w:pPr>
        <w:pStyle w:val="null3"/>
      </w:pPr>
      <w:r>
        <w:rPr>
          <w:rFonts w:ascii="仿宋_GB2312" w:hAnsi="仿宋_GB2312" w:cs="仿宋_GB2312" w:eastAsia="仿宋_GB2312"/>
        </w:rPr>
        <w:t>邮编：72300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因本单位工作需要，现须购买原子荧光光度计一台，性能满足国家及行业相关规定及采购人具体使用要求。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原子荧光光度计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标的名称：原子荧光光度计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采购内容清单：</w:t>
            </w:r>
          </w:p>
          <w:p>
            <w:pPr>
              <w:pStyle w:val="null3"/>
              <w:ind w:firstLine="560"/>
              <w:jc w:val="both"/>
            </w:pPr>
            <w:r>
              <w:rPr>
                <w:rFonts w:ascii="仿宋_GB2312" w:hAnsi="仿宋_GB2312" w:cs="仿宋_GB2312" w:eastAsia="仿宋_GB2312"/>
                <w:sz w:val="21"/>
              </w:rPr>
              <w:t>（1）原子荧光光度计主机一套；</w:t>
            </w:r>
          </w:p>
          <w:p>
            <w:pPr>
              <w:pStyle w:val="null3"/>
              <w:ind w:firstLine="560"/>
              <w:jc w:val="both"/>
            </w:pPr>
            <w:r>
              <w:rPr>
                <w:rFonts w:ascii="仿宋_GB2312" w:hAnsi="仿宋_GB2312" w:cs="仿宋_GB2312" w:eastAsia="仿宋_GB2312"/>
                <w:sz w:val="21"/>
              </w:rPr>
              <w:t>（2）As、Hg、Se免调元素灯一套；</w:t>
            </w:r>
          </w:p>
          <w:p>
            <w:pPr>
              <w:pStyle w:val="null3"/>
              <w:ind w:firstLine="560"/>
              <w:jc w:val="both"/>
            </w:pPr>
            <w:r>
              <w:rPr>
                <w:rFonts w:ascii="仿宋_GB2312" w:hAnsi="仿宋_GB2312" w:cs="仿宋_GB2312" w:eastAsia="仿宋_GB2312"/>
                <w:sz w:val="21"/>
              </w:rPr>
              <w:t>（3）三模式进样系统一套；</w:t>
            </w:r>
          </w:p>
          <w:p>
            <w:pPr>
              <w:pStyle w:val="null3"/>
              <w:ind w:firstLine="560"/>
              <w:jc w:val="both"/>
            </w:pPr>
            <w:r>
              <w:rPr>
                <w:rFonts w:ascii="仿宋_GB2312" w:hAnsi="仿宋_GB2312" w:cs="仿宋_GB2312" w:eastAsia="仿宋_GB2312"/>
                <w:sz w:val="21"/>
              </w:rPr>
              <w:t>（4）定量环及反应块控温系统一套；</w:t>
            </w:r>
          </w:p>
          <w:p>
            <w:pPr>
              <w:pStyle w:val="null3"/>
              <w:ind w:firstLine="560"/>
              <w:jc w:val="both"/>
            </w:pPr>
            <w:r>
              <w:rPr>
                <w:rFonts w:ascii="仿宋_GB2312" w:hAnsi="仿宋_GB2312" w:cs="仿宋_GB2312" w:eastAsia="仿宋_GB2312"/>
                <w:sz w:val="21"/>
              </w:rPr>
              <w:t>（5）原子化器直接观察窗及内置视频查看系统一套（内置监视频查看系统），有害气体视频查看系统一套；</w:t>
            </w:r>
          </w:p>
          <w:p>
            <w:pPr>
              <w:pStyle w:val="null3"/>
              <w:ind w:firstLine="560"/>
              <w:jc w:val="both"/>
            </w:pPr>
            <w:r>
              <w:rPr>
                <w:rFonts w:ascii="仿宋_GB2312" w:hAnsi="仿宋_GB2312" w:cs="仿宋_GB2312" w:eastAsia="仿宋_GB2312"/>
                <w:sz w:val="21"/>
              </w:rPr>
              <w:t>（6）≥210位极坐标式自动进样器一台；</w:t>
            </w:r>
          </w:p>
          <w:p>
            <w:pPr>
              <w:pStyle w:val="null3"/>
              <w:ind w:firstLine="560"/>
              <w:jc w:val="both"/>
            </w:pPr>
            <w:r>
              <w:rPr>
                <w:rFonts w:ascii="仿宋_GB2312" w:hAnsi="仿宋_GB2312" w:cs="仿宋_GB2312" w:eastAsia="仿宋_GB2312"/>
                <w:sz w:val="21"/>
              </w:rPr>
              <w:t>（7）工作站软件一套（含图形化状态监控和气体流量、压力、灯电流、负高压、元素信息等实时参数显示功能）；</w:t>
            </w:r>
          </w:p>
          <w:p>
            <w:pPr>
              <w:pStyle w:val="null3"/>
              <w:ind w:firstLine="560"/>
              <w:jc w:val="both"/>
            </w:pPr>
            <w:r>
              <w:rPr>
                <w:rFonts w:ascii="仿宋_GB2312" w:hAnsi="仿宋_GB2312" w:cs="仿宋_GB2312" w:eastAsia="仿宋_GB2312"/>
                <w:sz w:val="21"/>
              </w:rPr>
              <w:t>（8）仪器附件包一套（至少包括工具包及管路备件）；</w:t>
            </w:r>
          </w:p>
          <w:p>
            <w:pPr>
              <w:pStyle w:val="null3"/>
              <w:ind w:firstLine="560"/>
              <w:jc w:val="both"/>
            </w:pPr>
            <w:r>
              <w:rPr>
                <w:rFonts w:ascii="仿宋_GB2312" w:hAnsi="仿宋_GB2312" w:cs="仿宋_GB2312" w:eastAsia="仿宋_GB2312"/>
                <w:sz w:val="21"/>
              </w:rPr>
              <w:t>（9）与仪器兼容的控制终端一套（性能不低于CPU十二代i5、内存不低于8G、固态内存不低于256G、显示屏不小于23寸、分辨率不低于1920*1080、刷新率不低于100HZ）、配套A4幅面黑白激光打印机一台（性能不低于：黑白激光打印、支持扫描、复印、打印、自动双面打印等功能，支持页宽A4、打印速度不低于22页/分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检测标准：符合《生活饮用水标准检验方法》（GB/T 5750-2023）及相关标准的技术要求。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检测范围：适用于样品中砷、汞、硒等元素分析测量。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1）漂移：≤0.5%；噪声：≤0.5%；道间干扰：≤±0.5%。</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2）测量重复性（RSD）：≤0.4%RSD。</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（3）检出限（D.L.）：砷（AS）、硒（Se）＜0. 01ug/L；汞（Hg）＜0.001ug/L。</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Hg长期稳定性：≤5.0%/4</w:t>
            </w:r>
            <w:r>
              <w:rPr>
                <w:rFonts w:ascii="仿宋_GB2312" w:hAnsi="仿宋_GB2312" w:cs="仿宋_GB2312" w:eastAsia="仿宋_GB2312"/>
                <w:sz w:val="21"/>
              </w:rPr>
              <w:t>h</w:t>
            </w:r>
            <w:r>
              <w:rPr>
                <w:rFonts w:ascii="仿宋_GB2312" w:hAnsi="仿宋_GB2312" w:cs="仿宋_GB2312" w:eastAsia="仿宋_GB2312"/>
                <w:sz w:val="21"/>
              </w:rPr>
              <w:t xml:space="preserve"> </w:t>
            </w:r>
            <w:r>
              <w:rPr>
                <w:rFonts w:ascii="仿宋_GB2312" w:hAnsi="仿宋_GB2312" w:cs="仿宋_GB2312" w:eastAsia="仿宋_GB2312"/>
                <w:sz w:val="21"/>
              </w:rPr>
              <w:t>@ 0.5ug/L</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5）进样系统性能不低于：具有双注射泵及蠕动泵，支持双路顺序注射泵进样模式，单蠕动泵进样模式，单注射泵+蠕动泵进样模式，可自由切换；注射泵运动行程大于60mm，蠕动泵泵速：0-200r/min连续可调；满足单标准自动配标曲（r＞0.999），高浓度样品可自动稀释。</w:t>
            </w:r>
          </w:p>
          <w:p>
            <w:pPr>
              <w:pStyle w:val="null3"/>
            </w:pPr>
            <w:r>
              <w:rPr>
                <w:rFonts w:ascii="仿宋_GB2312" w:hAnsi="仿宋_GB2312" w:cs="仿宋_GB2312" w:eastAsia="仿宋_GB2312"/>
                <w:sz w:val="21"/>
              </w:rPr>
              <w:t>注</w:t>
            </w:r>
            <w:r>
              <w:rPr>
                <w:rFonts w:ascii="仿宋_GB2312" w:hAnsi="仿宋_GB2312" w:cs="仿宋_GB2312" w:eastAsia="仿宋_GB2312"/>
                <w:sz w:val="21"/>
              </w:rPr>
              <w:t>：“★”技术参数须提供充足的佐证材料包括但不限于提供第三方质量认证或第三方检测机构出具的检验报告或数据测定报告、实物图或功能截图等加盖制造商单位公章的资料复印件。</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6）光学系统：三通道平面光学系统设计，支持砷、汞、硒三项指标的同步检测；具备免调灯，元素自动识别，仪器不断电时可快速更换元素灯。具备氩氢火焰直接观察窗，同时具备内置原子化器可视化系统，通过视频监控查看火焰状态并保存视频。</w:t>
            </w:r>
          </w:p>
          <w:p>
            <w:pPr>
              <w:pStyle w:val="null3"/>
            </w:pPr>
            <w:r>
              <w:rPr>
                <w:rFonts w:ascii="仿宋_GB2312" w:hAnsi="仿宋_GB2312" w:cs="仿宋_GB2312" w:eastAsia="仿宋_GB2312"/>
                <w:sz w:val="21"/>
              </w:rPr>
              <w:t>注：“★”技术参数须提供充足的佐证材料包括但不限于提供第三方质量认证或第三方检测机构出具的检验报告或数据测定报告、实物图或功能截图等加盖制造商单位公章的资料复印件。</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（7）具备双通道元素灯漂移校正系统，采用前参比同步校正方式。</w:t>
            </w:r>
          </w:p>
          <w:p>
            <w:pPr>
              <w:pStyle w:val="null3"/>
            </w:pPr>
            <w:r>
              <w:rPr>
                <w:rFonts w:ascii="仿宋_GB2312" w:hAnsi="仿宋_GB2312" w:cs="仿宋_GB2312" w:eastAsia="仿宋_GB2312"/>
                <w:sz w:val="21"/>
              </w:rPr>
              <w:t>注：“★”技术参数须提供充足的佐证材料包括但不限于提供第三方质量认证或第三方检测机构出具的检验报告或数据测定报告、实物图或功能截图等加盖制造商单位公章的资料复印件。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（8）流路系统：存样环和反应块具备加热控温系统，控温范围（40~70）℃，气液分离器免加水。</w:t>
            </w:r>
          </w:p>
          <w:p>
            <w:pPr>
              <w:pStyle w:val="null3"/>
            </w:pPr>
            <w:r>
              <w:rPr>
                <w:rFonts w:ascii="仿宋_GB2312" w:hAnsi="仿宋_GB2312" w:cs="仿宋_GB2312" w:eastAsia="仿宋_GB2312"/>
                <w:sz w:val="21"/>
              </w:rPr>
              <w:t>注：“★”技术参数须提供充足的佐证材料包括但不限于提供第三方质量认证或第三方检测机构出具的检验报告或数据测定报告、实物图或功能截图等加盖制造商单位公章的资料复印件。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同时满足</w:t>
            </w:r>
            <w:r>
              <w:rPr>
                <w:rFonts w:ascii="仿宋_GB2312" w:hAnsi="仿宋_GB2312" w:cs="仿宋_GB2312" w:eastAsia="仿宋_GB2312"/>
                <w:sz w:val="21"/>
              </w:rPr>
              <w:t>WiFi、LAN、USB、RS-232四种通讯方式</w:t>
            </w:r>
            <w:r>
              <w:rPr>
                <w:rFonts w:ascii="仿宋_GB2312" w:hAnsi="仿宋_GB2312" w:cs="仿宋_GB2312" w:eastAsia="仿宋_GB2312"/>
                <w:sz w:val="21"/>
              </w:rPr>
              <w:t>，满足</w:t>
            </w:r>
            <w:r>
              <w:rPr>
                <w:rFonts w:ascii="仿宋_GB2312" w:hAnsi="仿宋_GB2312" w:cs="仿宋_GB2312" w:eastAsia="仿宋_GB2312"/>
                <w:sz w:val="21"/>
              </w:rPr>
              <w:t>移动端</w:t>
            </w:r>
            <w:r>
              <w:rPr>
                <w:rFonts w:ascii="仿宋_GB2312" w:hAnsi="仿宋_GB2312" w:cs="仿宋_GB2312" w:eastAsia="仿宋_GB2312"/>
                <w:sz w:val="21"/>
              </w:rPr>
              <w:t>APP信息查看，包括仪器</w:t>
            </w:r>
            <w:r>
              <w:rPr>
                <w:rFonts w:ascii="仿宋_GB2312" w:hAnsi="仿宋_GB2312" w:cs="仿宋_GB2312" w:eastAsia="仿宋_GB2312"/>
                <w:sz w:val="21"/>
              </w:rPr>
              <w:t>状态信息，测量结果信息等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（10）智能电源管理，按照设定要求仪器可以自动预热，支持间歇预热、定时预热、动态预热。</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（11）具有气路压力监测（入口和出口）、气路流量监测、炉丝电流监测、元素灯电流监测、废液位监测、大气压力监测。</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rPr>
              <w:t>参数要求：</w:t>
            </w:r>
          </w:p>
          <w:p>
            <w:pPr>
              <w:pStyle w:val="null3"/>
            </w:pPr>
            <w:r>
              <w:rPr>
                <w:rFonts w:ascii="仿宋_GB2312" w:hAnsi="仿宋_GB2312" w:cs="仿宋_GB2312" w:eastAsia="仿宋_GB2312"/>
                <w:sz w:val="21"/>
              </w:rPr>
              <w:t>（12）自动进样器样品位数≥210位，支持15ml/50ml样品管。随设备提供自动进样器及配套进样针、清洗液瓶、废液桶等完整配件，所有备件均为主机原厂设备。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用户指定地点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货物安装调试完成之后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验收完成之后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仪器设备安装调试完成后，按采购人要求选择具备CMA资质的第三方检测机构进行首次检定，检定费用由中标供应商承担。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（一）未按合同要求提供服务或服务质量不能满足合同要求，采购人应当将服务商 违约的情况以及拟采取的措施以书面形式报政府采购监管部门，根据政府采购监管部门的处理意见，采购人有权依据《民法 典》有关条款及合同约定终止合同，并要求服务商承担违约责任。同时，政府采购监管部门有权依据《政府采购法》及相关法 律法规对服务商的违法行为进行相应的处罚。 （二）按《民法典》中的相关条款进行商定并补充。</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商务其他要求：（1）货物外观要求：送货上门至指定地方，包装完整无破损、无变形，箱体印有清晰的产品型号、生产批次及防潮标识；内部采用高密度泡沫减震结构； （2）相关驻场服务及培训要求：提供不少于1个月的现场安装调试服务直至第三方首次检定完成，含仪器操作、日常维护、故障排查等全流程培训； （3）售后服务要求：仪器设备终身免费软件升级服务，接到报修后2小时内响应，不低于48小时内工程师抵达现场；质保期内提供免费维修服务，质保期外提供终身成本价维修支持。投标文件自拟格式进行承诺响应，质保期外维修收费清单须单独提供； （4）检定服务要求：仪器设备安装调试完成后，按采购人要求选择具备CMA资质的第三方检测机构进行首次检定，检定费用由中标供应商承担。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身份证，并与营业执照上信息一致；被授权代表参加的，须出具法定代表人授权书及被授权人身份证；（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审查投标文件签署、盖章是否符合谈判文件要求,且无遗漏。</w:t>
            </w:r>
          </w:p>
        </w:tc>
        <w:tc>
          <w:tcPr>
            <w:tcW w:type="dxa" w:w="1661"/>
          </w:tcPr>
          <w:p>
            <w:pPr>
              <w:pStyle w:val="null3"/>
            </w:pPr>
            <w:r>
              <w:rPr>
                <w:rFonts w:ascii="仿宋_GB2312" w:hAnsi="仿宋_GB2312" w:cs="仿宋_GB2312" w:eastAsia="仿宋_GB2312"/>
              </w:rPr>
              <w:t>响应文件封面 商务要求.docx 产品技术参数表 技术参数证明材料.docx 供应商应提交的相关资格证明材料.docx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审查投标文件有效期是否满足谈判文件要求。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投标报价，交货期，质保期</w:t>
            </w:r>
          </w:p>
        </w:tc>
        <w:tc>
          <w:tcPr>
            <w:tcW w:type="dxa" w:w="3322"/>
          </w:tcPr>
          <w:p>
            <w:pPr>
              <w:pStyle w:val="null3"/>
            </w:pPr>
            <w:r>
              <w:rPr>
                <w:rFonts w:ascii="仿宋_GB2312" w:hAnsi="仿宋_GB2312" w:cs="仿宋_GB2312" w:eastAsia="仿宋_GB2312"/>
              </w:rPr>
              <w:t>审查投标报价、交货期、质保期是否符合谈判文件要求；</w:t>
            </w:r>
          </w:p>
        </w:tc>
        <w:tc>
          <w:tcPr>
            <w:tcW w:type="dxa" w:w="1661"/>
          </w:tcPr>
          <w:p>
            <w:pPr>
              <w:pStyle w:val="null3"/>
            </w:pPr>
            <w:r>
              <w:rPr>
                <w:rFonts w:ascii="仿宋_GB2312" w:hAnsi="仿宋_GB2312" w:cs="仿宋_GB2312" w:eastAsia="仿宋_GB2312"/>
              </w:rPr>
              <w:t>商务要求.docx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审查是否完全响应谈判文件全部商务条款的要求。</w:t>
            </w:r>
          </w:p>
        </w:tc>
        <w:tc>
          <w:tcPr>
            <w:tcW w:type="dxa" w:w="1661"/>
          </w:tcPr>
          <w:p>
            <w:pPr>
              <w:pStyle w:val="null3"/>
            </w:pPr>
            <w:r>
              <w:rPr>
                <w:rFonts w:ascii="仿宋_GB2312" w:hAnsi="仿宋_GB2312" w:cs="仿宋_GB2312" w:eastAsia="仿宋_GB2312"/>
              </w:rPr>
              <w:t>商务要求.docx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投标产品技术参数</w:t>
            </w:r>
          </w:p>
        </w:tc>
        <w:tc>
          <w:tcPr>
            <w:tcW w:type="dxa" w:w="3322"/>
          </w:tcPr>
          <w:p>
            <w:pPr>
              <w:pStyle w:val="null3"/>
            </w:pPr>
            <w:r>
              <w:rPr>
                <w:rFonts w:ascii="仿宋_GB2312" w:hAnsi="仿宋_GB2312" w:cs="仿宋_GB2312" w:eastAsia="仿宋_GB2312"/>
              </w:rPr>
              <w:t>审查投标产品技术参数是否满足谈判文件要求。</w:t>
            </w:r>
          </w:p>
        </w:tc>
        <w:tc>
          <w:tcPr>
            <w:tcW w:type="dxa" w:w="1661"/>
          </w:tcPr>
          <w:p>
            <w:pPr>
              <w:pStyle w:val="null3"/>
            </w:pPr>
            <w:r>
              <w:rPr>
                <w:rFonts w:ascii="仿宋_GB2312" w:hAnsi="仿宋_GB2312" w:cs="仿宋_GB2312" w:eastAsia="仿宋_GB2312"/>
              </w:rPr>
              <w:t>产品技术参数表 技术参数证明材料.docx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详见附件：技术参数证明材料.docx</w:t>
      </w:r>
    </w:p>
    <w:p>
      <w:pPr>
        <w:pStyle w:val="null3"/>
        <w:ind w:firstLine="960"/>
      </w:pPr>
      <w:r>
        <w:rPr>
          <w:rFonts w:ascii="仿宋_GB2312" w:hAnsi="仿宋_GB2312" w:cs="仿宋_GB2312" w:eastAsia="仿宋_GB2312"/>
        </w:rPr>
        <w:t>详见附件：商务要求.docx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