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版本号：GLD2026-010901Z.1B120260414001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网络安全老旧设备更新项目(二次)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GLD2026-010901Z.1B1</w:t>
      </w:r>
      <w:r>
        <w:br/>
      </w:r>
      <w:r>
        <w:br/>
      </w:r>
      <w:r>
        <w:br/>
      </w:r>
    </w:p>
    <w:p>
      <w:pPr>
        <w:pStyle w:val="null3"/>
        <w:jc w:val="center"/>
        <w:outlineLvl w:val="2"/>
      </w:pPr>
      <w:r>
        <w:rPr>
          <w:rFonts w:ascii="仿宋_GB2312" w:hAnsi="仿宋_GB2312" w:cs="仿宋_GB2312" w:eastAsia="仿宋_GB2312"/>
          <w:sz w:val="28"/>
          <w:b/>
        </w:rPr>
        <w:t>汉中市中心医院</w:t>
      </w:r>
    </w:p>
    <w:p>
      <w:pPr>
        <w:pStyle w:val="null3"/>
        <w:jc w:val="center"/>
        <w:outlineLvl w:val="2"/>
      </w:pPr>
      <w:r>
        <w:rPr>
          <w:rFonts w:ascii="仿宋_GB2312" w:hAnsi="仿宋_GB2312" w:cs="仿宋_GB2312" w:eastAsia="仿宋_GB2312"/>
          <w:sz w:val="28"/>
          <w:b/>
        </w:rPr>
        <w:t>陕西广联达招标有限公司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陕西广联达招标有限公司</w:t>
      </w:r>
      <w:r>
        <w:rPr>
          <w:rFonts w:ascii="仿宋_GB2312" w:hAnsi="仿宋_GB2312" w:cs="仿宋_GB2312" w:eastAsia="仿宋_GB2312"/>
        </w:rPr>
        <w:t>（以下简称“代理机构”）受</w:t>
      </w:r>
      <w:r>
        <w:rPr>
          <w:rFonts w:ascii="仿宋_GB2312" w:hAnsi="仿宋_GB2312" w:cs="仿宋_GB2312" w:eastAsia="仿宋_GB2312"/>
        </w:rPr>
        <w:t>汉中市中心医院</w:t>
      </w:r>
      <w:r>
        <w:rPr>
          <w:rFonts w:ascii="仿宋_GB2312" w:hAnsi="仿宋_GB2312" w:cs="仿宋_GB2312" w:eastAsia="仿宋_GB2312"/>
        </w:rPr>
        <w:t>委托，拟对</w:t>
      </w:r>
      <w:r>
        <w:rPr>
          <w:rFonts w:ascii="仿宋_GB2312" w:hAnsi="仿宋_GB2312" w:cs="仿宋_GB2312" w:eastAsia="仿宋_GB2312"/>
        </w:rPr>
        <w:t>网络安全老旧设备更新项目(二次)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GLD2026-010901Z.1B1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网络安全老旧设备更新项目(二次)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网络安全老旧设备更新项目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营业执照、组织机构代码证、税务登记证（多证合一只提供营业执照，事业单位提供事业单位法人证书，自然人提供本人身份证）合法有效 ；</w:t>
      </w:r>
    </w:p>
    <w:p>
      <w:pPr>
        <w:pStyle w:val="null3"/>
      </w:pPr>
      <w:r>
        <w:rPr>
          <w:rFonts w:ascii="仿宋_GB2312" w:hAnsi="仿宋_GB2312" w:cs="仿宋_GB2312" w:eastAsia="仿宋_GB2312"/>
        </w:rPr>
        <w:t>2、法定代表人授权书：法定代表人授权书（附法定代表人身份证复印件）及被授权人身份证（法定代表人直接参加投标只须提供法定代表人身份证） ；</w:t>
      </w:r>
    </w:p>
    <w:p>
      <w:pPr>
        <w:pStyle w:val="null3"/>
      </w:pPr>
      <w:r>
        <w:rPr>
          <w:rFonts w:ascii="仿宋_GB2312" w:hAnsi="仿宋_GB2312" w:cs="仿宋_GB2312" w:eastAsia="仿宋_GB2312"/>
        </w:rPr>
        <w:t>3、供应商应具备《中华人民共和国政府采购法》第二十二条规定的条件：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)，供应商应按照汉中市财政局《关于全面推行政府采购供应商基本资格条件承诺制的通知》（汉采办采管〔2024〕20号）文件要求，提供加盖公章的《汉中市政府采购供应商资格承诺函》 ；</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汉中市汉台区康复路22号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0916-2682065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陕西广联达招标有限公司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西安经济技术开发区明光路 55号天朗经开中心 25 层 2504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15702908351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代理服务费收费标准：参照国家计委《招标代理服务收费管理暂行办法》(计价格〔2002〕1980号)及国家发展改革委《关于降低部分建设项目收费标准规范收费行为等有关问题的通知 》（发改价格[2011]534号）文件的规定。名称：陕西广联达招标有限公司，开户行：中国银行股份有限公司西安万寿路支行， 账号：1028 4964 6773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汉中市中心医院</w:t>
      </w:r>
      <w:r>
        <w:rPr>
          <w:rFonts w:ascii="仿宋_GB2312" w:hAnsi="仿宋_GB2312" w:cs="仿宋_GB2312" w:eastAsia="仿宋_GB2312"/>
        </w:rPr>
        <w:t>和</w:t>
      </w:r>
      <w:r>
        <w:rPr>
          <w:rFonts w:ascii="仿宋_GB2312" w:hAnsi="仿宋_GB2312" w:cs="仿宋_GB2312" w:eastAsia="仿宋_GB2312"/>
        </w:rPr>
        <w:t>陕西广联达招标有限公司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汉中市中心医院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陕西广联达招标有限公司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陕西广联达招标有限公司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符合国家、行业现行的安全、质量等相关标准规范要求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陕西广联达招标有限公司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陕西广联达招标有限公司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陕西广联达招标有限公司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联系人：杨工</w:t>
      </w:r>
    </w:p>
    <w:p>
      <w:pPr>
        <w:pStyle w:val="null3"/>
      </w:pPr>
      <w:r>
        <w:rPr>
          <w:rFonts w:ascii="仿宋_GB2312" w:hAnsi="仿宋_GB2312" w:cs="仿宋_GB2312" w:eastAsia="仿宋_GB2312"/>
        </w:rPr>
        <w:t>联系电话：15702908351</w:t>
      </w:r>
    </w:p>
    <w:p>
      <w:pPr>
        <w:pStyle w:val="null3"/>
      </w:pPr>
      <w:r>
        <w:rPr>
          <w:rFonts w:ascii="仿宋_GB2312" w:hAnsi="仿宋_GB2312" w:cs="仿宋_GB2312" w:eastAsia="仿宋_GB2312"/>
        </w:rPr>
        <w:t>地址：西安经济技术开发区明光路 55号天朗经开中心 25 层 2504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网络安全老旧设备更新项目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1,800,000.00</w:t>
      </w:r>
    </w:p>
    <w:p>
      <w:pPr>
        <w:pStyle w:val="null3"/>
      </w:pPr>
      <w:r>
        <w:rPr>
          <w:rFonts w:ascii="仿宋_GB2312" w:hAnsi="仿宋_GB2312" w:cs="仿宋_GB2312" w:eastAsia="仿宋_GB2312"/>
        </w:rPr>
        <w:t>采购包最高限价（元）: 1,800,000.00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网络安全老旧设备更新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标的名称：网络安全老旧设备更新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105" w:after="105"/>
              <w:jc w:val="left"/>
              <w:outlineLvl w:val="0"/>
            </w:pPr>
            <w:r>
              <w:rPr>
                <w:rFonts w:ascii="仿宋_GB2312" w:hAnsi="仿宋_GB2312" w:cs="仿宋_GB2312" w:eastAsia="仿宋_GB2312"/>
                <w:sz w:val="28"/>
                <w:b/>
              </w:rPr>
              <w:t>一、项目概述</w:t>
            </w:r>
          </w:p>
          <w:p>
            <w:pPr>
              <w:pStyle w:val="null3"/>
              <w:spacing w:before="105" w:after="105"/>
              <w:ind w:firstLine="480"/>
              <w:jc w:val="both"/>
            </w:pPr>
            <w:r>
              <w:rPr>
                <w:rFonts w:ascii="仿宋_GB2312" w:hAnsi="仿宋_GB2312" w:cs="仿宋_GB2312" w:eastAsia="仿宋_GB2312"/>
                <w:sz w:val="28"/>
              </w:rPr>
              <w:t>汉中市中心医院于</w:t>
            </w:r>
            <w:r>
              <w:rPr>
                <w:rFonts w:ascii="仿宋_GB2312" w:hAnsi="仿宋_GB2312" w:cs="仿宋_GB2312" w:eastAsia="仿宋_GB2312"/>
                <w:sz w:val="28"/>
              </w:rPr>
              <w:t>2019年投入运行的核心安全设备已使用超过6年且都已过维保期限。目前设备性能滞后、系统版本及特征库无法更新，无法有效应对新型网络安全风险和保障业务系统的稳定、可靠运行。</w:t>
            </w:r>
          </w:p>
          <w:p>
            <w:pPr>
              <w:pStyle w:val="null3"/>
              <w:spacing w:before="105" w:after="105"/>
              <w:ind w:firstLine="480"/>
              <w:jc w:val="both"/>
            </w:pPr>
            <w:r>
              <w:rPr>
                <w:rFonts w:ascii="仿宋_GB2312" w:hAnsi="仿宋_GB2312" w:cs="仿宋_GB2312" w:eastAsia="仿宋_GB2312"/>
                <w:sz w:val="28"/>
              </w:rPr>
              <w:t>此次网络安全设备升级改造项目是对医院整体信息系统的安全体系进行重点安全加固和改造设计，同时采用安全可靠的软硬件产品，以满足医院的信息安全目标及国家相关政策和标准的要求，同时为全面提高信息安全管理水平和控制能力打下坚实的基础，实现核心安全设备全面升级换代，构建安全可控的远程运维体系，提升威胁监测、分析、响应效率，确保核心网络设备持续获得有效技术支撑，保障医院关键业务连续性和患者数据安全。</w:t>
            </w:r>
          </w:p>
          <w:p>
            <w:pPr>
              <w:pStyle w:val="null3"/>
            </w:pPr>
            <w:r>
              <w:rPr>
                <w:rFonts w:ascii="仿宋_GB2312" w:hAnsi="仿宋_GB2312" w:cs="仿宋_GB2312" w:eastAsia="仿宋_GB2312"/>
                <w:sz w:val="28"/>
                <w:b/>
              </w:rPr>
              <w:t>二、采购清单</w:t>
            </w:r>
          </w:p>
          <w:p>
            <w:pPr>
              <w:pStyle w:val="null3"/>
            </w:pPr>
            <w:r>
              <w:rPr>
                <w:rFonts w:ascii="仿宋_GB2312" w:hAnsi="仿宋_GB2312" w:cs="仿宋_GB2312" w:eastAsia="仿宋_GB2312"/>
                <w:sz w:val="28"/>
                <w:b/>
              </w:rPr>
              <w:t>1.1、采购清单汇总</w:t>
            </w:r>
          </w:p>
          <w:tbl>
            <w:tblPr>
              <w:tblBorders>
                <w:top w:val="none" w:color="000000" w:sz="4"/>
                <w:left w:val="none" w:color="000000" w:sz="4"/>
                <w:bottom w:val="none" w:color="000000" w:sz="4"/>
                <w:right w:val="none" w:color="000000" w:sz="4"/>
                <w:insideH w:val="none"/>
                <w:insideV w:val="none"/>
              </w:tblBorders>
            </w:tblPr>
            <w:tblGrid>
              <w:gridCol w:w="660"/>
              <w:gridCol w:w="1248"/>
              <w:gridCol w:w="645"/>
            </w:tblGrid>
            <w:tr>
              <w:tc>
                <w:tcPr>
                  <w:tcW w:type="dxa" w:w="6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序号</w:t>
                  </w:r>
                </w:p>
              </w:tc>
              <w:tc>
                <w:tcPr>
                  <w:tcW w:type="dxa" w:w="12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产品名称</w:t>
                  </w:r>
                </w:p>
              </w:tc>
              <w:tc>
                <w:tcPr>
                  <w:tcW w:type="dxa" w:w="6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数量</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1(核心产品）</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专线业务接入防火墙</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1台</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2(核心产品）</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互联网接入防火墙</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1台</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3(核心产品）</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安全监测平台</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1套</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探针</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1台</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零信任</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1台</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6</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Web安全防护系统</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1套</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7</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身份与访问安全管理系统</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1台</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8</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Tap交换机</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2台</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9</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48口接入交换机</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20台</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10</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24口POE交换机</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10台</w:t>
                  </w:r>
                </w:p>
              </w:tc>
            </w:tr>
          </w:tbl>
          <w:p>
            <w:pPr>
              <w:pStyle w:val="null3"/>
            </w:pPr>
            <w:r>
              <w:rPr>
                <w:rFonts w:ascii="仿宋_GB2312" w:hAnsi="仿宋_GB2312" w:cs="仿宋_GB2312" w:eastAsia="仿宋_GB2312"/>
                <w:sz w:val="28"/>
                <w:b/>
              </w:rPr>
              <w:t>1.2、技术参数要求</w:t>
            </w:r>
          </w:p>
          <w:p>
            <w:pPr>
              <w:pStyle w:val="null3"/>
            </w:pPr>
            <w:r>
              <w:rPr>
                <w:rFonts w:ascii="仿宋_GB2312" w:hAnsi="仿宋_GB2312" w:cs="仿宋_GB2312" w:eastAsia="仿宋_GB2312"/>
                <w:sz w:val="28"/>
                <w:b/>
              </w:rPr>
              <w:t>1.2.1、专线业务接入防火墙</w:t>
            </w:r>
          </w:p>
          <w:tbl>
            <w:tblPr>
              <w:tblBorders>
                <w:top w:val="none" w:color="000000" w:sz="4"/>
                <w:left w:val="none" w:color="000000" w:sz="4"/>
                <w:bottom w:val="none" w:color="000000" w:sz="4"/>
                <w:right w:val="none" w:color="000000" w:sz="4"/>
                <w:insideH w:val="none"/>
                <w:insideV w:val="none"/>
              </w:tblBorders>
            </w:tblPr>
            <w:tblGrid>
              <w:gridCol w:w="445"/>
              <w:gridCol w:w="2108"/>
            </w:tblGrid>
            <w:tr>
              <w:tc>
                <w:tcPr>
                  <w:tcW w:type="dxa" w:w="4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指标项</w:t>
                  </w:r>
                </w:p>
              </w:tc>
              <w:tc>
                <w:tcPr>
                  <w:tcW w:type="dxa" w:w="2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参数要求</w:t>
                  </w:r>
                </w:p>
              </w:tc>
            </w:tr>
            <w:tr>
              <w:tc>
                <w:tcPr>
                  <w:tcW w:type="dxa" w:w="4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硬件要求</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配置千兆电口</w:t>
                  </w:r>
                  <w:r>
                    <w:rPr>
                      <w:rFonts w:ascii="仿宋_GB2312" w:hAnsi="仿宋_GB2312" w:cs="仿宋_GB2312" w:eastAsia="仿宋_GB2312"/>
                      <w:sz w:val="28"/>
                    </w:rPr>
                    <w:t>≥10个，万兆光口≥4个，内存≥16G，数据盘≥120G SSD，双电源。</w:t>
                  </w:r>
                </w:p>
              </w:tc>
            </w:tr>
            <w:tr>
              <w:tc>
                <w:tcPr>
                  <w:tcW w:type="dxa" w:w="445"/>
                  <w:vMerge/>
                  <w:tcBorders>
                    <w:top w:val="none" w:color="000000" w:sz="4"/>
                    <w:left w:val="single" w:color="000000" w:sz="4"/>
                    <w:bottom w:val="single" w:color="000000" w:sz="4"/>
                    <w:right w:val="single" w:color="000000" w:sz="4"/>
                  </w:tcBorders>
                </w:tcP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产品核心组件（</w:t>
                  </w:r>
                  <w:r>
                    <w:rPr>
                      <w:rFonts w:ascii="仿宋_GB2312" w:hAnsi="仿宋_GB2312" w:cs="仿宋_GB2312" w:eastAsia="仿宋_GB2312"/>
                      <w:sz w:val="28"/>
                    </w:rPr>
                    <w:t>CPU）及底层操作系统须采用国产化产品实现，满足安全可靠测评。提供</w:t>
                  </w:r>
                  <w:r>
                    <w:rPr>
                      <w:rFonts w:ascii="仿宋_GB2312" w:hAnsi="仿宋_GB2312" w:cs="仿宋_GB2312" w:eastAsia="仿宋_GB2312"/>
                      <w:sz w:val="28"/>
                    </w:rPr>
                    <w:t>以下</w:t>
                  </w:r>
                  <w:r>
                    <w:rPr>
                      <w:rFonts w:ascii="仿宋_GB2312" w:hAnsi="仿宋_GB2312" w:cs="仿宋_GB2312" w:eastAsia="仿宋_GB2312"/>
                      <w:sz w:val="28"/>
                    </w:rPr>
                    <w:t>有效证明材料（任意一项）：</w:t>
                  </w:r>
                </w:p>
                <w:p>
                  <w:pPr>
                    <w:pStyle w:val="null3"/>
                    <w:jc w:val="both"/>
                  </w:pPr>
                  <w:r>
                    <w:rPr>
                      <w:rFonts w:ascii="仿宋_GB2312" w:hAnsi="仿宋_GB2312" w:cs="仿宋_GB2312" w:eastAsia="仿宋_GB2312"/>
                      <w:sz w:val="28"/>
                    </w:rPr>
                    <w:t>1、中国信息安全测评中心网站截图；2、第三方检测机构出具的检测报告；3、所投产品满足国产化自主可控要求的承诺书并加盖投标方公章。</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性能要求</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网络层吞吐量</w:t>
                  </w:r>
                  <w:r>
                    <w:rPr>
                      <w:rFonts w:ascii="仿宋_GB2312" w:hAnsi="仿宋_GB2312" w:cs="仿宋_GB2312" w:eastAsia="仿宋_GB2312"/>
                      <w:sz w:val="28"/>
                    </w:rPr>
                    <w:t>≥40Gbps，IPS吞吐量≥17Gbps，防病毒吞吐量≥17Gbps，并发连接数≥800万。</w:t>
                  </w:r>
                </w:p>
              </w:tc>
            </w:tr>
            <w:tr>
              <w:tc>
                <w:tcPr>
                  <w:tcW w:type="dxa" w:w="4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功能要求</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具备路由模式、透明模式、虚拟网线模式、旁路镜像模式等多种部署方式，适用于现网不同的边界防护需求。（需提供承诺书）</w:t>
                  </w:r>
                </w:p>
              </w:tc>
            </w:tr>
            <w:tr>
              <w:tc>
                <w:tcPr>
                  <w:tcW w:type="dxa" w:w="445"/>
                  <w:vMerge/>
                  <w:tcBorders>
                    <w:top w:val="none" w:color="000000" w:sz="4"/>
                    <w:left w:val="single" w:color="000000" w:sz="4"/>
                    <w:bottom w:val="single" w:color="000000" w:sz="4"/>
                    <w:right w:val="single" w:color="000000" w:sz="4"/>
                  </w:tcBorders>
                </w:tcP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产品应配置入侵防御模块、防病毒网关模块。</w:t>
                  </w:r>
                </w:p>
              </w:tc>
            </w:tr>
            <w:tr>
              <w:tc>
                <w:tcPr>
                  <w:tcW w:type="dxa" w:w="445"/>
                  <w:vMerge/>
                  <w:tcBorders>
                    <w:top w:val="none" w:color="000000" w:sz="4"/>
                    <w:left w:val="single" w:color="000000" w:sz="4"/>
                    <w:bottom w:val="single" w:color="000000" w:sz="4"/>
                    <w:right w:val="single" w:color="000000" w:sz="4"/>
                  </w:tcBorders>
                </w:tcP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具备</w:t>
                  </w:r>
                  <w:r>
                    <w:rPr>
                      <w:rFonts w:ascii="仿宋_GB2312" w:hAnsi="仿宋_GB2312" w:cs="仿宋_GB2312" w:eastAsia="仿宋_GB2312"/>
                      <w:sz w:val="28"/>
                    </w:rPr>
                    <w:t>L2至L7层网络全面防护能力。</w:t>
                  </w:r>
                </w:p>
              </w:tc>
            </w:tr>
            <w:tr>
              <w:tc>
                <w:tcPr>
                  <w:tcW w:type="dxa" w:w="445"/>
                  <w:vMerge/>
                  <w:tcBorders>
                    <w:top w:val="none" w:color="000000" w:sz="4"/>
                    <w:left w:val="single" w:color="000000" w:sz="4"/>
                    <w:bottom w:val="single" w:color="000000" w:sz="4"/>
                    <w:right w:val="single" w:color="000000" w:sz="4"/>
                  </w:tcBorders>
                </w:tcP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具备自动选路的能力，能够通过带宽比例、加权流量、线路优先等算法进行调度。</w:t>
                  </w:r>
                </w:p>
              </w:tc>
            </w:tr>
            <w:tr>
              <w:tc>
                <w:tcPr>
                  <w:tcW w:type="dxa" w:w="445"/>
                  <w:vMerge/>
                  <w:tcBorders>
                    <w:top w:val="none" w:color="000000" w:sz="4"/>
                    <w:left w:val="single" w:color="000000" w:sz="4"/>
                    <w:bottom w:val="single" w:color="000000" w:sz="4"/>
                    <w:right w:val="single" w:color="000000" w:sz="4"/>
                  </w:tcBorders>
                </w:tcP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需支持安全策略有效性分析，提供安全策略优化建议模块。</w:t>
                  </w:r>
                </w:p>
              </w:tc>
            </w:tr>
            <w:tr>
              <w:tc>
                <w:tcPr>
                  <w:tcW w:type="dxa" w:w="445"/>
                  <w:vMerge/>
                  <w:tcBorders>
                    <w:top w:val="none" w:color="000000" w:sz="4"/>
                    <w:left w:val="single" w:color="000000" w:sz="4"/>
                    <w:bottom w:val="single" w:color="000000" w:sz="4"/>
                    <w:right w:val="single" w:color="000000" w:sz="4"/>
                  </w:tcBorders>
                </w:tcP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需具备服务器漏洞扫描行为识别功能，并对扫描源</w:t>
                  </w:r>
                  <w:r>
                    <w:rPr>
                      <w:rFonts w:ascii="仿宋_GB2312" w:hAnsi="仿宋_GB2312" w:cs="仿宋_GB2312" w:eastAsia="仿宋_GB2312"/>
                      <w:sz w:val="28"/>
                    </w:rPr>
                    <w:t>IP进行日志记录和与本次安全监测平台联动封锁的能力。</w:t>
                  </w:r>
                </w:p>
              </w:tc>
            </w:tr>
            <w:tr>
              <w:tc>
                <w:tcPr>
                  <w:tcW w:type="dxa" w:w="445"/>
                  <w:vMerge/>
                  <w:tcBorders>
                    <w:top w:val="none" w:color="000000" w:sz="4"/>
                    <w:left w:val="single" w:color="000000" w:sz="4"/>
                    <w:bottom w:val="single" w:color="000000" w:sz="4"/>
                    <w:right w:val="single" w:color="000000" w:sz="4"/>
                  </w:tcBorders>
                </w:tcP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▲防火墙设备需开放接口确保能接入我院本次采购的安全监测平台。（需提供承诺书）</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维保要求</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五年原厂特征库升级、软件升级及硬件质保服务，需提供原厂售后服务承诺函。</w:t>
                  </w:r>
                </w:p>
              </w:tc>
            </w:tr>
          </w:tbl>
          <w:p>
            <w:pPr>
              <w:pStyle w:val="null3"/>
              <w:ind w:firstLine="480"/>
              <w:jc w:val="both"/>
            </w:pPr>
            <w:r>
              <w:rPr>
                <w:rFonts w:ascii="仿宋_GB2312" w:hAnsi="仿宋_GB2312" w:cs="仿宋_GB2312" w:eastAsia="仿宋_GB2312"/>
                <w:sz w:val="28"/>
                <w:b/>
              </w:rPr>
              <w:t>1.2.2、互联网接入防火墙</w:t>
            </w:r>
          </w:p>
          <w:tbl>
            <w:tblPr>
              <w:tblBorders>
                <w:top w:val="none" w:color="000000" w:sz="4"/>
                <w:left w:val="none" w:color="000000" w:sz="4"/>
                <w:bottom w:val="none" w:color="000000" w:sz="4"/>
                <w:right w:val="none" w:color="000000" w:sz="4"/>
                <w:insideH w:val="none"/>
                <w:insideV w:val="none"/>
              </w:tblBorders>
            </w:tblPr>
            <w:tblGrid>
              <w:gridCol w:w="435"/>
              <w:gridCol w:w="2118"/>
            </w:tblGrid>
            <w:tr>
              <w:tc>
                <w:tcPr>
                  <w:tcW w:type="dxa" w:w="4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指标项</w:t>
                  </w:r>
                </w:p>
              </w:tc>
              <w:tc>
                <w:tcPr>
                  <w:tcW w:type="dxa" w:w="21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参数要求</w:t>
                  </w:r>
                </w:p>
              </w:tc>
            </w:tr>
            <w:tr>
              <w:tc>
                <w:tcPr>
                  <w:tcW w:type="dxa" w:w="4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硬件要求</w:t>
                  </w: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配置千兆电口</w:t>
                  </w:r>
                  <w:r>
                    <w:rPr>
                      <w:rFonts w:ascii="仿宋_GB2312" w:hAnsi="仿宋_GB2312" w:cs="仿宋_GB2312" w:eastAsia="仿宋_GB2312"/>
                      <w:sz w:val="28"/>
                    </w:rPr>
                    <w:t>≥6个，万兆光口≥4个，内存≥16G，数据盘≥120G SSD</w:t>
                  </w:r>
                  <w:r>
                    <w:rPr>
                      <w:rFonts w:ascii="仿宋_GB2312" w:hAnsi="仿宋_GB2312" w:cs="仿宋_GB2312" w:eastAsia="仿宋_GB2312"/>
                      <w:sz w:val="28"/>
                      <w:color w:val="000000"/>
                    </w:rPr>
                    <w:t>。</w:t>
                  </w:r>
                </w:p>
              </w:tc>
            </w:tr>
            <w:tr>
              <w:tc>
                <w:tcPr>
                  <w:tcW w:type="dxa" w:w="435"/>
                  <w:vMerge/>
                  <w:tcBorders>
                    <w:top w:val="none" w:color="000000" w:sz="4"/>
                    <w:left w:val="single" w:color="000000" w:sz="4"/>
                    <w:bottom w:val="single" w:color="000000" w:sz="4"/>
                    <w:right w:val="single" w:color="000000" w:sz="4"/>
                  </w:tcBorders>
                </w:tcP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产品核心组件（</w:t>
                  </w:r>
                  <w:r>
                    <w:rPr>
                      <w:rFonts w:ascii="仿宋_GB2312" w:hAnsi="仿宋_GB2312" w:cs="仿宋_GB2312" w:eastAsia="仿宋_GB2312"/>
                      <w:sz w:val="28"/>
                    </w:rPr>
                    <w:t>CPU）及底层操作系统须采用国产化产品实现，满足安全可靠测评。提供</w:t>
                  </w:r>
                  <w:r>
                    <w:rPr>
                      <w:rFonts w:ascii="仿宋_GB2312" w:hAnsi="仿宋_GB2312" w:cs="仿宋_GB2312" w:eastAsia="仿宋_GB2312"/>
                      <w:sz w:val="28"/>
                    </w:rPr>
                    <w:t>以下</w:t>
                  </w:r>
                  <w:r>
                    <w:rPr>
                      <w:rFonts w:ascii="仿宋_GB2312" w:hAnsi="仿宋_GB2312" w:cs="仿宋_GB2312" w:eastAsia="仿宋_GB2312"/>
                      <w:sz w:val="28"/>
                    </w:rPr>
                    <w:t>有效证明材料（任意一项）：</w:t>
                  </w:r>
                </w:p>
                <w:p>
                  <w:pPr>
                    <w:pStyle w:val="null3"/>
                    <w:jc w:val="both"/>
                  </w:pPr>
                  <w:r>
                    <w:rPr>
                      <w:rFonts w:ascii="仿宋_GB2312" w:hAnsi="仿宋_GB2312" w:cs="仿宋_GB2312" w:eastAsia="仿宋_GB2312"/>
                      <w:sz w:val="28"/>
                    </w:rPr>
                    <w:t>1、中国信息安全测评中心网站截图；2、第三方检测机构出具的检测报告；3、所投产品满足国产化自主可控要求的承诺书并加盖投标方公章。</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性能要求</w:t>
                  </w: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网络层吞吐量</w:t>
                  </w:r>
                  <w:r>
                    <w:rPr>
                      <w:rFonts w:ascii="仿宋_GB2312" w:hAnsi="仿宋_GB2312" w:cs="仿宋_GB2312" w:eastAsia="仿宋_GB2312"/>
                      <w:sz w:val="28"/>
                    </w:rPr>
                    <w:t>≥35Gbps，IPS吞吐量≥15Gbps，防病毒吞吐量≥15Gbps并发连接数≥800万。</w:t>
                  </w:r>
                </w:p>
              </w:tc>
            </w:tr>
            <w:tr>
              <w:tc>
                <w:tcPr>
                  <w:tcW w:type="dxa" w:w="4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功能要求</w:t>
                  </w: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具备路由模式、透明模式、虚拟网线模式、旁路镜像模式等多种部署方式，适用于现网不同的边界防护需求。（需提供承诺书）</w:t>
                  </w:r>
                </w:p>
              </w:tc>
            </w:tr>
            <w:tr>
              <w:tc>
                <w:tcPr>
                  <w:tcW w:type="dxa" w:w="435"/>
                  <w:vMerge/>
                  <w:tcBorders>
                    <w:top w:val="none" w:color="000000" w:sz="4"/>
                    <w:left w:val="single" w:color="000000" w:sz="4"/>
                    <w:bottom w:val="single" w:color="000000" w:sz="4"/>
                    <w:right w:val="single" w:color="000000" w:sz="4"/>
                  </w:tcBorders>
                </w:tcP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产品应配置入侵防御模块、防病毒网关模块。</w:t>
                  </w:r>
                </w:p>
              </w:tc>
            </w:tr>
            <w:tr>
              <w:tc>
                <w:tcPr>
                  <w:tcW w:type="dxa" w:w="435"/>
                  <w:vMerge/>
                  <w:tcBorders>
                    <w:top w:val="none" w:color="000000" w:sz="4"/>
                    <w:left w:val="single" w:color="000000" w:sz="4"/>
                    <w:bottom w:val="single" w:color="000000" w:sz="4"/>
                    <w:right w:val="single" w:color="000000" w:sz="4"/>
                  </w:tcBorders>
                </w:tcP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具备</w:t>
                  </w:r>
                  <w:r>
                    <w:rPr>
                      <w:rFonts w:ascii="仿宋_GB2312" w:hAnsi="仿宋_GB2312" w:cs="仿宋_GB2312" w:eastAsia="仿宋_GB2312"/>
                      <w:sz w:val="28"/>
                    </w:rPr>
                    <w:t>L2至L7层网络全面防护能力。</w:t>
                  </w:r>
                </w:p>
              </w:tc>
            </w:tr>
            <w:tr>
              <w:tc>
                <w:tcPr>
                  <w:tcW w:type="dxa" w:w="435"/>
                  <w:vMerge/>
                  <w:tcBorders>
                    <w:top w:val="none" w:color="000000" w:sz="4"/>
                    <w:left w:val="single" w:color="000000" w:sz="4"/>
                    <w:bottom w:val="single" w:color="000000" w:sz="4"/>
                    <w:right w:val="single" w:color="000000" w:sz="4"/>
                  </w:tcBorders>
                </w:tcP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具备自动选路的能力，能够通过带宽比例、加权流量、线路优先等算法进行调度。</w:t>
                  </w:r>
                </w:p>
              </w:tc>
            </w:tr>
            <w:tr>
              <w:tc>
                <w:tcPr>
                  <w:tcW w:type="dxa" w:w="435"/>
                  <w:vMerge/>
                  <w:tcBorders>
                    <w:top w:val="none" w:color="000000" w:sz="4"/>
                    <w:left w:val="single" w:color="000000" w:sz="4"/>
                    <w:bottom w:val="single" w:color="000000" w:sz="4"/>
                    <w:right w:val="single" w:color="000000" w:sz="4"/>
                  </w:tcBorders>
                </w:tcP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需满足对我单位互联网业务系统进行勒索风险自动化评估，并自动生成防护策略。</w:t>
                  </w:r>
                </w:p>
              </w:tc>
            </w:tr>
            <w:tr>
              <w:tc>
                <w:tcPr>
                  <w:tcW w:type="dxa" w:w="435"/>
                  <w:vMerge/>
                  <w:tcBorders>
                    <w:top w:val="none" w:color="000000" w:sz="4"/>
                    <w:left w:val="single" w:color="000000" w:sz="4"/>
                    <w:bottom w:val="single" w:color="000000" w:sz="4"/>
                    <w:right w:val="single" w:color="000000" w:sz="4"/>
                  </w:tcBorders>
                </w:tcP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需具备服务器漏洞扫描行为识别功能，并对扫描源</w:t>
                  </w:r>
                  <w:r>
                    <w:rPr>
                      <w:rFonts w:ascii="仿宋_GB2312" w:hAnsi="仿宋_GB2312" w:cs="仿宋_GB2312" w:eastAsia="仿宋_GB2312"/>
                      <w:sz w:val="28"/>
                    </w:rPr>
                    <w:t>IP进行日志记录和与本次安全监测平台联动封锁的能力。</w:t>
                  </w:r>
                </w:p>
              </w:tc>
            </w:tr>
            <w:tr>
              <w:tc>
                <w:tcPr>
                  <w:tcW w:type="dxa" w:w="435"/>
                  <w:vMerge/>
                  <w:tcBorders>
                    <w:top w:val="none" w:color="000000" w:sz="4"/>
                    <w:left w:val="single" w:color="000000" w:sz="4"/>
                    <w:bottom w:val="single" w:color="000000" w:sz="4"/>
                    <w:right w:val="single" w:color="000000" w:sz="4"/>
                  </w:tcBorders>
                </w:tcP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支持将云端未知威胁情报探测结果快速同步至防火墙设备进行处置。</w:t>
                  </w:r>
                </w:p>
              </w:tc>
            </w:tr>
            <w:tr>
              <w:tc>
                <w:tcPr>
                  <w:tcW w:type="dxa" w:w="435"/>
                  <w:vMerge/>
                  <w:tcBorders>
                    <w:top w:val="none" w:color="000000" w:sz="4"/>
                    <w:left w:val="single" w:color="000000" w:sz="4"/>
                    <w:bottom w:val="single" w:color="000000" w:sz="4"/>
                    <w:right w:val="single" w:color="000000" w:sz="4"/>
                  </w:tcBorders>
                </w:tcP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可以例外排除特定</w:t>
                  </w:r>
                  <w:r>
                    <w:rPr>
                      <w:rFonts w:ascii="仿宋_GB2312" w:hAnsi="仿宋_GB2312" w:cs="仿宋_GB2312" w:eastAsia="仿宋_GB2312"/>
                      <w:sz w:val="28"/>
                    </w:rPr>
                    <w:t>MD5和URL的病毒文件，针对特定文件不查杀。</w:t>
                  </w:r>
                </w:p>
              </w:tc>
            </w:tr>
            <w:tr>
              <w:tc>
                <w:tcPr>
                  <w:tcW w:type="dxa" w:w="435"/>
                  <w:vMerge/>
                  <w:tcBorders>
                    <w:top w:val="none" w:color="000000" w:sz="4"/>
                    <w:left w:val="single" w:color="000000" w:sz="4"/>
                    <w:bottom w:val="single" w:color="000000" w:sz="4"/>
                    <w:right w:val="single" w:color="000000" w:sz="4"/>
                  </w:tcBorders>
                </w:tcP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▲防火墙设备需开放接口确保能接入我院本次采购的安全监测平台。（需提供承诺书）</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维保要求</w:t>
                  </w: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五年原厂特征库升级、软件升级及硬件质保服务，需提供原厂售后服务承诺函。</w:t>
                  </w:r>
                </w:p>
              </w:tc>
            </w:tr>
          </w:tbl>
          <w:p>
            <w:pPr>
              <w:pStyle w:val="null3"/>
            </w:pPr>
            <w:r>
              <w:rPr>
                <w:rFonts w:ascii="仿宋_GB2312" w:hAnsi="仿宋_GB2312" w:cs="仿宋_GB2312" w:eastAsia="仿宋_GB2312"/>
                <w:sz w:val="28"/>
                <w:b/>
              </w:rPr>
              <w:t>1.2.3、安全监测平台</w:t>
            </w:r>
          </w:p>
          <w:tbl>
            <w:tblPr>
              <w:tblBorders>
                <w:top w:val="none" w:color="000000" w:sz="4"/>
                <w:left w:val="none" w:color="000000" w:sz="4"/>
                <w:bottom w:val="none" w:color="000000" w:sz="4"/>
                <w:right w:val="none" w:color="000000" w:sz="4"/>
                <w:insideH w:val="none"/>
                <w:insideV w:val="none"/>
              </w:tblBorders>
            </w:tblPr>
            <w:tblGrid>
              <w:gridCol w:w="447"/>
              <w:gridCol w:w="2106"/>
            </w:tblGrid>
            <w:tr>
              <w:tc>
                <w:tcPr>
                  <w:tcW w:type="dxa" w:w="4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指标项</w:t>
                  </w:r>
                </w:p>
              </w:tc>
              <w:tc>
                <w:tcPr>
                  <w:tcW w:type="dxa" w:w="21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参数要求</w:t>
                  </w:r>
                </w:p>
              </w:tc>
            </w:tr>
            <w:tr>
              <w:tc>
                <w:tcPr>
                  <w:tcW w:type="dxa" w:w="4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硬件要求</w:t>
                  </w:r>
                </w:p>
              </w:tc>
              <w:tc>
                <w:tcPr>
                  <w:tcW w:type="dxa" w:w="2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提供虚拟化环境部署软件，包括相应的软件及硬件，本次安全监测平台为软硬件解耦架构，提供不少于</w:t>
                  </w:r>
                  <w:r>
                    <w:rPr>
                      <w:rFonts w:ascii="仿宋_GB2312" w:hAnsi="仿宋_GB2312" w:cs="仿宋_GB2312" w:eastAsia="仿宋_GB2312"/>
                      <w:sz w:val="28"/>
                    </w:rPr>
                    <w:t>3台服务器组建集群。</w:t>
                  </w:r>
                </w:p>
              </w:tc>
            </w:tr>
            <w:tr>
              <w:tc>
                <w:tcPr>
                  <w:tcW w:type="dxa" w:w="447"/>
                  <w:vMerge/>
                  <w:tcBorders>
                    <w:top w:val="none" w:color="000000" w:sz="4"/>
                    <w:left w:val="single" w:color="000000" w:sz="4"/>
                    <w:bottom w:val="single" w:color="000000" w:sz="4"/>
                    <w:right w:val="single" w:color="000000" w:sz="4"/>
                  </w:tcBorders>
                </w:tcPr>
                <w:p/>
              </w:tc>
              <w:tc>
                <w:tcPr>
                  <w:tcW w:type="dxa" w:w="2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单台设备配置</w:t>
                  </w:r>
                  <w:r>
                    <w:rPr>
                      <w:rFonts w:ascii="仿宋_GB2312" w:hAnsi="仿宋_GB2312" w:cs="仿宋_GB2312" w:eastAsia="仿宋_GB2312"/>
                      <w:sz w:val="28"/>
                    </w:rPr>
                    <w:t>≥2颗CPU,主频≥2.6GHZ，处理核心≥32C，内存≥8*32GB，系统盘</w:t>
                  </w:r>
                  <w:r>
                    <w:rPr>
                      <w:rFonts w:ascii="仿宋_GB2312" w:hAnsi="仿宋_GB2312" w:cs="仿宋_GB2312" w:eastAsia="仿宋_GB2312"/>
                      <w:sz w:val="28"/>
                      <w:color w:val="000000"/>
                    </w:rPr>
                    <w:t>≥2*480GB SATA SSD</w:t>
                  </w:r>
                  <w:r>
                    <w:rPr>
                      <w:rFonts w:ascii="仿宋_GB2312" w:hAnsi="仿宋_GB2312" w:cs="仿宋_GB2312" w:eastAsia="仿宋_GB2312"/>
                      <w:sz w:val="28"/>
                    </w:rPr>
                    <w:t>，数据盘</w:t>
                  </w:r>
                  <w:r>
                    <w:rPr>
                      <w:rFonts w:ascii="仿宋_GB2312" w:hAnsi="仿宋_GB2312" w:cs="仿宋_GB2312" w:eastAsia="仿宋_GB2312"/>
                      <w:sz w:val="28"/>
                    </w:rPr>
                    <w:t>≥8*4TB，千兆电口≥8个，万兆光口≥4个，冗余电源。</w:t>
                  </w:r>
                </w:p>
              </w:tc>
            </w:tr>
            <w:tr>
              <w:tc>
                <w:tcPr>
                  <w:tcW w:type="dxa" w:w="447"/>
                  <w:vMerge/>
                  <w:tcBorders>
                    <w:top w:val="none" w:color="000000" w:sz="4"/>
                    <w:left w:val="single" w:color="000000" w:sz="4"/>
                    <w:bottom w:val="single" w:color="000000" w:sz="4"/>
                    <w:right w:val="single" w:color="000000" w:sz="4"/>
                  </w:tcBorders>
                </w:tcPr>
                <w:p/>
              </w:tc>
              <w:tc>
                <w:tcPr>
                  <w:tcW w:type="dxa" w:w="2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产品核心组件（</w:t>
                  </w:r>
                  <w:r>
                    <w:rPr>
                      <w:rFonts w:ascii="仿宋_GB2312" w:hAnsi="仿宋_GB2312" w:cs="仿宋_GB2312" w:eastAsia="仿宋_GB2312"/>
                      <w:sz w:val="28"/>
                    </w:rPr>
                    <w:t>CPU）及底层操作系统须采用国产化产品实现，满足安全可靠测评。提供</w:t>
                  </w:r>
                  <w:r>
                    <w:rPr>
                      <w:rFonts w:ascii="仿宋_GB2312" w:hAnsi="仿宋_GB2312" w:cs="仿宋_GB2312" w:eastAsia="仿宋_GB2312"/>
                      <w:sz w:val="28"/>
                    </w:rPr>
                    <w:t>以下</w:t>
                  </w:r>
                  <w:r>
                    <w:rPr>
                      <w:rFonts w:ascii="仿宋_GB2312" w:hAnsi="仿宋_GB2312" w:cs="仿宋_GB2312" w:eastAsia="仿宋_GB2312"/>
                      <w:sz w:val="28"/>
                    </w:rPr>
                    <w:t>有效证明材料（任意一项）：</w:t>
                  </w:r>
                </w:p>
                <w:p>
                  <w:pPr>
                    <w:pStyle w:val="null3"/>
                    <w:jc w:val="both"/>
                  </w:pPr>
                  <w:r>
                    <w:rPr>
                      <w:rFonts w:ascii="仿宋_GB2312" w:hAnsi="仿宋_GB2312" w:cs="仿宋_GB2312" w:eastAsia="仿宋_GB2312"/>
                      <w:sz w:val="28"/>
                    </w:rPr>
                    <w:t>1、中国信息安全测评中心网站截图；2、第三方检测机构出具的检测报告；3、所投产品满足国产化自主可控要求的承诺书并加盖投标方公章。</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配置要求</w:t>
                  </w:r>
                </w:p>
              </w:tc>
              <w:tc>
                <w:tcPr>
                  <w:tcW w:type="dxa" w:w="2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▲提供采购方现有第三方设备日志收集能力授权，可采集现网核心交换机、桌管软件、准入软件、WAF、IPS、杀毒软件等日志进行分析，应具有网端融合的威胁检测与响应能力。（需提供承诺书）</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告警降噪</w:t>
                  </w:r>
                </w:p>
              </w:tc>
              <w:tc>
                <w:tcPr>
                  <w:tcW w:type="dxa" w:w="2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具备日志同源告警聚合、多源告警融合、业务误报判定能力。</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威胁定性</w:t>
                  </w:r>
                </w:p>
              </w:tc>
              <w:tc>
                <w:tcPr>
                  <w:tcW w:type="dxa" w:w="2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具备对威胁进行深度分析及定性的能力，并能够关联各类设备的安全事件来还原事件攻击链。</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检测分析</w:t>
                  </w:r>
                </w:p>
              </w:tc>
              <w:tc>
                <w:tcPr>
                  <w:tcW w:type="dxa" w:w="2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支持将不同阶段、不同位置的安全事件进行聚合，并展示举证字段内容。</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关联分析</w:t>
                  </w:r>
                </w:p>
              </w:tc>
              <w:tc>
                <w:tcPr>
                  <w:tcW w:type="dxa" w:w="2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具备通过安全事件详情查看攻击流程，并将安全事件按照多种视角进行安全分析。</w:t>
                  </w:r>
                </w:p>
              </w:tc>
            </w:tr>
            <w:tr>
              <w:tc>
                <w:tcPr>
                  <w:tcW w:type="dxa" w:w="4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联动处置</w:t>
                  </w:r>
                </w:p>
              </w:tc>
              <w:tc>
                <w:tcPr>
                  <w:tcW w:type="dxa" w:w="2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▲要与我院</w:t>
                  </w:r>
                  <w:r>
                    <w:rPr>
                      <w:rFonts w:ascii="仿宋_GB2312" w:hAnsi="仿宋_GB2312" w:cs="仿宋_GB2312" w:eastAsia="仿宋_GB2312"/>
                      <w:sz w:val="28"/>
                      <w:color w:val="000000"/>
                    </w:rPr>
                    <w:t>现网安全设备对接实现场景化防护，可在联动策略中添加网关设备、杀毒软件、准入设备</w:t>
                  </w:r>
                  <w:r>
                    <w:rPr>
                      <w:rFonts w:ascii="仿宋_GB2312" w:hAnsi="仿宋_GB2312" w:cs="仿宋_GB2312" w:eastAsia="仿宋_GB2312"/>
                      <w:sz w:val="28"/>
                    </w:rPr>
                    <w:t>等，具备快速对</w:t>
                  </w:r>
                  <w:r>
                    <w:rPr>
                      <w:rFonts w:ascii="仿宋_GB2312" w:hAnsi="仿宋_GB2312" w:cs="仿宋_GB2312" w:eastAsia="仿宋_GB2312"/>
                      <w:sz w:val="28"/>
                    </w:rPr>
                    <w:t>IP进行一键封堵能力。（需提供承诺书）</w:t>
                  </w:r>
                </w:p>
              </w:tc>
            </w:tr>
            <w:tr>
              <w:tc>
                <w:tcPr>
                  <w:tcW w:type="dxa" w:w="447"/>
                  <w:vMerge/>
                  <w:tcBorders>
                    <w:top w:val="none" w:color="000000" w:sz="4"/>
                    <w:left w:val="single" w:color="000000" w:sz="4"/>
                    <w:bottom w:val="single" w:color="000000" w:sz="4"/>
                    <w:right w:val="single" w:color="000000" w:sz="4"/>
                  </w:tcBorders>
                </w:tcPr>
                <w:p/>
              </w:tc>
              <w:tc>
                <w:tcPr>
                  <w:tcW w:type="dxa" w:w="2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▲要与我院现有网络安全托管服务实现对接，能够将告警事件同步于云端，进行研判分析，实现7*24小时托管。（需提供承诺书）</w:t>
                  </w:r>
                </w:p>
              </w:tc>
            </w:tr>
            <w:tr>
              <w:tc>
                <w:tcPr>
                  <w:tcW w:type="dxa" w:w="447"/>
                  <w:vMerge/>
                  <w:tcBorders>
                    <w:top w:val="none" w:color="000000" w:sz="4"/>
                    <w:left w:val="single" w:color="000000" w:sz="4"/>
                    <w:bottom w:val="single" w:color="000000" w:sz="4"/>
                    <w:right w:val="single" w:color="000000" w:sz="4"/>
                  </w:tcBorders>
                </w:tcPr>
                <w:p/>
              </w:tc>
              <w:tc>
                <w:tcPr>
                  <w:tcW w:type="dxa" w:w="2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▲具备通过微信小程序、支付宝小程序或OA推送内网安全事件、热点漏洞并实现安全事件处置的功能。</w:t>
                  </w:r>
                </w:p>
              </w:tc>
            </w:tr>
            <w:tr>
              <w:tc>
                <w:tcPr>
                  <w:tcW w:type="dxa" w:w="4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可视化能力</w:t>
                  </w:r>
                </w:p>
              </w:tc>
              <w:tc>
                <w:tcPr>
                  <w:tcW w:type="dxa" w:w="2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监控内网发生安全告警的情况，对近期网络安全行业中发生的热点流行告警进行实时监控，快速感知内网安全状况。</w:t>
                  </w:r>
                </w:p>
              </w:tc>
            </w:tr>
            <w:tr>
              <w:tc>
                <w:tcPr>
                  <w:tcW w:type="dxa" w:w="447"/>
                  <w:vMerge/>
                  <w:tcBorders>
                    <w:top w:val="none" w:color="000000" w:sz="4"/>
                    <w:left w:val="single" w:color="000000" w:sz="4"/>
                    <w:bottom w:val="single" w:color="000000" w:sz="4"/>
                    <w:right w:val="single" w:color="000000" w:sz="4"/>
                  </w:tcBorders>
                </w:tcPr>
                <w:p/>
              </w:tc>
              <w:tc>
                <w:tcPr>
                  <w:tcW w:type="dxa" w:w="2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提供对采购人现有日志采集设备、联动处置设备的平台可视化。（需提供承诺书）</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威胁模拟</w:t>
                  </w:r>
                </w:p>
              </w:tc>
              <w:tc>
                <w:tcPr>
                  <w:tcW w:type="dxa" w:w="2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支持开展模拟演练。</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维保要求</w:t>
                  </w:r>
                </w:p>
              </w:tc>
              <w:tc>
                <w:tcPr>
                  <w:tcW w:type="dxa" w:w="2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五年原厂特征库升级、软件升级及硬件质保服务，需提供原厂售后服务承诺函。</w:t>
                  </w:r>
                </w:p>
              </w:tc>
            </w:tr>
          </w:tbl>
          <w:p>
            <w:pPr>
              <w:pStyle w:val="null3"/>
            </w:pPr>
            <w:r>
              <w:rPr>
                <w:rFonts w:ascii="仿宋_GB2312" w:hAnsi="仿宋_GB2312" w:cs="仿宋_GB2312" w:eastAsia="仿宋_GB2312"/>
                <w:sz w:val="28"/>
                <w:b/>
              </w:rPr>
              <w:t>1.2.4、探针</w:t>
            </w:r>
          </w:p>
          <w:tbl>
            <w:tblPr>
              <w:tblBorders>
                <w:top w:val="none" w:color="000000" w:sz="4"/>
                <w:left w:val="none" w:color="000000" w:sz="4"/>
                <w:bottom w:val="none" w:color="000000" w:sz="4"/>
                <w:right w:val="none" w:color="000000" w:sz="4"/>
                <w:insideH w:val="none"/>
                <w:insideV w:val="none"/>
              </w:tblBorders>
            </w:tblPr>
            <w:tblGrid>
              <w:gridCol w:w="443"/>
              <w:gridCol w:w="2110"/>
            </w:tblGrid>
            <w:tr>
              <w:tc>
                <w:tcPr>
                  <w:tcW w:type="dxa" w:w="4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指标项</w:t>
                  </w:r>
                </w:p>
              </w:tc>
              <w:tc>
                <w:tcPr>
                  <w:tcW w:type="dxa" w:w="21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参数要求</w:t>
                  </w:r>
                </w:p>
              </w:tc>
            </w:tr>
            <w:tr>
              <w:tc>
                <w:tcPr>
                  <w:tcW w:type="dxa" w:w="4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硬件要求</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配置千兆电口</w:t>
                  </w:r>
                  <w:r>
                    <w:rPr>
                      <w:rFonts w:ascii="仿宋_GB2312" w:hAnsi="仿宋_GB2312" w:cs="仿宋_GB2312" w:eastAsia="仿宋_GB2312"/>
                      <w:sz w:val="28"/>
                    </w:rPr>
                    <w:t>≥6个，万兆光口≥2个，内存≥16G，硬盘≥480G SSD。</w:t>
                  </w:r>
                </w:p>
              </w:tc>
            </w:tr>
            <w:tr>
              <w:tc>
                <w:tcPr>
                  <w:tcW w:type="dxa" w:w="443"/>
                  <w:vMerge/>
                  <w:tcBorders>
                    <w:top w:val="none" w:color="000000" w:sz="4"/>
                    <w:left w:val="single" w:color="000000" w:sz="4"/>
                    <w:bottom w:val="single" w:color="000000" w:sz="4"/>
                    <w:right w:val="single" w:color="000000" w:sz="4"/>
                  </w:tcBorders>
                </w:tcP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产品核心组件（</w:t>
                  </w:r>
                  <w:r>
                    <w:rPr>
                      <w:rFonts w:ascii="仿宋_GB2312" w:hAnsi="仿宋_GB2312" w:cs="仿宋_GB2312" w:eastAsia="仿宋_GB2312"/>
                      <w:sz w:val="28"/>
                    </w:rPr>
                    <w:t>CPU）及底层操作系统须采用国产化产品实现，满足安全可靠测评。提供</w:t>
                  </w:r>
                  <w:r>
                    <w:rPr>
                      <w:rFonts w:ascii="仿宋_GB2312" w:hAnsi="仿宋_GB2312" w:cs="仿宋_GB2312" w:eastAsia="仿宋_GB2312"/>
                      <w:sz w:val="28"/>
                    </w:rPr>
                    <w:t>以下</w:t>
                  </w:r>
                  <w:r>
                    <w:rPr>
                      <w:rFonts w:ascii="仿宋_GB2312" w:hAnsi="仿宋_GB2312" w:cs="仿宋_GB2312" w:eastAsia="仿宋_GB2312"/>
                      <w:sz w:val="28"/>
                    </w:rPr>
                    <w:t>有效证明材料（任意一项）：</w:t>
                  </w:r>
                </w:p>
                <w:p>
                  <w:pPr>
                    <w:pStyle w:val="null3"/>
                    <w:jc w:val="both"/>
                  </w:pPr>
                  <w:r>
                    <w:rPr>
                      <w:rFonts w:ascii="仿宋_GB2312" w:hAnsi="仿宋_GB2312" w:cs="仿宋_GB2312" w:eastAsia="仿宋_GB2312"/>
                      <w:sz w:val="28"/>
                    </w:rPr>
                    <w:t>1、中国信息安全测评中心网站截图；2、第三方检测机构出具的检测报告；3、所投产品满足国产化自主可控要求的承诺书并加盖投标方公章。</w:t>
                  </w:r>
                </w:p>
              </w:tc>
            </w:tr>
            <w:tr>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性能要求</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网络层吞吐量</w:t>
                  </w:r>
                  <w:r>
                    <w:rPr>
                      <w:rFonts w:ascii="仿宋_GB2312" w:hAnsi="仿宋_GB2312" w:cs="仿宋_GB2312" w:eastAsia="仿宋_GB2312"/>
                      <w:sz w:val="28"/>
                    </w:rPr>
                    <w:t>≥3Gbps，应用层吞吐量≥1.2Gbps。</w:t>
                  </w:r>
                </w:p>
              </w:tc>
            </w:tr>
            <w:tr>
              <w:tc>
                <w:tcPr>
                  <w:tcW w:type="dxa" w:w="4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功能要求</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支持旁路部署，具备接入多个源数据的独立镜像接口。</w:t>
                  </w:r>
                </w:p>
              </w:tc>
            </w:tr>
            <w:tr>
              <w:tc>
                <w:tcPr>
                  <w:tcW w:type="dxa" w:w="443"/>
                  <w:vMerge/>
                  <w:tcBorders>
                    <w:top w:val="none" w:color="000000" w:sz="4"/>
                    <w:left w:val="single" w:color="000000" w:sz="4"/>
                    <w:bottom w:val="single" w:color="000000" w:sz="4"/>
                    <w:right w:val="single" w:color="000000" w:sz="4"/>
                  </w:tcBorders>
                </w:tcP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支持可视化界面展示系统使用资源与接口状态、探针吞吐量等信息。</w:t>
                  </w:r>
                </w:p>
              </w:tc>
            </w:tr>
            <w:tr>
              <w:tc>
                <w:tcPr>
                  <w:tcW w:type="dxa" w:w="443"/>
                  <w:vMerge/>
                  <w:tcBorders>
                    <w:top w:val="none" w:color="000000" w:sz="4"/>
                    <w:left w:val="single" w:color="000000" w:sz="4"/>
                    <w:bottom w:val="single" w:color="000000" w:sz="4"/>
                    <w:right w:val="single" w:color="000000" w:sz="4"/>
                  </w:tcBorders>
                </w:tcP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支持自动化识别内部服务器及对应的开放端口。</w:t>
                  </w:r>
                </w:p>
              </w:tc>
            </w:tr>
            <w:tr>
              <w:tc>
                <w:tcPr>
                  <w:tcW w:type="dxa" w:w="443"/>
                  <w:vMerge/>
                  <w:tcBorders>
                    <w:top w:val="none" w:color="000000" w:sz="4"/>
                    <w:left w:val="single" w:color="000000" w:sz="4"/>
                    <w:bottom w:val="single" w:color="000000" w:sz="4"/>
                    <w:right w:val="single" w:color="000000" w:sz="4"/>
                  </w:tcBorders>
                </w:tcP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支持配置违规访问策略；支持检测识别网站攻击、漏洞利用、弱口令等攻击手段。</w:t>
                  </w:r>
                </w:p>
              </w:tc>
            </w:tr>
            <w:tr>
              <w:tc>
                <w:tcPr>
                  <w:tcW w:type="dxa" w:w="443"/>
                  <w:vMerge/>
                  <w:tcBorders>
                    <w:top w:val="none" w:color="000000" w:sz="4"/>
                    <w:left w:val="single" w:color="000000" w:sz="4"/>
                    <w:bottom w:val="single" w:color="000000" w:sz="4"/>
                    <w:right w:val="single" w:color="000000" w:sz="4"/>
                  </w:tcBorders>
                </w:tcP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产品应对管理员进行权限细化，设置不同类型管理员，满足医院安全合规要求。</w:t>
                  </w:r>
                </w:p>
              </w:tc>
            </w:tr>
            <w:tr>
              <w:tc>
                <w:tcPr>
                  <w:tcW w:type="dxa" w:w="443"/>
                  <w:vMerge/>
                  <w:tcBorders>
                    <w:top w:val="none" w:color="000000" w:sz="4"/>
                    <w:left w:val="single" w:color="000000" w:sz="4"/>
                    <w:bottom w:val="single" w:color="000000" w:sz="4"/>
                    <w:right w:val="single" w:color="000000" w:sz="4"/>
                  </w:tcBorders>
                </w:tcP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支持针对数据流量的自动化抓包分析。</w:t>
                  </w:r>
                </w:p>
              </w:tc>
            </w:tr>
            <w:tr>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维保要求</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五年原厂特征库升级、软件升级及硬件质保服务，需提供原厂售后服务承诺函。</w:t>
                  </w:r>
                </w:p>
              </w:tc>
            </w:tr>
          </w:tbl>
          <w:p>
            <w:pPr>
              <w:pStyle w:val="null3"/>
            </w:pPr>
            <w:r>
              <w:rPr>
                <w:rFonts w:ascii="仿宋_GB2312" w:hAnsi="仿宋_GB2312" w:cs="仿宋_GB2312" w:eastAsia="仿宋_GB2312"/>
                <w:sz w:val="28"/>
                <w:b/>
              </w:rPr>
              <w:t>1.2.5、零信任</w:t>
            </w:r>
          </w:p>
          <w:tbl>
            <w:tblPr>
              <w:tblBorders>
                <w:top w:val="none" w:color="000000" w:sz="4"/>
                <w:left w:val="none" w:color="000000" w:sz="4"/>
                <w:bottom w:val="none" w:color="000000" w:sz="4"/>
                <w:right w:val="none" w:color="000000" w:sz="4"/>
                <w:insideH w:val="none"/>
                <w:insideV w:val="none"/>
              </w:tblBorders>
            </w:tblPr>
            <w:tblGrid>
              <w:gridCol w:w="447"/>
              <w:gridCol w:w="2106"/>
            </w:tblGrid>
            <w:tr>
              <w:tc>
                <w:tcPr>
                  <w:tcW w:type="dxa" w:w="4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指标项</w:t>
                  </w:r>
                </w:p>
              </w:tc>
              <w:tc>
                <w:tcPr>
                  <w:tcW w:type="dxa" w:w="21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参数要求</w:t>
                  </w:r>
                </w:p>
              </w:tc>
            </w:tr>
            <w:tr>
              <w:tc>
                <w:tcPr>
                  <w:tcW w:type="dxa" w:w="4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硬件要求</w:t>
                  </w:r>
                </w:p>
              </w:tc>
              <w:tc>
                <w:tcPr>
                  <w:tcW w:type="dxa" w:w="2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配置千兆电口</w:t>
                  </w:r>
                  <w:r>
                    <w:rPr>
                      <w:rFonts w:ascii="仿宋_GB2312" w:hAnsi="仿宋_GB2312" w:cs="仿宋_GB2312" w:eastAsia="仿宋_GB2312"/>
                      <w:sz w:val="28"/>
                    </w:rPr>
                    <w:t>≥6个，千兆光口≥4个，内存≥16G，硬盘≥120G SSD。</w:t>
                  </w:r>
                </w:p>
              </w:tc>
            </w:tr>
            <w:tr>
              <w:tc>
                <w:tcPr>
                  <w:tcW w:type="dxa" w:w="447"/>
                  <w:vMerge/>
                  <w:tcBorders>
                    <w:top w:val="none" w:color="000000" w:sz="4"/>
                    <w:left w:val="single" w:color="000000" w:sz="4"/>
                    <w:bottom w:val="single" w:color="000000" w:sz="4"/>
                    <w:right w:val="single" w:color="000000" w:sz="4"/>
                  </w:tcBorders>
                </w:tcPr>
                <w:p/>
              </w:tc>
              <w:tc>
                <w:tcPr>
                  <w:tcW w:type="dxa" w:w="2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产品核心组件（</w:t>
                  </w:r>
                  <w:r>
                    <w:rPr>
                      <w:rFonts w:ascii="仿宋_GB2312" w:hAnsi="仿宋_GB2312" w:cs="仿宋_GB2312" w:eastAsia="仿宋_GB2312"/>
                      <w:sz w:val="28"/>
                    </w:rPr>
                    <w:t>CPU）及底层操作系统须采用国产化产品实现，满足安全可靠测评。提供</w:t>
                  </w:r>
                  <w:r>
                    <w:rPr>
                      <w:rFonts w:ascii="仿宋_GB2312" w:hAnsi="仿宋_GB2312" w:cs="仿宋_GB2312" w:eastAsia="仿宋_GB2312"/>
                      <w:sz w:val="28"/>
                    </w:rPr>
                    <w:t>以下</w:t>
                  </w:r>
                  <w:r>
                    <w:rPr>
                      <w:rFonts w:ascii="仿宋_GB2312" w:hAnsi="仿宋_GB2312" w:cs="仿宋_GB2312" w:eastAsia="仿宋_GB2312"/>
                      <w:sz w:val="28"/>
                    </w:rPr>
                    <w:t>有效证明材料（任意一项）：</w:t>
                  </w:r>
                </w:p>
                <w:p>
                  <w:pPr>
                    <w:pStyle w:val="null3"/>
                    <w:jc w:val="both"/>
                  </w:pPr>
                  <w:r>
                    <w:rPr>
                      <w:rFonts w:ascii="仿宋_GB2312" w:hAnsi="仿宋_GB2312" w:cs="仿宋_GB2312" w:eastAsia="仿宋_GB2312"/>
                      <w:sz w:val="28"/>
                    </w:rPr>
                    <w:t>1、中国信息安全测评中心网站截图；2、第三方检测机构出具的检测报告；3、所投产品满足国产化自主可控要求的承诺书并加盖投标方公章。</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性能要求</w:t>
                  </w:r>
                </w:p>
              </w:tc>
              <w:tc>
                <w:tcPr>
                  <w:tcW w:type="dxa" w:w="2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支持用户数</w:t>
                  </w:r>
                  <w:r>
                    <w:rPr>
                      <w:rFonts w:ascii="仿宋_GB2312" w:hAnsi="仿宋_GB2312" w:cs="仿宋_GB2312" w:eastAsia="仿宋_GB2312"/>
                      <w:sz w:val="28"/>
                    </w:rPr>
                    <w:t>≥600，IPsec最大加密流量≥100Mbps,SSL最大加密流量300Mbps，支持≥30个用户并发数。</w:t>
                  </w:r>
                </w:p>
              </w:tc>
            </w:tr>
            <w:tr>
              <w:tc>
                <w:tcPr>
                  <w:tcW w:type="dxa" w:w="4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功能要求</w:t>
                  </w:r>
                </w:p>
              </w:tc>
              <w:tc>
                <w:tcPr>
                  <w:tcW w:type="dxa" w:w="2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▲支持通过微信小程序、支付宝小程序或OA等方式实现运维人员的自主申请和网络管理员的便捷审批。</w:t>
                  </w:r>
                </w:p>
              </w:tc>
            </w:tr>
            <w:tr>
              <w:tc>
                <w:tcPr>
                  <w:tcW w:type="dxa" w:w="447"/>
                  <w:vMerge/>
                  <w:tcBorders>
                    <w:top w:val="none" w:color="000000" w:sz="4"/>
                    <w:left w:val="single" w:color="000000" w:sz="4"/>
                    <w:bottom w:val="single" w:color="000000" w:sz="4"/>
                    <w:right w:val="single" w:color="000000" w:sz="4"/>
                  </w:tcBorders>
                </w:tcPr>
                <w:p/>
              </w:tc>
              <w:tc>
                <w:tcPr>
                  <w:tcW w:type="dxa" w:w="2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具备配置动态访问规则，支持个性化配置</w:t>
                  </w:r>
                  <w:r>
                    <w:rPr>
                      <w:rFonts w:ascii="仿宋_GB2312" w:hAnsi="仿宋_GB2312" w:cs="仿宋_GB2312" w:eastAsia="仿宋_GB2312"/>
                      <w:sz w:val="28"/>
                    </w:rPr>
                    <w:t>ACL规则，支持自定义配置终端环境、用户身份、处置动作。</w:t>
                  </w:r>
                </w:p>
              </w:tc>
            </w:tr>
            <w:tr>
              <w:tc>
                <w:tcPr>
                  <w:tcW w:type="dxa" w:w="447"/>
                  <w:vMerge/>
                  <w:tcBorders>
                    <w:top w:val="none" w:color="000000" w:sz="4"/>
                    <w:left w:val="single" w:color="000000" w:sz="4"/>
                    <w:bottom w:val="single" w:color="000000" w:sz="4"/>
                    <w:right w:val="single" w:color="000000" w:sz="4"/>
                  </w:tcBorders>
                </w:tcPr>
                <w:p/>
              </w:tc>
              <w:tc>
                <w:tcPr>
                  <w:tcW w:type="dxa" w:w="2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系统应支持</w:t>
                  </w:r>
                  <w:r>
                    <w:rPr>
                      <w:rFonts w:ascii="仿宋_GB2312" w:hAnsi="仿宋_GB2312" w:cs="仿宋_GB2312" w:eastAsia="仿宋_GB2312"/>
                      <w:sz w:val="28"/>
                    </w:rPr>
                    <w:t>WEB应用水印，支持禁止复制、打印、下载、浏览器调试等高危操作。</w:t>
                  </w:r>
                </w:p>
              </w:tc>
            </w:tr>
            <w:tr>
              <w:tc>
                <w:tcPr>
                  <w:tcW w:type="dxa" w:w="447"/>
                  <w:vMerge/>
                  <w:tcBorders>
                    <w:top w:val="none" w:color="000000" w:sz="4"/>
                    <w:left w:val="single" w:color="000000" w:sz="4"/>
                    <w:bottom w:val="single" w:color="000000" w:sz="4"/>
                    <w:right w:val="single" w:color="000000" w:sz="4"/>
                  </w:tcBorders>
                </w:tcPr>
                <w:p/>
              </w:tc>
              <w:tc>
                <w:tcPr>
                  <w:tcW w:type="dxa" w:w="2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客户端应兼容统信、麒麟等主流国产化操作系统，</w:t>
                  </w:r>
                  <w:r>
                    <w:rPr>
                      <w:rFonts w:ascii="仿宋_GB2312" w:hAnsi="仿宋_GB2312" w:cs="仿宋_GB2312" w:eastAsia="仿宋_GB2312"/>
                      <w:sz w:val="28"/>
                    </w:rPr>
                    <w:t>C86、ARM等架构的国产化芯片。</w:t>
                  </w:r>
                </w:p>
              </w:tc>
            </w:tr>
            <w:tr>
              <w:tc>
                <w:tcPr>
                  <w:tcW w:type="dxa" w:w="447"/>
                  <w:vMerge/>
                  <w:tcBorders>
                    <w:top w:val="none" w:color="000000" w:sz="4"/>
                    <w:left w:val="single" w:color="000000" w:sz="4"/>
                    <w:bottom w:val="single" w:color="000000" w:sz="4"/>
                    <w:right w:val="single" w:color="000000" w:sz="4"/>
                  </w:tcBorders>
                </w:tcPr>
                <w:p/>
              </w:tc>
              <w:tc>
                <w:tcPr>
                  <w:tcW w:type="dxa" w:w="2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支持基于优化</w:t>
                  </w:r>
                  <w:r>
                    <w:rPr>
                      <w:rFonts w:ascii="仿宋_GB2312" w:hAnsi="仿宋_GB2312" w:cs="仿宋_GB2312" w:eastAsia="仿宋_GB2312"/>
                      <w:sz w:val="28"/>
                    </w:rPr>
                    <w:t>TCP协议的隧道防抖动功能。</w:t>
                  </w:r>
                </w:p>
              </w:tc>
            </w:tr>
            <w:tr>
              <w:tc>
                <w:tcPr>
                  <w:tcW w:type="dxa" w:w="447"/>
                  <w:vMerge/>
                  <w:tcBorders>
                    <w:top w:val="none" w:color="000000" w:sz="4"/>
                    <w:left w:val="single" w:color="000000" w:sz="4"/>
                    <w:bottom w:val="single" w:color="000000" w:sz="4"/>
                    <w:right w:val="single" w:color="000000" w:sz="4"/>
                  </w:tcBorders>
                </w:tcPr>
                <w:p/>
              </w:tc>
              <w:tc>
                <w:tcPr>
                  <w:tcW w:type="dxa" w:w="2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支持对账号安全、中间人攻击、</w:t>
                  </w:r>
                  <w:r>
                    <w:rPr>
                      <w:rFonts w:ascii="仿宋_GB2312" w:hAnsi="仿宋_GB2312" w:cs="仿宋_GB2312" w:eastAsia="仿宋_GB2312"/>
                      <w:sz w:val="28"/>
                    </w:rPr>
                    <w:t>SPA安全、cookie劫持等行为打标签。</w:t>
                  </w:r>
                </w:p>
              </w:tc>
            </w:tr>
            <w:tr>
              <w:tc>
                <w:tcPr>
                  <w:tcW w:type="dxa" w:w="447"/>
                  <w:vMerge/>
                  <w:tcBorders>
                    <w:top w:val="none" w:color="000000" w:sz="4"/>
                    <w:left w:val="single" w:color="000000" w:sz="4"/>
                    <w:bottom w:val="single" w:color="000000" w:sz="4"/>
                    <w:right w:val="single" w:color="000000" w:sz="4"/>
                  </w:tcBorders>
                </w:tcPr>
                <w:p/>
              </w:tc>
              <w:tc>
                <w:tcPr>
                  <w:tcW w:type="dxa" w:w="2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用户客户端与安全认证网关支持基于国密算法的</w:t>
                  </w:r>
                  <w:r>
                    <w:rPr>
                      <w:rFonts w:ascii="仿宋_GB2312" w:hAnsi="仿宋_GB2312" w:cs="仿宋_GB2312" w:eastAsia="仿宋_GB2312"/>
                      <w:sz w:val="28"/>
                    </w:rPr>
                    <w:t>SSL加密通信。</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维保要求</w:t>
                  </w:r>
                </w:p>
              </w:tc>
              <w:tc>
                <w:tcPr>
                  <w:tcW w:type="dxa" w:w="2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五年原厂特征库升级、软件升级及硬件质保服务，需提供原厂售后服务承诺函。</w:t>
                  </w:r>
                </w:p>
              </w:tc>
            </w:tr>
          </w:tbl>
          <w:p>
            <w:pPr>
              <w:pStyle w:val="null3"/>
            </w:pPr>
            <w:r>
              <w:rPr>
                <w:rFonts w:ascii="仿宋_GB2312" w:hAnsi="仿宋_GB2312" w:cs="仿宋_GB2312" w:eastAsia="仿宋_GB2312"/>
                <w:sz w:val="28"/>
                <w:b/>
              </w:rPr>
              <w:t>1.2.6、Web安全防护系统</w:t>
            </w:r>
          </w:p>
          <w:tbl>
            <w:tblPr>
              <w:tblBorders>
                <w:top w:val="none" w:color="000000" w:sz="4"/>
                <w:left w:val="none" w:color="000000" w:sz="4"/>
                <w:bottom w:val="none" w:color="000000" w:sz="4"/>
                <w:right w:val="none" w:color="000000" w:sz="4"/>
                <w:insideH w:val="none"/>
                <w:insideV w:val="none"/>
              </w:tblBorders>
            </w:tblPr>
            <w:tblGrid>
              <w:gridCol w:w="450"/>
              <w:gridCol w:w="2103"/>
            </w:tblGrid>
            <w:tr>
              <w:tc>
                <w:tcPr>
                  <w:tcW w:type="dxa" w:w="4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指标项</w:t>
                  </w:r>
                </w:p>
              </w:tc>
              <w:tc>
                <w:tcPr>
                  <w:tcW w:type="dxa" w:w="21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参数要求</w:t>
                  </w:r>
                </w:p>
              </w:tc>
            </w:tr>
            <w:tr>
              <w:tc>
                <w:tcPr>
                  <w:tcW w:type="dxa" w:w="4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硬件要求</w:t>
                  </w:r>
                </w:p>
              </w:tc>
              <w:tc>
                <w:tcPr>
                  <w:tcW w:type="dxa" w:w="2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配置千兆电口</w:t>
                  </w:r>
                  <w:r>
                    <w:rPr>
                      <w:rFonts w:ascii="仿宋_GB2312" w:hAnsi="仿宋_GB2312" w:cs="仿宋_GB2312" w:eastAsia="仿宋_GB2312"/>
                      <w:sz w:val="28"/>
                    </w:rPr>
                    <w:t>≥6个，万兆光口≥4个，内存≥16G，硬盘≥120G SSD，2U设备，冗余电源。</w:t>
                  </w:r>
                </w:p>
              </w:tc>
            </w:tr>
            <w:tr>
              <w:tc>
                <w:tcPr>
                  <w:tcW w:type="dxa" w:w="450"/>
                  <w:vMerge/>
                  <w:tcBorders>
                    <w:top w:val="none" w:color="000000" w:sz="4"/>
                    <w:left w:val="single" w:color="000000" w:sz="4"/>
                    <w:bottom w:val="single" w:color="000000" w:sz="4"/>
                    <w:right w:val="single" w:color="000000" w:sz="4"/>
                  </w:tcBorders>
                </w:tcPr>
                <w:p/>
              </w:tc>
              <w:tc>
                <w:tcPr>
                  <w:tcW w:type="dxa" w:w="2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产品核心组件（</w:t>
                  </w:r>
                  <w:r>
                    <w:rPr>
                      <w:rFonts w:ascii="仿宋_GB2312" w:hAnsi="仿宋_GB2312" w:cs="仿宋_GB2312" w:eastAsia="仿宋_GB2312"/>
                      <w:sz w:val="28"/>
                    </w:rPr>
                    <w:t>CPU）及底层操作系统须采用国产化产品实现，满足安全可靠测评。提供</w:t>
                  </w:r>
                  <w:r>
                    <w:rPr>
                      <w:rFonts w:ascii="仿宋_GB2312" w:hAnsi="仿宋_GB2312" w:cs="仿宋_GB2312" w:eastAsia="仿宋_GB2312"/>
                      <w:sz w:val="28"/>
                    </w:rPr>
                    <w:t>以下</w:t>
                  </w:r>
                  <w:r>
                    <w:rPr>
                      <w:rFonts w:ascii="仿宋_GB2312" w:hAnsi="仿宋_GB2312" w:cs="仿宋_GB2312" w:eastAsia="仿宋_GB2312"/>
                      <w:sz w:val="28"/>
                    </w:rPr>
                    <w:t>有效证明材料（任意一项）：</w:t>
                  </w:r>
                </w:p>
                <w:p>
                  <w:pPr>
                    <w:pStyle w:val="null3"/>
                    <w:jc w:val="both"/>
                  </w:pPr>
                  <w:r>
                    <w:rPr>
                      <w:rFonts w:ascii="仿宋_GB2312" w:hAnsi="仿宋_GB2312" w:cs="仿宋_GB2312" w:eastAsia="仿宋_GB2312"/>
                      <w:sz w:val="28"/>
                    </w:rPr>
                    <w:t>1、中国信息安全测评中心网站截图；2、第三方检测机构出具的检测报告；3、所投产品满足国产化自主可控要求的承诺书并加盖投标方公章。</w:t>
                  </w:r>
                </w:p>
              </w:tc>
            </w:tr>
            <w:tr>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性能要求</w:t>
                  </w:r>
                </w:p>
              </w:tc>
              <w:tc>
                <w:tcPr>
                  <w:tcW w:type="dxa" w:w="2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网络层吞吐量</w:t>
                  </w:r>
                  <w:r>
                    <w:rPr>
                      <w:rFonts w:ascii="仿宋_GB2312" w:hAnsi="仿宋_GB2312" w:cs="仿宋_GB2312" w:eastAsia="仿宋_GB2312"/>
                      <w:sz w:val="28"/>
                    </w:rPr>
                    <w:t>≥20Gbps，应用层吞吐量≥3.5Gbps，https吞吐量≥800Mbps，最大并发会话≥40万。</w:t>
                  </w:r>
                </w:p>
              </w:tc>
            </w:tr>
            <w:tr>
              <w:tc>
                <w:tcPr>
                  <w:tcW w:type="dxa" w:w="4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功能要求</w:t>
                  </w:r>
                </w:p>
              </w:tc>
              <w:tc>
                <w:tcPr>
                  <w:tcW w:type="dxa" w:w="2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支持透明代理、镜像监听、反向代理等方式部署。</w:t>
                  </w:r>
                </w:p>
              </w:tc>
            </w:tr>
            <w:tr>
              <w:tc>
                <w:tcPr>
                  <w:tcW w:type="dxa" w:w="450"/>
                  <w:vMerge/>
                  <w:tcBorders>
                    <w:top w:val="none" w:color="000000" w:sz="4"/>
                    <w:left w:val="single" w:color="000000" w:sz="4"/>
                    <w:bottom w:val="single" w:color="000000" w:sz="4"/>
                    <w:right w:val="single" w:color="000000" w:sz="4"/>
                  </w:tcBorders>
                </w:tcPr>
                <w:p/>
              </w:tc>
              <w:tc>
                <w:tcPr>
                  <w:tcW w:type="dxa" w:w="2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支持</w:t>
                  </w:r>
                  <w:r>
                    <w:rPr>
                      <w:rFonts w:ascii="仿宋_GB2312" w:hAnsi="仿宋_GB2312" w:cs="仿宋_GB2312" w:eastAsia="仿宋_GB2312"/>
                      <w:sz w:val="28"/>
                    </w:rPr>
                    <w:t>HTTP/HTTPS网站自发现，自动发现网络中的HTTP/HTTPS网站并添加为保护站点。</w:t>
                  </w:r>
                </w:p>
              </w:tc>
            </w:tr>
            <w:tr>
              <w:tc>
                <w:tcPr>
                  <w:tcW w:type="dxa" w:w="450"/>
                  <w:vMerge/>
                  <w:tcBorders>
                    <w:top w:val="none" w:color="000000" w:sz="4"/>
                    <w:left w:val="single" w:color="000000" w:sz="4"/>
                    <w:bottom w:val="single" w:color="000000" w:sz="4"/>
                    <w:right w:val="single" w:color="000000" w:sz="4"/>
                  </w:tcBorders>
                </w:tcPr>
                <w:p/>
              </w:tc>
              <w:tc>
                <w:tcPr>
                  <w:tcW w:type="dxa" w:w="2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支持</w:t>
                  </w:r>
                  <w:r>
                    <w:rPr>
                      <w:rFonts w:ascii="仿宋_GB2312" w:hAnsi="仿宋_GB2312" w:cs="仿宋_GB2312" w:eastAsia="仿宋_GB2312"/>
                      <w:sz w:val="28"/>
                    </w:rPr>
                    <w:t>XML文件的基础合规检测，包括节点数量、深度和名称长度等；</w:t>
                  </w:r>
                </w:p>
              </w:tc>
            </w:tr>
            <w:tr>
              <w:tc>
                <w:tcPr>
                  <w:tcW w:type="dxa" w:w="450"/>
                  <w:vMerge/>
                  <w:tcBorders>
                    <w:top w:val="none" w:color="000000" w:sz="4"/>
                    <w:left w:val="single" w:color="000000" w:sz="4"/>
                    <w:bottom w:val="single" w:color="000000" w:sz="4"/>
                    <w:right w:val="single" w:color="000000" w:sz="4"/>
                  </w:tcBorders>
                </w:tcPr>
                <w:p/>
              </w:tc>
              <w:tc>
                <w:tcPr>
                  <w:tcW w:type="dxa" w:w="2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支持紧急模式，可配置</w:t>
                  </w:r>
                  <w:r>
                    <w:rPr>
                      <w:rFonts w:ascii="仿宋_GB2312" w:hAnsi="仿宋_GB2312" w:cs="仿宋_GB2312" w:eastAsia="仿宋_GB2312"/>
                      <w:sz w:val="28"/>
                    </w:rPr>
                    <w:t>CPU、内存及并发连接数阈值，超出任一阈值时WAF自动进入紧急模式，建立连接正常代理，新增请求直接转发；资源恢复至阈值内后自动退出。</w:t>
                  </w:r>
                </w:p>
              </w:tc>
            </w:tr>
            <w:tr>
              <w:tc>
                <w:tcPr>
                  <w:tcW w:type="dxa" w:w="450"/>
                  <w:vMerge/>
                  <w:tcBorders>
                    <w:top w:val="none" w:color="000000" w:sz="4"/>
                    <w:left w:val="single" w:color="000000" w:sz="4"/>
                    <w:bottom w:val="single" w:color="000000" w:sz="4"/>
                    <w:right w:val="single" w:color="000000" w:sz="4"/>
                  </w:tcBorders>
                </w:tcPr>
                <w:p/>
              </w:tc>
              <w:tc>
                <w:tcPr>
                  <w:tcW w:type="dxa" w:w="2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支持个人敏感信息防泄漏功能，可以检测到身份证号、银行卡号、信用卡号、电子邮件账号等信息泄露，支持对敏感信息的脱敏操作。</w:t>
                  </w:r>
                </w:p>
              </w:tc>
            </w:tr>
            <w:tr>
              <w:tc>
                <w:tcPr>
                  <w:tcW w:type="dxa" w:w="450"/>
                  <w:vMerge/>
                  <w:tcBorders>
                    <w:top w:val="none" w:color="000000" w:sz="4"/>
                    <w:left w:val="single" w:color="000000" w:sz="4"/>
                    <w:bottom w:val="single" w:color="000000" w:sz="4"/>
                    <w:right w:val="single" w:color="000000" w:sz="4"/>
                  </w:tcBorders>
                </w:tcPr>
                <w:p/>
              </w:tc>
              <w:tc>
                <w:tcPr>
                  <w:tcW w:type="dxa" w:w="2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支持</w:t>
                  </w:r>
                  <w:r>
                    <w:rPr>
                      <w:rFonts w:ascii="仿宋_GB2312" w:hAnsi="仿宋_GB2312" w:cs="仿宋_GB2312" w:eastAsia="仿宋_GB2312"/>
                      <w:sz w:val="28"/>
                    </w:rPr>
                    <w:t>DDoS攻击防护、SQL注入、LDAP注入、SSI指令注入、Xpath注入、命令注入、邮件注入、远程文件包含、本地文件包含以及其他注入进行防御。</w:t>
                  </w:r>
                </w:p>
              </w:tc>
            </w:tr>
            <w:tr>
              <w:tc>
                <w:tcPr>
                  <w:tcW w:type="dxa" w:w="450"/>
                  <w:vMerge/>
                  <w:tcBorders>
                    <w:top w:val="none" w:color="000000" w:sz="4"/>
                    <w:left w:val="single" w:color="000000" w:sz="4"/>
                    <w:bottom w:val="single" w:color="000000" w:sz="4"/>
                    <w:right w:val="single" w:color="000000" w:sz="4"/>
                  </w:tcBorders>
                </w:tcPr>
                <w:p/>
              </w:tc>
              <w:tc>
                <w:tcPr>
                  <w:tcW w:type="dxa" w:w="2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支持对站点流量的</w:t>
                  </w:r>
                  <w:r>
                    <w:rPr>
                      <w:rFonts w:ascii="仿宋_GB2312" w:hAnsi="仿宋_GB2312" w:cs="仿宋_GB2312" w:eastAsia="仿宋_GB2312"/>
                      <w:sz w:val="28"/>
                    </w:rPr>
                    <w:t>URL地址、URL参数、HTTP访问方法、Cookie等信息进行智能学习，并根据学习结果生成针对性的防护策略。</w:t>
                  </w:r>
                </w:p>
              </w:tc>
            </w:tr>
            <w:tr>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维保要求</w:t>
                  </w:r>
                </w:p>
              </w:tc>
              <w:tc>
                <w:tcPr>
                  <w:tcW w:type="dxa" w:w="2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五年原厂特征库升级、软件升级及硬件质保服务，需提供原厂售后服务承诺函。</w:t>
                  </w:r>
                </w:p>
              </w:tc>
            </w:tr>
          </w:tbl>
          <w:p>
            <w:pPr>
              <w:pStyle w:val="null3"/>
              <w:jc w:val="both"/>
            </w:pPr>
            <w:r>
              <w:rPr>
                <w:rFonts w:ascii="仿宋_GB2312" w:hAnsi="仿宋_GB2312" w:cs="仿宋_GB2312" w:eastAsia="仿宋_GB2312"/>
                <w:sz w:val="28"/>
                <w:b/>
              </w:rPr>
              <w:t>1.2.7、身份与访问安全管理系统</w:t>
            </w:r>
          </w:p>
          <w:tbl>
            <w:tblPr>
              <w:tblBorders>
                <w:top w:val="none" w:color="000000" w:sz="4"/>
                <w:left w:val="none" w:color="000000" w:sz="4"/>
                <w:bottom w:val="none" w:color="000000" w:sz="4"/>
                <w:right w:val="none" w:color="000000" w:sz="4"/>
                <w:insideH w:val="none"/>
                <w:insideV w:val="none"/>
              </w:tblBorders>
            </w:tblPr>
            <w:tblGrid>
              <w:gridCol w:w="439"/>
              <w:gridCol w:w="2114"/>
            </w:tblGrid>
            <w:tr>
              <w:tc>
                <w:tcPr>
                  <w:tcW w:type="dxa" w:w="4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指标项</w:t>
                  </w:r>
                </w:p>
              </w:tc>
              <w:tc>
                <w:tcPr>
                  <w:tcW w:type="dxa" w:w="21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参数要求</w:t>
                  </w:r>
                </w:p>
              </w:tc>
            </w:tr>
            <w:tr>
              <w:tc>
                <w:tcPr>
                  <w:tcW w:type="dxa" w:w="4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硬件要求</w:t>
                  </w:r>
                </w:p>
              </w:tc>
              <w:tc>
                <w:tcPr>
                  <w:tcW w:type="dxa" w:w="2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配置千兆电口</w:t>
                  </w:r>
                  <w:r>
                    <w:rPr>
                      <w:rFonts w:ascii="仿宋_GB2312" w:hAnsi="仿宋_GB2312" w:cs="仿宋_GB2312" w:eastAsia="仿宋_GB2312"/>
                      <w:sz w:val="28"/>
                    </w:rPr>
                    <w:t>≥4个，千兆光口≥2个，内存≥16G，CPU≥8核，存储空间≥4T。</w:t>
                  </w:r>
                </w:p>
              </w:tc>
            </w:tr>
            <w:tr>
              <w:tc>
                <w:tcPr>
                  <w:tcW w:type="dxa" w:w="439"/>
                  <w:vMerge/>
                  <w:tcBorders>
                    <w:top w:val="none" w:color="000000" w:sz="4"/>
                    <w:left w:val="single" w:color="000000" w:sz="4"/>
                    <w:bottom w:val="single" w:color="000000" w:sz="4"/>
                    <w:right w:val="single" w:color="000000" w:sz="4"/>
                  </w:tcBorders>
                </w:tcPr>
                <w:p/>
              </w:tc>
              <w:tc>
                <w:tcPr>
                  <w:tcW w:type="dxa" w:w="2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产品核心组件（</w:t>
                  </w:r>
                  <w:r>
                    <w:rPr>
                      <w:rFonts w:ascii="仿宋_GB2312" w:hAnsi="仿宋_GB2312" w:cs="仿宋_GB2312" w:eastAsia="仿宋_GB2312"/>
                      <w:sz w:val="28"/>
                    </w:rPr>
                    <w:t>CPU）及底层操作系统须采用国产化产品实现，满足安全可靠测评。提供</w:t>
                  </w:r>
                  <w:r>
                    <w:rPr>
                      <w:rFonts w:ascii="仿宋_GB2312" w:hAnsi="仿宋_GB2312" w:cs="仿宋_GB2312" w:eastAsia="仿宋_GB2312"/>
                      <w:sz w:val="28"/>
                    </w:rPr>
                    <w:t>以下</w:t>
                  </w:r>
                  <w:r>
                    <w:rPr>
                      <w:rFonts w:ascii="仿宋_GB2312" w:hAnsi="仿宋_GB2312" w:cs="仿宋_GB2312" w:eastAsia="仿宋_GB2312"/>
                      <w:sz w:val="28"/>
                    </w:rPr>
                    <w:t>有效证明材料（任意一项）：</w:t>
                  </w:r>
                </w:p>
                <w:p>
                  <w:pPr>
                    <w:pStyle w:val="null3"/>
                    <w:jc w:val="both"/>
                  </w:pPr>
                  <w:r>
                    <w:rPr>
                      <w:rFonts w:ascii="仿宋_GB2312" w:hAnsi="仿宋_GB2312" w:cs="仿宋_GB2312" w:eastAsia="仿宋_GB2312"/>
                      <w:sz w:val="28"/>
                    </w:rPr>
                    <w:t>1、中国信息安全测评中心网站截图；2、第三方检测机构出具的检测报告；3、所投产品满足国产化自主可控要求的承诺书并加盖投标方公章。</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实配要求</w:t>
                  </w:r>
                </w:p>
              </w:tc>
              <w:tc>
                <w:tcPr>
                  <w:tcW w:type="dxa" w:w="2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配置可管理资产授权数</w:t>
                  </w:r>
                  <w:r>
                    <w:rPr>
                      <w:rFonts w:ascii="仿宋_GB2312" w:hAnsi="仿宋_GB2312" w:cs="仿宋_GB2312" w:eastAsia="仿宋_GB2312"/>
                      <w:sz w:val="28"/>
                    </w:rPr>
                    <w:t>≥500个。</w:t>
                  </w:r>
                </w:p>
              </w:tc>
            </w:tr>
            <w:tr>
              <w:tc>
                <w:tcPr>
                  <w:tcW w:type="dxa" w:w="4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运维管控</w:t>
                  </w:r>
                </w:p>
              </w:tc>
              <w:tc>
                <w:tcPr>
                  <w:tcW w:type="dxa" w:w="2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支持图形终端协议：</w:t>
                  </w:r>
                  <w:r>
                    <w:rPr>
                      <w:rFonts w:ascii="仿宋_GB2312" w:hAnsi="仿宋_GB2312" w:cs="仿宋_GB2312" w:eastAsia="仿宋_GB2312"/>
                      <w:sz w:val="28"/>
                    </w:rPr>
                    <w:t>RDP、VNC、X11，字符终端协议：Telnet、SSH，文件传输协议：FTP、SFTP，数据库类型：Oracle：PLSQL、TOAD；Informix：DBACCESS；Mysql：MYSQLFRONT、HeidiSQL；SQL Server：SQLserver（2000-2012）；WEB应用：HTTP、HTTPS等。</w:t>
                  </w:r>
                </w:p>
              </w:tc>
            </w:tr>
            <w:tr>
              <w:tc>
                <w:tcPr>
                  <w:tcW w:type="dxa" w:w="439"/>
                  <w:vMerge/>
                  <w:tcBorders>
                    <w:top w:val="none" w:color="000000" w:sz="4"/>
                    <w:left w:val="single" w:color="000000" w:sz="4"/>
                    <w:bottom w:val="single" w:color="000000" w:sz="4"/>
                    <w:right w:val="single" w:color="000000" w:sz="4"/>
                  </w:tcBorders>
                </w:tcPr>
                <w:p/>
              </w:tc>
              <w:tc>
                <w:tcPr>
                  <w:tcW w:type="dxa" w:w="2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具备双人协同会话共享，具备多协议（</w:t>
                  </w:r>
                  <w:r>
                    <w:rPr>
                      <w:rFonts w:ascii="仿宋_GB2312" w:hAnsi="仿宋_GB2312" w:cs="仿宋_GB2312" w:eastAsia="仿宋_GB2312"/>
                      <w:sz w:val="28"/>
                    </w:rPr>
                    <w:t>ssh、rdp、数据库、http）双人共享会话协助，具备操作细粒度审批和操作权限控制流程。</w:t>
                  </w:r>
                </w:p>
              </w:tc>
            </w:tr>
            <w:tr>
              <w:tc>
                <w:tcPr>
                  <w:tcW w:type="dxa" w:w="439"/>
                  <w:vMerge/>
                  <w:tcBorders>
                    <w:top w:val="none" w:color="000000" w:sz="4"/>
                    <w:left w:val="single" w:color="000000" w:sz="4"/>
                    <w:bottom w:val="single" w:color="000000" w:sz="4"/>
                    <w:right w:val="single" w:color="000000" w:sz="4"/>
                  </w:tcBorders>
                </w:tcPr>
                <w:p/>
              </w:tc>
              <w:tc>
                <w:tcPr>
                  <w:tcW w:type="dxa" w:w="2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H5 WEB运维：支持RDP/SSH/TELNET/PLSQL/TOAD/HTTPS等多种协议的登录运维，运维用户终端无需安装和调用任何插件及客户端程序。</w:t>
                  </w:r>
                </w:p>
              </w:tc>
            </w:tr>
            <w:tr>
              <w:tc>
                <w:tcPr>
                  <w:tcW w:type="dxa" w:w="439"/>
                  <w:vMerge/>
                  <w:tcBorders>
                    <w:top w:val="none" w:color="000000" w:sz="4"/>
                    <w:left w:val="single" w:color="000000" w:sz="4"/>
                    <w:bottom w:val="single" w:color="000000" w:sz="4"/>
                    <w:right w:val="single" w:color="000000" w:sz="4"/>
                  </w:tcBorders>
                </w:tcPr>
                <w:p/>
              </w:tc>
              <w:tc>
                <w:tcPr>
                  <w:tcW w:type="dxa" w:w="2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具备通用</w:t>
                  </w:r>
                  <w:r>
                    <w:rPr>
                      <w:rFonts w:ascii="仿宋_GB2312" w:hAnsi="仿宋_GB2312" w:cs="仿宋_GB2312" w:eastAsia="仿宋_GB2312"/>
                      <w:sz w:val="28"/>
                    </w:rPr>
                    <w:t>APP代填配置功能，安装第三方应用APP后可自定义代填脚本进行密码代填单点登录。</w:t>
                  </w:r>
                </w:p>
              </w:tc>
            </w:tr>
            <w:tr>
              <w:tc>
                <w:tcPr>
                  <w:tcW w:type="dxa" w:w="439"/>
                  <w:vMerge/>
                  <w:tcBorders>
                    <w:top w:val="none" w:color="000000" w:sz="4"/>
                    <w:left w:val="single" w:color="000000" w:sz="4"/>
                    <w:bottom w:val="single" w:color="000000" w:sz="4"/>
                    <w:right w:val="single" w:color="000000" w:sz="4"/>
                  </w:tcBorders>
                </w:tcPr>
                <w:p/>
              </w:tc>
              <w:tc>
                <w:tcPr>
                  <w:tcW w:type="dxa" w:w="2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系统应具备审计详细的</w:t>
                  </w:r>
                  <w:r>
                    <w:rPr>
                      <w:rFonts w:ascii="仿宋_GB2312" w:hAnsi="仿宋_GB2312" w:cs="仿宋_GB2312" w:eastAsia="仿宋_GB2312"/>
                      <w:sz w:val="28"/>
                    </w:rPr>
                    <w:t>SQL语句，而非键盘符指令，并记录到SQL语句的执行时间，同时具备RDP、VNC图形操作行为的审计，不限制浏览器等环境，图形回放形式还原真实操作过程；</w:t>
                  </w:r>
                </w:p>
              </w:tc>
            </w:tr>
            <w:tr>
              <w:tc>
                <w:tcPr>
                  <w:tcW w:type="dxa" w:w="4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特权账号</w:t>
                  </w:r>
                </w:p>
              </w:tc>
              <w:tc>
                <w:tcPr>
                  <w:tcW w:type="dxa" w:w="2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具备弱密码自动发现功能，托管在设备上的所有账号进行弱密码检查，具备通用弱密码字典库和自定义弱密码字典库。</w:t>
                  </w:r>
                </w:p>
              </w:tc>
            </w:tr>
            <w:tr>
              <w:tc>
                <w:tcPr>
                  <w:tcW w:type="dxa" w:w="439"/>
                  <w:vMerge/>
                  <w:tcBorders>
                    <w:top w:val="none" w:color="000000" w:sz="4"/>
                    <w:left w:val="single" w:color="000000" w:sz="4"/>
                    <w:bottom w:val="single" w:color="000000" w:sz="4"/>
                    <w:right w:val="single" w:color="000000" w:sz="4"/>
                  </w:tcBorders>
                </w:tcPr>
                <w:p/>
              </w:tc>
              <w:tc>
                <w:tcPr>
                  <w:tcW w:type="dxa" w:w="2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具备自动发现目标设备系统账号；后期能不断升级以适配国产操作系统。能够分析出不少于三个月未登陆账号、不少于三个月未改密账号、幽灵账号。通过自动化技术实现账号发现</w:t>
                  </w:r>
                  <w:r>
                    <w:rPr>
                      <w:rFonts w:ascii="仿宋_GB2312" w:hAnsi="仿宋_GB2312" w:cs="仿宋_GB2312" w:eastAsia="仿宋_GB2312"/>
                      <w:sz w:val="28"/>
                    </w:rPr>
                    <w:t>/清点、账号异常分析；</w:t>
                  </w:r>
                </w:p>
              </w:tc>
            </w:tr>
            <w:tr>
              <w:tc>
                <w:tcPr>
                  <w:tcW w:type="dxa" w:w="439"/>
                  <w:vMerge/>
                  <w:tcBorders>
                    <w:top w:val="none" w:color="000000" w:sz="4"/>
                    <w:left w:val="single" w:color="000000" w:sz="4"/>
                    <w:bottom w:val="single" w:color="000000" w:sz="4"/>
                    <w:right w:val="single" w:color="000000" w:sz="4"/>
                  </w:tcBorders>
                </w:tcPr>
                <w:p/>
              </w:tc>
              <w:tc>
                <w:tcPr>
                  <w:tcW w:type="dxa" w:w="2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支持特权程序账号管理，自定义安全资产临时资产账号及密码策略，在特权主机</w:t>
                  </w:r>
                  <w:r>
                    <w:rPr>
                      <w:rFonts w:ascii="仿宋_GB2312" w:hAnsi="仿宋_GB2312" w:cs="仿宋_GB2312" w:eastAsia="仿宋_GB2312"/>
                      <w:sz w:val="28"/>
                    </w:rPr>
                    <w:t>IP上能够使用管理员给予的临时帐号及密码，实现指定资产使用指定程序访问IP及目标账号的登录，对匹配策略没有使用正确的临时账号和密码的会话直接被拒绝；</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维保要求</w:t>
                  </w:r>
                </w:p>
              </w:tc>
              <w:tc>
                <w:tcPr>
                  <w:tcW w:type="dxa" w:w="2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五年原厂特征库升级、软件升级及硬件质保服务，需提供原厂售后服务承诺函。</w:t>
                  </w:r>
                </w:p>
              </w:tc>
            </w:tr>
          </w:tbl>
          <w:p>
            <w:pPr>
              <w:pStyle w:val="null3"/>
            </w:pPr>
            <w:r>
              <w:rPr>
                <w:rFonts w:ascii="仿宋_GB2312" w:hAnsi="仿宋_GB2312" w:cs="仿宋_GB2312" w:eastAsia="仿宋_GB2312"/>
                <w:sz w:val="28"/>
                <w:b/>
              </w:rPr>
              <w:t>1.2.8、Tap交换机</w:t>
            </w:r>
          </w:p>
          <w:tbl>
            <w:tblPr>
              <w:tblBorders>
                <w:top w:val="none" w:color="000000" w:sz="4"/>
                <w:left w:val="none" w:color="000000" w:sz="4"/>
                <w:bottom w:val="none" w:color="000000" w:sz="4"/>
                <w:right w:val="none" w:color="000000" w:sz="4"/>
                <w:insideH w:val="none"/>
                <w:insideV w:val="none"/>
              </w:tblBorders>
            </w:tblPr>
            <w:tblGrid>
              <w:gridCol w:w="430"/>
              <w:gridCol w:w="2117"/>
            </w:tblGrid>
            <w:tr>
              <w:tc>
                <w:tcPr>
                  <w:tcW w:type="dxa" w:w="4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指标项</w:t>
                  </w:r>
                </w:p>
              </w:tc>
              <w:tc>
                <w:tcPr>
                  <w:tcW w:type="dxa" w:w="21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参数要求</w:t>
                  </w:r>
                </w:p>
              </w:tc>
            </w:tr>
            <w:tr>
              <w:tc>
                <w:tcPr>
                  <w:tcW w:type="dxa" w:w="4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硬件要求</w:t>
                  </w:r>
                </w:p>
              </w:tc>
              <w:tc>
                <w:tcPr>
                  <w:tcW w:type="dxa" w:w="2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100G光口≥1个，40G光口≥1个，万兆光口≥16，千兆电口≥16，Console 口≥1个，带外管理口≥1个，交换背板处理性能≥320Gbps，电源≥2个。</w:t>
                  </w:r>
                </w:p>
              </w:tc>
            </w:tr>
            <w:tr>
              <w:tc>
                <w:tcPr>
                  <w:tcW w:type="dxa" w:w="430"/>
                  <w:vMerge/>
                  <w:tcBorders>
                    <w:top w:val="none" w:color="000000" w:sz="4"/>
                    <w:left w:val="single" w:color="000000" w:sz="4"/>
                    <w:bottom w:val="single" w:color="000000" w:sz="4"/>
                    <w:right w:val="single" w:color="000000" w:sz="4"/>
                  </w:tcBorders>
                </w:tcPr>
                <w:p/>
              </w:tc>
              <w:tc>
                <w:tcPr>
                  <w:tcW w:type="dxa" w:w="2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产品核心组件（</w:t>
                  </w:r>
                  <w:r>
                    <w:rPr>
                      <w:rFonts w:ascii="仿宋_GB2312" w:hAnsi="仿宋_GB2312" w:cs="仿宋_GB2312" w:eastAsia="仿宋_GB2312"/>
                      <w:sz w:val="28"/>
                    </w:rPr>
                    <w:t>CPU）及底层操作系统须采用国产化产品实现</w:t>
                  </w:r>
                  <w:r>
                    <w:rPr>
                      <w:rFonts w:ascii="仿宋_GB2312" w:hAnsi="仿宋_GB2312" w:cs="仿宋_GB2312" w:eastAsia="仿宋_GB2312"/>
                      <w:sz w:val="28"/>
                    </w:rPr>
                    <w:t>。（需提供承诺书）</w:t>
                  </w:r>
                </w:p>
              </w:tc>
            </w:tr>
            <w:tr>
              <w:tc>
                <w:tcPr>
                  <w:tcW w:type="dxa" w:w="4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功能要求</w:t>
                  </w:r>
                </w:p>
              </w:tc>
              <w:tc>
                <w:tcPr>
                  <w:tcW w:type="dxa" w:w="2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具备所有端口灵活配置为输入或输出的功能，可以设置为</w:t>
                  </w:r>
                  <w:r>
                    <w:rPr>
                      <w:rFonts w:ascii="仿宋_GB2312" w:hAnsi="仿宋_GB2312" w:cs="仿宋_GB2312" w:eastAsia="仿宋_GB2312"/>
                      <w:sz w:val="28"/>
                    </w:rPr>
                    <w:t>1:N、N:1、M:N.</w:t>
                  </w:r>
                </w:p>
              </w:tc>
            </w:tr>
            <w:tr>
              <w:tc>
                <w:tcPr>
                  <w:tcW w:type="dxa" w:w="430"/>
                  <w:vMerge/>
                  <w:tcBorders>
                    <w:top w:val="none" w:color="000000" w:sz="4"/>
                    <w:left w:val="single" w:color="000000" w:sz="4"/>
                    <w:bottom w:val="single" w:color="000000" w:sz="4"/>
                    <w:right w:val="single" w:color="000000" w:sz="4"/>
                  </w:tcBorders>
                </w:tcPr>
                <w:p/>
              </w:tc>
              <w:tc>
                <w:tcPr>
                  <w:tcW w:type="dxa" w:w="2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将来源于不同接口的流量进行分组之后执行数据去除重复功能。</w:t>
                  </w:r>
                </w:p>
              </w:tc>
            </w:tr>
            <w:tr>
              <w:tc>
                <w:tcPr>
                  <w:tcW w:type="dxa" w:w="430"/>
                  <w:vMerge/>
                  <w:tcBorders>
                    <w:top w:val="none" w:color="000000" w:sz="4"/>
                    <w:left w:val="single" w:color="000000" w:sz="4"/>
                    <w:bottom w:val="single" w:color="000000" w:sz="4"/>
                    <w:right w:val="single" w:color="000000" w:sz="4"/>
                  </w:tcBorders>
                </w:tcPr>
                <w:p/>
              </w:tc>
              <w:tc>
                <w:tcPr>
                  <w:tcW w:type="dxa" w:w="2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具备基于不同规则下的流量截短功能，即对于不同类型的流量能够输出不同截短后长度的数据包。</w:t>
                  </w:r>
                </w:p>
              </w:tc>
            </w:tr>
            <w:tr>
              <w:tc>
                <w:tcPr>
                  <w:tcW w:type="dxa" w:w="430"/>
                  <w:vMerge/>
                  <w:tcBorders>
                    <w:top w:val="none" w:color="000000" w:sz="4"/>
                    <w:left w:val="single" w:color="000000" w:sz="4"/>
                    <w:bottom w:val="single" w:color="000000" w:sz="4"/>
                    <w:right w:val="single" w:color="000000" w:sz="4"/>
                  </w:tcBorders>
                </w:tcPr>
                <w:p/>
              </w:tc>
              <w:tc>
                <w:tcPr>
                  <w:tcW w:type="dxa" w:w="2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具备以正则表达式匹配字符串的功能，对原始数据内的任意关键字段进行替换以达到屏蔽敏感信息的目的。</w:t>
                  </w:r>
                </w:p>
              </w:tc>
            </w:tr>
            <w:tr>
              <w:tc>
                <w:tcPr>
                  <w:tcW w:type="dxa" w:w="430"/>
                  <w:vMerge/>
                  <w:tcBorders>
                    <w:top w:val="none" w:color="000000" w:sz="4"/>
                    <w:left w:val="single" w:color="000000" w:sz="4"/>
                    <w:bottom w:val="single" w:color="000000" w:sz="4"/>
                    <w:right w:val="single" w:color="000000" w:sz="4"/>
                  </w:tcBorders>
                </w:tcPr>
                <w:p/>
              </w:tc>
              <w:tc>
                <w:tcPr>
                  <w:tcW w:type="dxa" w:w="2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具备报文采集来源端口、源</w:t>
                  </w:r>
                  <w:r>
                    <w:rPr>
                      <w:rFonts w:ascii="仿宋_GB2312" w:hAnsi="仿宋_GB2312" w:cs="仿宋_GB2312" w:eastAsia="仿宋_GB2312"/>
                      <w:sz w:val="28"/>
                    </w:rPr>
                    <w:t>/目的MAC 地址、IP 碎片标记、传输层端口、TCP 标志位、VLAN ID、报文特征等指标对流量进行分类过滤，在将流量分发给后端分析设备的功能。</w:t>
                  </w:r>
                </w:p>
              </w:tc>
            </w:tr>
            <w:tr>
              <w:tc>
                <w:tcPr>
                  <w:tcW w:type="dxa" w:w="430"/>
                  <w:vMerge/>
                  <w:tcBorders>
                    <w:top w:val="none" w:color="000000" w:sz="4"/>
                    <w:left w:val="single" w:color="000000" w:sz="4"/>
                    <w:bottom w:val="single" w:color="000000" w:sz="4"/>
                    <w:right w:val="single" w:color="000000" w:sz="4"/>
                  </w:tcBorders>
                </w:tcPr>
                <w:p/>
              </w:tc>
              <w:tc>
                <w:tcPr>
                  <w:tcW w:type="dxa" w:w="2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具备对分类流量在端口组内进行自动负载的功能。</w:t>
                  </w:r>
                </w:p>
              </w:tc>
            </w:tr>
            <w:tr>
              <w:tc>
                <w:tcPr>
                  <w:tcW w:type="dxa" w:w="430"/>
                  <w:vMerge/>
                  <w:tcBorders>
                    <w:top w:val="none" w:color="000000" w:sz="4"/>
                    <w:left w:val="single" w:color="000000" w:sz="4"/>
                    <w:bottom w:val="single" w:color="000000" w:sz="4"/>
                    <w:right w:val="single" w:color="000000" w:sz="4"/>
                  </w:tcBorders>
                </w:tcPr>
                <w:p/>
              </w:tc>
              <w:tc>
                <w:tcPr>
                  <w:tcW w:type="dxa" w:w="2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具备端口以表格、曲线的方式进行流量统计的功能，实时展现端口的收发性能状态。</w:t>
                  </w:r>
                </w:p>
              </w:tc>
            </w:tr>
            <w:tr>
              <w:tc>
                <w:tcPr>
                  <w:tcW w:type="dxa" w:w="430"/>
                  <w:vMerge/>
                  <w:tcBorders>
                    <w:top w:val="none" w:color="000000" w:sz="4"/>
                    <w:left w:val="single" w:color="000000" w:sz="4"/>
                    <w:bottom w:val="single" w:color="000000" w:sz="4"/>
                    <w:right w:val="single" w:color="000000" w:sz="4"/>
                  </w:tcBorders>
                </w:tcPr>
                <w:p/>
              </w:tc>
              <w:tc>
                <w:tcPr>
                  <w:tcW w:type="dxa" w:w="2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具备基于</w:t>
                  </w:r>
                  <w:r>
                    <w:rPr>
                      <w:rFonts w:ascii="仿宋_GB2312" w:hAnsi="仿宋_GB2312" w:cs="仿宋_GB2312" w:eastAsia="仿宋_GB2312"/>
                      <w:sz w:val="28"/>
                    </w:rPr>
                    <w:t>WEB 配置文件的功能。</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维保要求</w:t>
                  </w:r>
                </w:p>
              </w:tc>
              <w:tc>
                <w:tcPr>
                  <w:tcW w:type="dxa" w:w="2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三年原厂软件升级及硬件质保服务，需提供原厂售后服务承诺函。</w:t>
                  </w:r>
                </w:p>
              </w:tc>
            </w:tr>
          </w:tbl>
          <w:p>
            <w:pPr>
              <w:pStyle w:val="null3"/>
            </w:pPr>
            <w:r>
              <w:rPr>
                <w:rFonts w:ascii="仿宋_GB2312" w:hAnsi="仿宋_GB2312" w:cs="仿宋_GB2312" w:eastAsia="仿宋_GB2312"/>
                <w:sz w:val="28"/>
                <w:b/>
              </w:rPr>
              <w:t>1.2.9、48口接入交换机</w:t>
            </w:r>
          </w:p>
          <w:tbl>
            <w:tblPr>
              <w:tblBorders>
                <w:top w:val="none" w:color="000000" w:sz="4"/>
                <w:left w:val="none" w:color="000000" w:sz="4"/>
                <w:bottom w:val="none" w:color="000000" w:sz="4"/>
                <w:right w:val="none" w:color="000000" w:sz="4"/>
                <w:insideH w:val="none"/>
                <w:insideV w:val="none"/>
              </w:tblBorders>
            </w:tblPr>
            <w:tblGrid>
              <w:gridCol w:w="425"/>
              <w:gridCol w:w="2128"/>
            </w:tblGrid>
            <w:tr>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指标项</w:t>
                  </w:r>
                </w:p>
              </w:tc>
              <w:tc>
                <w:tcPr>
                  <w:tcW w:type="dxa" w:w="21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参数要求</w:t>
                  </w:r>
                </w:p>
              </w:tc>
            </w:tr>
            <w:tr>
              <w:tc>
                <w:tcPr>
                  <w:tcW w:type="dxa" w:w="4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硬件要求</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配置千兆电口</w:t>
                  </w:r>
                  <w:r>
                    <w:rPr>
                      <w:rFonts w:ascii="仿宋_GB2312" w:hAnsi="仿宋_GB2312" w:cs="仿宋_GB2312" w:eastAsia="仿宋_GB2312"/>
                      <w:sz w:val="28"/>
                    </w:rPr>
                    <w:t>≥48个，万兆光口≥6个。</w:t>
                  </w:r>
                </w:p>
              </w:tc>
            </w:tr>
            <w:tr>
              <w:tc>
                <w:tcPr>
                  <w:tcW w:type="dxa" w:w="425"/>
                  <w:vMerge/>
                  <w:tcBorders>
                    <w:top w:val="none" w:color="000000" w:sz="4"/>
                    <w:left w:val="single" w:color="000000" w:sz="4"/>
                    <w:bottom w:val="single" w:color="000000" w:sz="4"/>
                    <w:right w:val="single" w:color="000000" w:sz="4"/>
                  </w:tcBorders>
                </w:tcP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产品核心组件（</w:t>
                  </w:r>
                  <w:r>
                    <w:rPr>
                      <w:rFonts w:ascii="仿宋_GB2312" w:hAnsi="仿宋_GB2312" w:cs="仿宋_GB2312" w:eastAsia="仿宋_GB2312"/>
                      <w:sz w:val="28"/>
                    </w:rPr>
                    <w:t>CPU）及底层操作系统须采用国产化产品实现</w:t>
                  </w:r>
                  <w:r>
                    <w:rPr>
                      <w:rFonts w:ascii="仿宋_GB2312" w:hAnsi="仿宋_GB2312" w:cs="仿宋_GB2312" w:eastAsia="仿宋_GB2312"/>
                      <w:sz w:val="28"/>
                    </w:rPr>
                    <w:t>。（需提供承诺书）</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性能要求</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交换容量</w:t>
                  </w:r>
                  <w:r>
                    <w:rPr>
                      <w:rFonts w:ascii="仿宋_GB2312" w:hAnsi="仿宋_GB2312" w:cs="仿宋_GB2312" w:eastAsia="仿宋_GB2312"/>
                      <w:sz w:val="28"/>
                    </w:rPr>
                    <w:t>≥670Gbps，包转发率≥200Mpps。</w:t>
                  </w:r>
                </w:p>
              </w:tc>
            </w:tr>
            <w:tr>
              <w:tc>
                <w:tcPr>
                  <w:tcW w:type="dxa" w:w="4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功能要求</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支持</w:t>
                  </w:r>
                  <w:r>
                    <w:rPr>
                      <w:rFonts w:ascii="仿宋_GB2312" w:hAnsi="仿宋_GB2312" w:cs="仿宋_GB2312" w:eastAsia="仿宋_GB2312"/>
                      <w:sz w:val="28"/>
                    </w:rPr>
                    <w:t>MAC表项≥32K。</w:t>
                  </w:r>
                </w:p>
              </w:tc>
            </w:tr>
            <w:tr>
              <w:tc>
                <w:tcPr>
                  <w:tcW w:type="dxa" w:w="425"/>
                  <w:vMerge/>
                  <w:tcBorders>
                    <w:top w:val="none" w:color="000000" w:sz="4"/>
                    <w:left w:val="single" w:color="000000" w:sz="4"/>
                    <w:bottom w:val="single" w:color="000000" w:sz="4"/>
                    <w:right w:val="single" w:color="000000" w:sz="4"/>
                  </w:tcBorders>
                </w:tcP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路由支持</w:t>
                  </w:r>
                  <w:r>
                    <w:rPr>
                      <w:rFonts w:ascii="仿宋_GB2312" w:hAnsi="仿宋_GB2312" w:cs="仿宋_GB2312" w:eastAsia="仿宋_GB2312"/>
                      <w:sz w:val="28"/>
                    </w:rPr>
                    <w:t>RIP、OSPF、RIPng、OSPFv3等协议。</w:t>
                  </w:r>
                </w:p>
              </w:tc>
            </w:tr>
            <w:tr>
              <w:tc>
                <w:tcPr>
                  <w:tcW w:type="dxa" w:w="425"/>
                  <w:vMerge/>
                  <w:tcBorders>
                    <w:top w:val="none" w:color="000000" w:sz="4"/>
                    <w:left w:val="single" w:color="000000" w:sz="4"/>
                    <w:bottom w:val="single" w:color="000000" w:sz="4"/>
                    <w:right w:val="single" w:color="000000" w:sz="4"/>
                  </w:tcBorders>
                </w:tcP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最大支持</w:t>
                  </w:r>
                  <w:r>
                    <w:rPr>
                      <w:rFonts w:ascii="仿宋_GB2312" w:hAnsi="仿宋_GB2312" w:cs="仿宋_GB2312" w:eastAsia="仿宋_GB2312"/>
                      <w:sz w:val="28"/>
                    </w:rPr>
                    <w:t>≥9台交换机进行堆叠。</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维保要求</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三年原厂软件升级及硬件质保服务。</w:t>
                  </w:r>
                </w:p>
              </w:tc>
            </w:tr>
          </w:tbl>
          <w:p>
            <w:pPr>
              <w:pStyle w:val="null3"/>
            </w:pPr>
            <w:r>
              <w:rPr>
                <w:rFonts w:ascii="仿宋_GB2312" w:hAnsi="仿宋_GB2312" w:cs="仿宋_GB2312" w:eastAsia="仿宋_GB2312"/>
                <w:sz w:val="28"/>
                <w:b/>
              </w:rPr>
              <w:t>1.2.10、24口POE交换机</w:t>
            </w:r>
          </w:p>
          <w:tbl>
            <w:tblPr>
              <w:tblBorders>
                <w:top w:val="none" w:color="000000" w:sz="4"/>
                <w:left w:val="none" w:color="000000" w:sz="4"/>
                <w:bottom w:val="none" w:color="000000" w:sz="4"/>
                <w:right w:val="none" w:color="000000" w:sz="4"/>
                <w:insideH w:val="none"/>
                <w:insideV w:val="none"/>
              </w:tblBorders>
            </w:tblPr>
            <w:tblGrid>
              <w:gridCol w:w="421"/>
              <w:gridCol w:w="2127"/>
            </w:tblGrid>
            <w:tr>
              <w:tc>
                <w:tcPr>
                  <w:tcW w:type="dxa" w:w="4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指标项</w:t>
                  </w:r>
                </w:p>
              </w:tc>
              <w:tc>
                <w:tcPr>
                  <w:tcW w:type="dxa" w:w="21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参数要求</w:t>
                  </w:r>
                </w:p>
              </w:tc>
            </w:tr>
            <w:tr>
              <w:tc>
                <w:tcPr>
                  <w:tcW w:type="dxa" w:w="4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硬件要求</w:t>
                  </w:r>
                </w:p>
              </w:tc>
              <w:tc>
                <w:tcPr>
                  <w:tcW w:type="dxa" w:w="2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配置千兆电口</w:t>
                  </w:r>
                  <w:r>
                    <w:rPr>
                      <w:rFonts w:ascii="仿宋_GB2312" w:hAnsi="仿宋_GB2312" w:cs="仿宋_GB2312" w:eastAsia="仿宋_GB2312"/>
                      <w:sz w:val="28"/>
                    </w:rPr>
                    <w:t>≥24个，万兆光口≥6个。</w:t>
                  </w:r>
                </w:p>
              </w:tc>
            </w:tr>
            <w:tr>
              <w:tc>
                <w:tcPr>
                  <w:tcW w:type="dxa" w:w="421"/>
                  <w:vMerge/>
                  <w:tcBorders>
                    <w:top w:val="none" w:color="000000" w:sz="4"/>
                    <w:left w:val="single" w:color="000000" w:sz="4"/>
                    <w:bottom w:val="single" w:color="000000" w:sz="4"/>
                    <w:right w:val="single" w:color="000000" w:sz="4"/>
                  </w:tcBorders>
                </w:tcPr>
                <w:p/>
              </w:tc>
              <w:tc>
                <w:tcPr>
                  <w:tcW w:type="dxa" w:w="2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产品核心组件（</w:t>
                  </w:r>
                  <w:r>
                    <w:rPr>
                      <w:rFonts w:ascii="仿宋_GB2312" w:hAnsi="仿宋_GB2312" w:cs="仿宋_GB2312" w:eastAsia="仿宋_GB2312"/>
                      <w:sz w:val="28"/>
                    </w:rPr>
                    <w:t>CPU）及底层操作系统须采用国产化产品实现</w:t>
                  </w:r>
                  <w:r>
                    <w:rPr>
                      <w:rFonts w:ascii="仿宋_GB2312" w:hAnsi="仿宋_GB2312" w:cs="仿宋_GB2312" w:eastAsia="仿宋_GB2312"/>
                      <w:sz w:val="28"/>
                    </w:rPr>
                    <w:t>。（需提供承诺书）</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性能要求</w:t>
                  </w:r>
                </w:p>
              </w:tc>
              <w:tc>
                <w:tcPr>
                  <w:tcW w:type="dxa" w:w="2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交换容量</w:t>
                  </w:r>
                  <w:r>
                    <w:rPr>
                      <w:rFonts w:ascii="仿宋_GB2312" w:hAnsi="仿宋_GB2312" w:cs="仿宋_GB2312" w:eastAsia="仿宋_GB2312"/>
                      <w:sz w:val="28"/>
                    </w:rPr>
                    <w:t>≥670Gbps，包转发率≥170Mpps。</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POE功率</w:t>
                  </w:r>
                </w:p>
              </w:tc>
              <w:tc>
                <w:tcPr>
                  <w:tcW w:type="dxa" w:w="2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最大支持</w:t>
                  </w:r>
                  <w:r>
                    <w:rPr>
                      <w:rFonts w:ascii="仿宋_GB2312" w:hAnsi="仿宋_GB2312" w:cs="仿宋_GB2312" w:eastAsia="仿宋_GB2312"/>
                      <w:sz w:val="28"/>
                    </w:rPr>
                    <w:t>≥400W PoE输出功率。</w:t>
                  </w:r>
                </w:p>
              </w:tc>
            </w:tr>
            <w:tr>
              <w:tc>
                <w:tcPr>
                  <w:tcW w:type="dxa" w:w="4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功能要求</w:t>
                  </w:r>
                </w:p>
              </w:tc>
              <w:tc>
                <w:tcPr>
                  <w:tcW w:type="dxa" w:w="2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支持</w:t>
                  </w:r>
                  <w:r>
                    <w:rPr>
                      <w:rFonts w:ascii="仿宋_GB2312" w:hAnsi="仿宋_GB2312" w:cs="仿宋_GB2312" w:eastAsia="仿宋_GB2312"/>
                      <w:sz w:val="28"/>
                    </w:rPr>
                    <w:t>MAC表项≥32K。</w:t>
                  </w:r>
                </w:p>
              </w:tc>
            </w:tr>
            <w:tr>
              <w:tc>
                <w:tcPr>
                  <w:tcW w:type="dxa" w:w="421"/>
                  <w:vMerge/>
                  <w:tcBorders>
                    <w:top w:val="none" w:color="000000" w:sz="4"/>
                    <w:left w:val="single" w:color="000000" w:sz="4"/>
                    <w:bottom w:val="single" w:color="000000" w:sz="4"/>
                    <w:right w:val="single" w:color="000000" w:sz="4"/>
                  </w:tcBorders>
                </w:tcPr>
                <w:p/>
              </w:tc>
              <w:tc>
                <w:tcPr>
                  <w:tcW w:type="dxa" w:w="2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路由支持</w:t>
                  </w:r>
                  <w:r>
                    <w:rPr>
                      <w:rFonts w:ascii="仿宋_GB2312" w:hAnsi="仿宋_GB2312" w:cs="仿宋_GB2312" w:eastAsia="仿宋_GB2312"/>
                      <w:sz w:val="28"/>
                    </w:rPr>
                    <w:t>RIP、OSPF、RIPng、OSPFv3等协议。</w:t>
                  </w:r>
                </w:p>
              </w:tc>
            </w:tr>
            <w:tr>
              <w:tc>
                <w:tcPr>
                  <w:tcW w:type="dxa" w:w="421"/>
                  <w:vMerge/>
                  <w:tcBorders>
                    <w:top w:val="none" w:color="000000" w:sz="4"/>
                    <w:left w:val="single" w:color="000000" w:sz="4"/>
                    <w:bottom w:val="single" w:color="000000" w:sz="4"/>
                    <w:right w:val="single" w:color="000000" w:sz="4"/>
                  </w:tcBorders>
                </w:tcPr>
                <w:p/>
              </w:tc>
              <w:tc>
                <w:tcPr>
                  <w:tcW w:type="dxa" w:w="2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最大支持</w:t>
                  </w:r>
                  <w:r>
                    <w:rPr>
                      <w:rFonts w:ascii="仿宋_GB2312" w:hAnsi="仿宋_GB2312" w:cs="仿宋_GB2312" w:eastAsia="仿宋_GB2312"/>
                      <w:sz w:val="28"/>
                    </w:rPr>
                    <w:t>≥9台交换机进行堆叠。</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维保要求</w:t>
                  </w:r>
                </w:p>
              </w:tc>
              <w:tc>
                <w:tcPr>
                  <w:tcW w:type="dxa" w:w="2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三年原厂软件升级及硬件质保服务。</w:t>
                  </w:r>
                </w:p>
              </w:tc>
            </w:tr>
          </w:tbl>
          <w:p>
            <w:pPr>
              <w:pStyle w:val="null3"/>
            </w:pPr>
            <w:r>
              <w:rPr>
                <w:rFonts w:ascii="仿宋_GB2312" w:hAnsi="仿宋_GB2312" w:cs="仿宋_GB2312" w:eastAsia="仿宋_GB2312"/>
                <w:sz w:val="28"/>
                <w:b/>
              </w:rPr>
              <w:t>三、技术实施及售后服务要求</w:t>
            </w:r>
          </w:p>
          <w:p>
            <w:pPr>
              <w:pStyle w:val="null3"/>
            </w:pPr>
            <w:r>
              <w:rPr>
                <w:rFonts w:ascii="仿宋_GB2312" w:hAnsi="仿宋_GB2312" w:cs="仿宋_GB2312" w:eastAsia="仿宋_GB2312"/>
                <w:sz w:val="28"/>
                <w:b/>
              </w:rPr>
              <w:t>3.1、安装</w:t>
            </w:r>
          </w:p>
          <w:p>
            <w:pPr>
              <w:pStyle w:val="null3"/>
              <w:ind w:firstLine="480"/>
              <w:jc w:val="both"/>
            </w:pPr>
            <w:r>
              <w:rPr>
                <w:rFonts w:ascii="仿宋_GB2312" w:hAnsi="仿宋_GB2312" w:cs="仿宋_GB2312" w:eastAsia="仿宋_GB2312"/>
                <w:sz w:val="28"/>
                <w:color w:val="0D0D0D"/>
              </w:rPr>
              <w:t>按照我院要求，并切实理解我院本次项目需求，对我院现有环境进行有条不紊地部署。现将改造技术细节罗列如下（不局限于以下）：</w:t>
            </w:r>
          </w:p>
          <w:p>
            <w:pPr>
              <w:pStyle w:val="null3"/>
              <w:numPr>
                <w:ilvl w:val="0"/>
                <w:numId w:val="1"/>
              </w:numPr>
              <w:jc w:val="both"/>
            </w:pPr>
            <w:r>
              <w:rPr>
                <w:rFonts w:ascii="仿宋_GB2312" w:hAnsi="仿宋_GB2312" w:cs="仿宋_GB2312" w:eastAsia="仿宋_GB2312"/>
                <w:sz w:val="28"/>
                <w:color w:val="0D0D0D"/>
              </w:rPr>
              <w:t>深切理解本次项目的建设方案，并按照方案需求提供相应的实施方案。中标商所提供的方案须具备可实施性，在通过我院项目组审阅批准之后，方可实施。</w:t>
            </w:r>
          </w:p>
          <w:p>
            <w:pPr>
              <w:pStyle w:val="null3"/>
              <w:numPr>
                <w:ilvl w:val="0"/>
                <w:numId w:val="1"/>
              </w:numPr>
              <w:jc w:val="both"/>
            </w:pPr>
            <w:r>
              <w:rPr>
                <w:rFonts w:ascii="仿宋_GB2312" w:hAnsi="仿宋_GB2312" w:cs="仿宋_GB2312" w:eastAsia="仿宋_GB2312"/>
                <w:sz w:val="28"/>
                <w:color w:val="0D0D0D"/>
              </w:rPr>
              <w:t>对本次项目所涉及的产品按照技术方案要求进行安装调试，保证整个项目的顺利</w:t>
            </w:r>
            <w:r>
              <w:rPr>
                <w:rFonts w:ascii="仿宋_GB2312" w:hAnsi="仿宋_GB2312" w:cs="仿宋_GB2312" w:eastAsia="仿宋_GB2312"/>
                <w:sz w:val="28"/>
                <w:color w:val="000000"/>
              </w:rPr>
              <w:t>实施，包含但不局限于以下内容：</w:t>
            </w:r>
          </w:p>
          <w:p>
            <w:pPr>
              <w:pStyle w:val="null3"/>
              <w:ind w:firstLine="480"/>
              <w:jc w:val="both"/>
            </w:pPr>
            <w:r>
              <w:rPr>
                <w:rFonts w:ascii="仿宋_GB2312" w:hAnsi="仿宋_GB2312" w:cs="仿宋_GB2312" w:eastAsia="仿宋_GB2312"/>
                <w:sz w:val="28"/>
                <w:color w:val="000000"/>
              </w:rPr>
              <w:t>1.中标供应商需负责原有防火墙设备的割接与优化工作，确保业务在指定窗口期内完成割接，若因为割接失败、无法回退等原因造成的损失，由中标供应商全权负责。</w:t>
            </w:r>
          </w:p>
          <w:p>
            <w:pPr>
              <w:pStyle w:val="null3"/>
              <w:ind w:firstLine="480"/>
              <w:jc w:val="both"/>
            </w:pPr>
            <w:r>
              <w:rPr>
                <w:rFonts w:ascii="仿宋_GB2312" w:hAnsi="仿宋_GB2312" w:cs="仿宋_GB2312" w:eastAsia="仿宋_GB2312"/>
                <w:sz w:val="28"/>
              </w:rPr>
              <w:t>2.中标供应商需对安全监测平台进行软硬件部署，提供合理的实施方案，保证产品落地效果，从数据采集、事件降噪、联动处置等方面进行规划设计，以满足我院网络安全监测、分析、响应效率。</w:t>
            </w:r>
          </w:p>
          <w:p>
            <w:pPr>
              <w:pStyle w:val="null3"/>
              <w:ind w:firstLine="480"/>
              <w:jc w:val="both"/>
            </w:pPr>
            <w:r>
              <w:rPr>
                <w:rFonts w:ascii="仿宋_GB2312" w:hAnsi="仿宋_GB2312" w:cs="仿宋_GB2312" w:eastAsia="仿宋_GB2312"/>
                <w:sz w:val="28"/>
              </w:rPr>
              <w:t>3.中标供应商需将零信任、web安全防护系统、身份与访问安全管理系统、Tap交换机、接入交换机设备按照我院要求和实施标准进行交付，以满足不同场景的使用效果。</w:t>
            </w:r>
          </w:p>
          <w:p>
            <w:pPr>
              <w:pStyle w:val="null3"/>
            </w:pPr>
            <w:r>
              <w:rPr>
                <w:rFonts w:ascii="仿宋_GB2312" w:hAnsi="仿宋_GB2312" w:cs="仿宋_GB2312" w:eastAsia="仿宋_GB2312"/>
                <w:sz w:val="28"/>
                <w:b/>
              </w:rPr>
              <w:t>3.2、试运行期支持</w:t>
            </w:r>
          </w:p>
          <w:p>
            <w:pPr>
              <w:pStyle w:val="null3"/>
              <w:numPr>
                <w:ilvl w:val="0"/>
                <w:numId w:val="1"/>
              </w:numPr>
              <w:jc w:val="both"/>
            </w:pPr>
            <w:r>
              <w:rPr>
                <w:rFonts w:ascii="仿宋_GB2312" w:hAnsi="仿宋_GB2312" w:cs="仿宋_GB2312" w:eastAsia="仿宋_GB2312"/>
                <w:sz w:val="28"/>
                <w:color w:val="0D0D0D"/>
              </w:rPr>
              <w:t>系统试运行期间专人在现场指导使用人员的操作；</w:t>
            </w:r>
          </w:p>
          <w:p>
            <w:pPr>
              <w:pStyle w:val="null3"/>
              <w:numPr>
                <w:ilvl w:val="0"/>
                <w:numId w:val="1"/>
              </w:numPr>
              <w:jc w:val="both"/>
            </w:pPr>
            <w:r>
              <w:rPr>
                <w:rFonts w:ascii="仿宋_GB2312" w:hAnsi="仿宋_GB2312" w:cs="仿宋_GB2312" w:eastAsia="仿宋_GB2312"/>
                <w:sz w:val="28"/>
                <w:color w:val="0D0D0D"/>
              </w:rPr>
              <w:t>现场排除系统试运行过程中出现的硬件故障及软件故障，对于易出现问题的设备提供备用件；</w:t>
            </w:r>
          </w:p>
          <w:p>
            <w:pPr>
              <w:pStyle w:val="null3"/>
              <w:numPr>
                <w:ilvl w:val="0"/>
                <w:numId w:val="1"/>
              </w:numPr>
              <w:jc w:val="both"/>
            </w:pPr>
            <w:r>
              <w:rPr>
                <w:rFonts w:ascii="仿宋_GB2312" w:hAnsi="仿宋_GB2312" w:cs="仿宋_GB2312" w:eastAsia="仿宋_GB2312"/>
                <w:sz w:val="28"/>
                <w:color w:val="0D0D0D"/>
              </w:rPr>
              <w:t>提供热线电话，接受我院的随时咨询；</w:t>
            </w:r>
          </w:p>
          <w:p>
            <w:pPr>
              <w:pStyle w:val="null3"/>
              <w:numPr>
                <w:ilvl w:val="0"/>
                <w:numId w:val="1"/>
              </w:numPr>
              <w:jc w:val="both"/>
            </w:pPr>
            <w:r>
              <w:rPr>
                <w:rFonts w:ascii="仿宋_GB2312" w:hAnsi="仿宋_GB2312" w:cs="仿宋_GB2312" w:eastAsia="仿宋_GB2312"/>
                <w:sz w:val="28"/>
                <w:color w:val="0D0D0D"/>
              </w:rPr>
              <w:t>应技术人员的要求，随时讲解系统的结构及设计特点。</w:t>
            </w:r>
          </w:p>
          <w:p>
            <w:pPr>
              <w:pStyle w:val="null3"/>
            </w:pPr>
            <w:r>
              <w:rPr>
                <w:rFonts w:ascii="仿宋_GB2312" w:hAnsi="仿宋_GB2312" w:cs="仿宋_GB2312" w:eastAsia="仿宋_GB2312"/>
                <w:sz w:val="28"/>
                <w:b/>
              </w:rPr>
              <w:t>3.3、售后服务</w:t>
            </w:r>
          </w:p>
          <w:p>
            <w:pPr>
              <w:pStyle w:val="null3"/>
              <w:numPr>
                <w:ilvl w:val="0"/>
                <w:numId w:val="1"/>
              </w:numPr>
              <w:jc w:val="both"/>
            </w:pPr>
            <w:r>
              <w:rPr>
                <w:rFonts w:ascii="仿宋_GB2312" w:hAnsi="仿宋_GB2312" w:cs="仿宋_GB2312" w:eastAsia="仿宋_GB2312"/>
                <w:sz w:val="28"/>
                <w:color w:val="0D0D0D"/>
              </w:rPr>
              <w:t>所有设备均须由中标方提供保修期内的整机保修服务，保修期自供需双方代表在设备验收单上签字之日起计算。保修费用计入本合同总价；</w:t>
            </w:r>
          </w:p>
          <w:p>
            <w:pPr>
              <w:pStyle w:val="null3"/>
              <w:numPr>
                <w:ilvl w:val="0"/>
                <w:numId w:val="1"/>
              </w:numPr>
              <w:jc w:val="both"/>
            </w:pPr>
            <w:r>
              <w:rPr>
                <w:rFonts w:ascii="仿宋_GB2312" w:hAnsi="仿宋_GB2312" w:cs="仿宋_GB2312" w:eastAsia="仿宋_GB2312"/>
                <w:sz w:val="28"/>
                <w:color w:val="0D0D0D"/>
              </w:rPr>
              <w:t>保修期内，中标方负责对其提供的设备整机进行维修，并且保证每季度上门检修一次，并为我院出一份本季度的系统故障统计分析说明，为我院的维护工作提供理由充分的参考依据；</w:t>
            </w:r>
          </w:p>
          <w:p>
            <w:pPr>
              <w:pStyle w:val="null3"/>
              <w:numPr>
                <w:ilvl w:val="0"/>
                <w:numId w:val="1"/>
              </w:numPr>
              <w:jc w:val="both"/>
            </w:pPr>
            <w:r>
              <w:rPr>
                <w:rFonts w:ascii="仿宋_GB2312" w:hAnsi="仿宋_GB2312" w:cs="仿宋_GB2312" w:eastAsia="仿宋_GB2312"/>
                <w:sz w:val="28"/>
                <w:color w:val="0D0D0D"/>
              </w:rPr>
              <w:t>如果设备故障在</w:t>
            </w:r>
            <w:r>
              <w:rPr>
                <w:rFonts w:ascii="仿宋_GB2312" w:hAnsi="仿宋_GB2312" w:cs="仿宋_GB2312" w:eastAsia="仿宋_GB2312"/>
                <w:sz w:val="28"/>
                <w:color w:val="0D0D0D"/>
              </w:rPr>
              <w:t>4小时后仍无法排除，中标方应在12小时内提供不低于故障设备规格型号档次的备用设备供需方使用，直至故障设备修复；</w:t>
            </w:r>
          </w:p>
          <w:p>
            <w:pPr>
              <w:pStyle w:val="null3"/>
              <w:numPr>
                <w:ilvl w:val="0"/>
                <w:numId w:val="1"/>
              </w:numPr>
              <w:jc w:val="both"/>
            </w:pPr>
            <w:r>
              <w:rPr>
                <w:rFonts w:ascii="仿宋_GB2312" w:hAnsi="仿宋_GB2312" w:cs="仿宋_GB2312" w:eastAsia="仿宋_GB2312"/>
                <w:sz w:val="28"/>
                <w:color w:val="0D0D0D"/>
              </w:rPr>
              <w:t>所有设备保修服务方式均为中标方或原厂家上门保修，即由中标方或原厂家派人到我院设备使用现场维修。由此产生的一切费用均由中标方承担；</w:t>
            </w:r>
          </w:p>
          <w:p>
            <w:pPr>
              <w:pStyle w:val="null3"/>
              <w:numPr>
                <w:ilvl w:val="0"/>
                <w:numId w:val="1"/>
              </w:numPr>
              <w:jc w:val="both"/>
            </w:pPr>
            <w:r>
              <w:rPr>
                <w:rFonts w:ascii="仿宋_GB2312" w:hAnsi="仿宋_GB2312" w:cs="仿宋_GB2312" w:eastAsia="仿宋_GB2312"/>
                <w:sz w:val="28"/>
                <w:color w:val="0D0D0D"/>
              </w:rPr>
              <w:t>设立维护热线，为我院提供</w:t>
            </w:r>
            <w:r>
              <w:rPr>
                <w:rFonts w:ascii="仿宋_GB2312" w:hAnsi="仿宋_GB2312" w:cs="仿宋_GB2312" w:eastAsia="仿宋_GB2312"/>
                <w:sz w:val="28"/>
                <w:color w:val="0D0D0D"/>
              </w:rPr>
              <w:t>7x24小时的技术咨询服务。</w:t>
            </w:r>
          </w:p>
          <w:p>
            <w:pPr>
              <w:pStyle w:val="null3"/>
            </w:pPr>
            <w:r>
              <w:rPr>
                <w:rFonts w:ascii="仿宋_GB2312" w:hAnsi="仿宋_GB2312" w:cs="仿宋_GB2312" w:eastAsia="仿宋_GB2312"/>
                <w:sz w:val="28"/>
                <w:b/>
              </w:rPr>
              <w:t>3.4、系统验收</w:t>
            </w:r>
          </w:p>
          <w:p>
            <w:pPr>
              <w:pStyle w:val="null3"/>
              <w:numPr>
                <w:ilvl w:val="0"/>
                <w:numId w:val="1"/>
              </w:numPr>
              <w:jc w:val="both"/>
            </w:pPr>
            <w:r>
              <w:rPr>
                <w:rFonts w:ascii="仿宋_GB2312" w:hAnsi="仿宋_GB2312" w:cs="仿宋_GB2312" w:eastAsia="仿宋_GB2312"/>
                <w:sz w:val="28"/>
                <w:color w:val="0D0D0D"/>
              </w:rPr>
              <w:t>提供系统整体验收方案，提交完善的系统文档（纸质、磁介质）并接受咨询；</w:t>
            </w:r>
          </w:p>
          <w:p>
            <w:pPr>
              <w:pStyle w:val="null3"/>
              <w:numPr>
                <w:ilvl w:val="0"/>
                <w:numId w:val="1"/>
              </w:numPr>
              <w:jc w:val="both"/>
            </w:pPr>
            <w:r>
              <w:rPr>
                <w:rFonts w:ascii="仿宋_GB2312" w:hAnsi="仿宋_GB2312" w:cs="仿宋_GB2312" w:eastAsia="仿宋_GB2312"/>
                <w:sz w:val="28"/>
                <w:color w:val="0D0D0D"/>
              </w:rPr>
              <w:t>系统验收要求对各个单项产品的测试和系统联机测试，均达到标书要求的性能和产品技术规格中的性能，并实现系统正常运行后进行；</w:t>
            </w:r>
          </w:p>
          <w:p>
            <w:pPr>
              <w:pStyle w:val="null3"/>
              <w:numPr>
                <w:ilvl w:val="0"/>
                <w:numId w:val="1"/>
              </w:numPr>
              <w:jc w:val="both"/>
            </w:pPr>
            <w:r>
              <w:rPr>
                <w:rFonts w:ascii="仿宋_GB2312" w:hAnsi="仿宋_GB2312" w:cs="仿宋_GB2312" w:eastAsia="仿宋_GB2312"/>
                <w:sz w:val="28"/>
                <w:color w:val="0D0D0D"/>
              </w:rPr>
              <w:t>中标方应负责在项目验收前将系统的全部有关产品说明书、原厂家安装手册、技术文件、资料、安装、测试、验收报告等文档汇集成册交付设备使用单位；</w:t>
            </w:r>
          </w:p>
          <w:p>
            <w:pPr>
              <w:pStyle w:val="null3"/>
            </w:pPr>
            <w:r>
              <w:rPr>
                <w:rFonts w:ascii="仿宋_GB2312" w:hAnsi="仿宋_GB2312" w:cs="仿宋_GB2312" w:eastAsia="仿宋_GB2312"/>
                <w:sz w:val="28"/>
                <w:b/>
              </w:rPr>
              <w:t>3.5、技术培训</w:t>
            </w:r>
          </w:p>
          <w:p>
            <w:pPr>
              <w:pStyle w:val="null3"/>
              <w:jc w:val="both"/>
            </w:pPr>
            <w:r>
              <w:rPr>
                <w:rFonts w:ascii="仿宋_GB2312" w:hAnsi="仿宋_GB2312" w:cs="仿宋_GB2312" w:eastAsia="仿宋_GB2312"/>
                <w:sz w:val="28"/>
                <w:color w:val="0D0D0D"/>
              </w:rPr>
              <w:t>现场培训：项目实施期间全程为我院的技术人员进行现场技术培训。项目结束后统一安排我院的相关技术支持人员进行理论和实践技术培训，不得少于</w:t>
            </w:r>
            <w:r>
              <w:rPr>
                <w:rFonts w:ascii="仿宋_GB2312" w:hAnsi="仿宋_GB2312" w:cs="仿宋_GB2312" w:eastAsia="仿宋_GB2312"/>
                <w:sz w:val="28"/>
                <w:color w:val="0D0D0D"/>
              </w:rPr>
              <w:t>5天。</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合同签订后30个日历日内货到采购方指定的安装地点； 到货后30个日历日内完成设备安装、调试。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终验合格后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验收满一年后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根据招标文件、投标文件以及合同约定执行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2、未按合同要求提供服务或服务质量不能满足技术要求，采购人有权终止合同，并对供方违约行为进行追究，同时按《中华人民共和国政府采购法》的有关规定进行处罚。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特殊资格要求.docx 投标函 一般资格要求.docx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特殊资格要求.docx 投标函 一般资格要求.docx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具有独立承担民事责任能力的法人、其他组织或自然人，营业执照、组织机构代码证、税务登记证（多证合一只提供营业执照，事业单位提供事业单位法人证书，自然人提供本人身份证）合法有效 ；</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法定代表人授权书（附法定代表人身份证复印件）及被授权人身份证（法定代表人直接参加投标只须提供法定代表人身份证） ；</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)，供应商应按照汉中市财政局《关于全面推行政府采购供应商基本资格条件承诺制的通知》（汉采办采管〔2024〕20号）文件要求，提供加盖公章的《汉中市政府采购供应商资格承诺函》 ；</w:t>
            </w:r>
          </w:p>
        </w:tc>
        <w:tc>
          <w:tcPr>
            <w:tcW w:type="dxa" w:w="1661"/>
          </w:tcPr>
          <w:p>
            <w:pPr>
              <w:pStyle w:val="null3"/>
            </w:pPr>
            <w:r>
              <w:rPr>
                <w:rFonts w:ascii="仿宋_GB2312" w:hAnsi="仿宋_GB2312" w:cs="仿宋_GB2312" w:eastAsia="仿宋_GB2312"/>
              </w:rPr>
              <w:t>特殊资格要求.docx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应满足招标文件中要求的交货时间。</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投标有效性</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产品技术参数表 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一、评审内容：投标设备及软件系统的技术指标和性能优于或完全满足招标文件计20分。 二、评审标准：带“▲”项为重点参数，1项不满足扣1分；其它参数为一般参数，1项不满足扣0.5分，扣完为止。 备注：投标人须在投标文件中进行逐一响应并提供佐证材料，1、招标文件中明确佐证材料的须按要求提供；2、招标文件中未明确佐证材料的可提供包括但不限于产品彩页、检测报告、官网截图等证明材料。未提供相关佐证材料按不满足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技术参数.docx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一、评审内容 供应商提供针对本项目的技术方案。包括但不限于①设备及系统操作技术、配套设施；②对后期兼容性、扩展性考虑等； 二、评审依据 各项内容全面详细、阐述条理清晰、技术先进、功能配置合理，能有效保障本项目实施的得8分，每有一项内容存在缺陷，扣1-4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投标人需针对本项目提供完整的项目实施方案。包括但不限于：①产品的供货安装、调试及系统对接的合理性、可行性；②进度计划和保证措施；③项目组人员配置、协调能力等； 二、评审依据 各项内容全面详细、阐述条理清晰，能有效保障本项目实施的得12分，每有一项内容存在缺陷，扣1-4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培训措施</w:t>
            </w:r>
          </w:p>
        </w:tc>
        <w:tc>
          <w:tcPr>
            <w:tcW w:type="dxa" w:w="2492"/>
          </w:tcPr>
          <w:p>
            <w:pPr>
              <w:pStyle w:val="null3"/>
            </w:pPr>
            <w:r>
              <w:rPr>
                <w:rFonts w:ascii="仿宋_GB2312" w:hAnsi="仿宋_GB2312" w:cs="仿宋_GB2312" w:eastAsia="仿宋_GB2312"/>
              </w:rPr>
              <w:t>一、评审内容 根据项目实际需求提供培训方案。包括但不限于：①培训方式、培训时间安排；②培训范围及内容等； 二、评审依据 各项内容全面详细、阐述条理清晰，能有效保障本项目实施的得6分，每有一项内容存在缺陷，扣1-3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培训措施.docx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针对本项目提供详细的质量保障措施。包括但不限于：①项目质量管理组织架构；②质量管理制度与计划等。 二、评审依据 各项内容全面详细、阐述条理清晰，能有效保障本项目实施的得6分，每有一项内容存在缺陷，扣1-3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质量保证措施.docx</w:t>
            </w:r>
          </w:p>
        </w:tc>
      </w:tr>
      <w:tr>
        <w:tc>
          <w:tcPr>
            <w:tcW w:type="dxa" w:w="831"/>
            <w:vMerge/>
          </w:tcPr>
          <w:p/>
        </w:tc>
        <w:tc>
          <w:tcPr>
            <w:tcW w:type="dxa" w:w="1661"/>
          </w:tcPr>
          <w:p>
            <w:pPr>
              <w:pStyle w:val="null3"/>
            </w:pPr>
            <w:r>
              <w:rPr>
                <w:rFonts w:ascii="仿宋_GB2312" w:hAnsi="仿宋_GB2312" w:cs="仿宋_GB2312" w:eastAsia="仿宋_GB2312"/>
              </w:rPr>
              <w:t>故障问题及应对措施方案</w:t>
            </w:r>
          </w:p>
        </w:tc>
        <w:tc>
          <w:tcPr>
            <w:tcW w:type="dxa" w:w="2492"/>
          </w:tcPr>
          <w:p>
            <w:pPr>
              <w:pStyle w:val="null3"/>
            </w:pPr>
            <w:r>
              <w:rPr>
                <w:rFonts w:ascii="仿宋_GB2312" w:hAnsi="仿宋_GB2312" w:cs="仿宋_GB2312" w:eastAsia="仿宋_GB2312"/>
              </w:rPr>
              <w:t>一、评审内容：提供完善的项目实施过程中可能遇到的问题及其应对措施，包括但不限于①故障响应时间；②故障应对措施等。 二、评审标准：各项内容全面详细、阐述条理清晰，能有效保障本项目实施的得6分，每有一项内容存在缺陷，扣1-3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故障问题及应对措施方案.docx</w:t>
            </w:r>
          </w:p>
        </w:tc>
      </w:tr>
      <w:tr>
        <w:tc>
          <w:tcPr>
            <w:tcW w:type="dxa" w:w="831"/>
            <w:vMerge/>
          </w:tcPr>
          <w:p/>
        </w:tc>
        <w:tc>
          <w:tcPr>
            <w:tcW w:type="dxa" w:w="1661"/>
          </w:tcPr>
          <w:p>
            <w:pPr>
              <w:pStyle w:val="null3"/>
            </w:pPr>
            <w:r>
              <w:rPr>
                <w:rFonts w:ascii="仿宋_GB2312" w:hAnsi="仿宋_GB2312" w:cs="仿宋_GB2312" w:eastAsia="仿宋_GB2312"/>
              </w:rPr>
              <w:t>产品渠道</w:t>
            </w:r>
          </w:p>
        </w:tc>
        <w:tc>
          <w:tcPr>
            <w:tcW w:type="dxa" w:w="2492"/>
          </w:tcPr>
          <w:p>
            <w:pPr>
              <w:pStyle w:val="null3"/>
            </w:pPr>
            <w:r>
              <w:rPr>
                <w:rFonts w:ascii="仿宋_GB2312" w:hAnsi="仿宋_GB2312" w:cs="仿宋_GB2312" w:eastAsia="仿宋_GB2312"/>
              </w:rPr>
              <w:t>提供所有产品的合法来源渠道证明文件（包括但不限于产品制造商授权、销售协议、代理协议等），得2分，未提供或提供不全者不计分。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产品渠道.docx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针对本项目提供详细的售后服务方案，包括但不限于：①售后服务体系；②售后服务响应时间；③售后维修方案；④售后人员安排等。 二、评审依据 各项内容全面详细、阐述条理清晰、能有效保障本项目实施的得8分，每有一项内容存在缺陷，扣1-2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供应商提供2023年1月1日至今所完成的类似项目业绩的，每提供一项得1分，最高得2分。 注： ①日期以合同签订之日为准； ②证明材料须提供项目完整合同复印件并加盖公章。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价格分采用低价优先法计算，即满足招标文件要求且投标价格最低的投标报价为评审基准价，其价格分为满分。其他投标人的价格分统一按照下列公式计算：投标报价得分=（评审基准价/投标报价）×价格权值；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详见附件：一般资格要求.docx</w:t>
      </w:r>
    </w:p>
    <w:p>
      <w:pPr>
        <w:pStyle w:val="null3"/>
        <w:ind w:firstLine="960"/>
      </w:pPr>
      <w:r>
        <w:rPr>
          <w:rFonts w:ascii="仿宋_GB2312" w:hAnsi="仿宋_GB2312" w:cs="仿宋_GB2312" w:eastAsia="仿宋_GB2312"/>
        </w:rPr>
        <w:t>详见附件：特殊资格要求.docx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详见附件：技术参数.docx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详见附件：培训措施.docx</w:t>
      </w:r>
    </w:p>
    <w:p>
      <w:pPr>
        <w:pStyle w:val="null3"/>
        <w:ind w:firstLine="960"/>
      </w:pPr>
      <w:r>
        <w:rPr>
          <w:rFonts w:ascii="仿宋_GB2312" w:hAnsi="仿宋_GB2312" w:cs="仿宋_GB2312" w:eastAsia="仿宋_GB2312"/>
        </w:rPr>
        <w:t>详见附件：质量保证措施.docx</w:t>
      </w:r>
    </w:p>
    <w:p>
      <w:pPr>
        <w:pStyle w:val="null3"/>
        <w:ind w:firstLine="960"/>
      </w:pPr>
      <w:r>
        <w:rPr>
          <w:rFonts w:ascii="仿宋_GB2312" w:hAnsi="仿宋_GB2312" w:cs="仿宋_GB2312" w:eastAsia="仿宋_GB2312"/>
        </w:rPr>
        <w:t>详见附件：故障问题及应对措施方案.docx</w:t>
      </w:r>
    </w:p>
    <w:p>
      <w:pPr>
        <w:pStyle w:val="null3"/>
        <w:ind w:firstLine="960"/>
      </w:pPr>
      <w:r>
        <w:rPr>
          <w:rFonts w:ascii="仿宋_GB2312" w:hAnsi="仿宋_GB2312" w:cs="仿宋_GB2312" w:eastAsia="仿宋_GB2312"/>
        </w:rPr>
        <w:t>详见附件：产品渠道.docx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lowerLetter"/>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