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版本号：RDZX-2026-00320260416002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2026年汉中市生活垃圾分类宣传服务采购项目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RDZX-2026-003</w:t>
      </w:r>
      <w:r>
        <w:br/>
      </w:r>
      <w:r>
        <w:br/>
      </w:r>
      <w:r>
        <w:br/>
      </w:r>
    </w:p>
    <w:p>
      <w:pPr>
        <w:pStyle w:val="null3"/>
        <w:jc w:val="center"/>
        <w:outlineLvl w:val="2"/>
      </w:pPr>
      <w:r>
        <w:rPr>
          <w:rFonts w:ascii="仿宋_GB2312" w:hAnsi="仿宋_GB2312" w:cs="仿宋_GB2312" w:eastAsia="仿宋_GB2312"/>
          <w:sz w:val="28"/>
          <w:b/>
        </w:rPr>
        <w:t>汉中市生活垃圾分类指导中心</w:t>
      </w:r>
    </w:p>
    <w:p>
      <w:pPr>
        <w:pStyle w:val="null3"/>
        <w:jc w:val="center"/>
        <w:outlineLvl w:val="2"/>
      </w:pPr>
      <w:r>
        <w:rPr>
          <w:rFonts w:ascii="仿宋_GB2312" w:hAnsi="仿宋_GB2312" w:cs="仿宋_GB2312" w:eastAsia="仿宋_GB2312"/>
          <w:sz w:val="28"/>
          <w:b/>
        </w:rPr>
        <w:t>陕西荣德正信项目管理有限公司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陕西荣德正信项目管理有限公司</w:t>
      </w:r>
      <w:r>
        <w:rPr>
          <w:rFonts w:ascii="仿宋_GB2312" w:hAnsi="仿宋_GB2312" w:cs="仿宋_GB2312" w:eastAsia="仿宋_GB2312"/>
        </w:rPr>
        <w:t>（以下简称“代理机构”）受</w:t>
      </w:r>
      <w:r>
        <w:rPr>
          <w:rFonts w:ascii="仿宋_GB2312" w:hAnsi="仿宋_GB2312" w:cs="仿宋_GB2312" w:eastAsia="仿宋_GB2312"/>
        </w:rPr>
        <w:t>汉中市生活垃圾分类指导中心</w:t>
      </w:r>
      <w:r>
        <w:rPr>
          <w:rFonts w:ascii="仿宋_GB2312" w:hAnsi="仿宋_GB2312" w:cs="仿宋_GB2312" w:eastAsia="仿宋_GB2312"/>
        </w:rPr>
        <w:t>委托，拟对</w:t>
      </w:r>
      <w:r>
        <w:rPr>
          <w:rFonts w:ascii="仿宋_GB2312" w:hAnsi="仿宋_GB2312" w:cs="仿宋_GB2312" w:eastAsia="仿宋_GB2312"/>
        </w:rPr>
        <w:t>2026年汉中市生活垃圾分类宣传服务采购项目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RDZX-2026-003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2026年汉中市生活垃圾分类宣传服务采购项目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入贯彻落实生态文明思想和总书记关于垃圾分类工作的系列重要指示精神，积极响应“美丽中国”与“绿色发展”国家战略，将生活垃圾分类工作深度融入汉中市生态文明建设与城乡高质量发展大局，旨在构建“全媒体矩阵、全场景覆盖、全人群触达”的立体化宣传活动，切实提高居民垃圾分类的知晓率、参与率与准确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采购包1（2026年汉中市生活垃圾分类宣传服务采购项目）：属于专门面向中小企业采购。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2、授权书：法定代表人授权书原件及被授权人身份证原件（法定代表人直接参加投标只须提供法定代表人身份证原件）；</w:t>
      </w:r>
    </w:p>
    <w:p>
      <w:pPr>
        <w:pStyle w:val="null3"/>
      </w:pPr>
      <w:r>
        <w:rPr>
          <w:rFonts w:ascii="仿宋_GB2312" w:hAnsi="仿宋_GB2312" w:cs="仿宋_GB2312" w:eastAsia="仿宋_GB2312"/>
        </w:rPr>
        <w:t>3、承诺函：供应商须提供《汉中市政府采购供应商资格承诺函》并签字盖章；</w:t>
      </w:r>
    </w:p>
    <w:p>
      <w:pPr>
        <w:pStyle w:val="null3"/>
      </w:pPr>
      <w:r>
        <w:rPr>
          <w:rFonts w:ascii="仿宋_GB2312" w:hAnsi="仿宋_GB2312" w:cs="仿宋_GB2312" w:eastAsia="仿宋_GB2312"/>
        </w:rPr>
        <w:t>4、中小企业声明函：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汉中市生活垃圾分类指导中心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汉中市汉台区将坛东巷36号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汉中市分类中心经办岗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18329905063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陕西荣德正信项目管理有限公司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陕西省汉中市汉台区汉中路办事处明珠路8号汉府公馆办公楼6层0604号办公房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0916-2128988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开户名称：陕西荣德正信项目管理有限公司</w:t>
            </w:r>
          </w:p>
          <w:p>
            <w:pPr>
              <w:pStyle w:val="null3"/>
            </w:pPr>
            <w:r>
              <w:rPr>
                <w:rFonts w:ascii="仿宋_GB2312" w:hAnsi="仿宋_GB2312" w:cs="仿宋_GB2312" w:eastAsia="仿宋_GB2312"/>
              </w:rPr>
              <w:t>开户银行：西安银行股份有限公司汉中分行</w:t>
            </w:r>
          </w:p>
          <w:p>
            <w:pPr>
              <w:pStyle w:val="null3"/>
            </w:pPr>
            <w:r>
              <w:rPr>
                <w:rFonts w:ascii="仿宋_GB2312" w:hAnsi="仿宋_GB2312" w:cs="仿宋_GB2312" w:eastAsia="仿宋_GB2312"/>
              </w:rPr>
              <w:t>银行账号：451011580000081743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代理服务费收费标准：经甲乙双方协商确定，采购代理服务费按《招标代理服务收费管理暂行办法》（计价格【2002】1980号）、发改办价格【2003】857号收取，由成交人在领取成交（中标）通知书时一次付清。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汉中市生活垃圾分类指导中心</w:t>
      </w:r>
      <w:r>
        <w:rPr>
          <w:rFonts w:ascii="仿宋_GB2312" w:hAnsi="仿宋_GB2312" w:cs="仿宋_GB2312" w:eastAsia="仿宋_GB2312"/>
        </w:rPr>
        <w:t>和</w:t>
      </w:r>
      <w:r>
        <w:rPr>
          <w:rFonts w:ascii="仿宋_GB2312" w:hAnsi="仿宋_GB2312" w:cs="仿宋_GB2312" w:eastAsia="仿宋_GB2312"/>
        </w:rPr>
        <w:t>陕西荣德正信项目管理有限公司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汉中市生活垃圾分类指导中心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陕西荣德正信项目管理有限公司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汉中市生活垃圾分类指导中心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陕西荣德正信项目管理有限公司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陕西荣德正信项目管理有限公司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陕西荣德正信项目管理有限公司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陕西荣德正信项目管理有限公司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联系人：李慧</w:t>
      </w:r>
    </w:p>
    <w:p>
      <w:pPr>
        <w:pStyle w:val="null3"/>
      </w:pPr>
      <w:r>
        <w:rPr>
          <w:rFonts w:ascii="仿宋_GB2312" w:hAnsi="仿宋_GB2312" w:cs="仿宋_GB2312" w:eastAsia="仿宋_GB2312"/>
        </w:rPr>
        <w:t>联系电话：0916-2128988</w:t>
      </w:r>
    </w:p>
    <w:p>
      <w:pPr>
        <w:pStyle w:val="null3"/>
      </w:pPr>
      <w:r>
        <w:rPr>
          <w:rFonts w:ascii="仿宋_GB2312" w:hAnsi="仿宋_GB2312" w:cs="仿宋_GB2312" w:eastAsia="仿宋_GB2312"/>
        </w:rPr>
        <w:t>地址：汉中市汉台区西一环路8号汉府公馆旺座国际B座办公楼6层604室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落实生态文明思想和总书记关于垃圾分类工作的系列重要指示精神，积极响应“美丽中国”与“绿色发展”国家战略，将生活垃圾分类工作深度融入汉中市生态文明建设与城乡高质量发展大局，旨在构建“全媒体矩阵、全场景覆盖、全人群触达”的立体化宣传活动，切实提高居民垃圾分类的知晓率、参与率与准确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生活垃圾分类宣传服务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标的名称：生活垃圾分类宣传服务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本项目服务内容包含但不限于常态化媒体宣传、主题宣讲教育、线下互动活动、重大品牌策划及设计制作支持五大板块</w:t>
            </w:r>
            <w:r>
              <w:rPr>
                <w:rFonts w:ascii="仿宋_GB2312" w:hAnsi="仿宋_GB2312" w:cs="仿宋_GB2312" w:eastAsia="仿宋_GB2312"/>
                <w:sz w:val="24"/>
              </w:rPr>
              <w:t>，</w:t>
            </w:r>
            <w:r>
              <w:rPr>
                <w:rFonts w:ascii="仿宋_GB2312" w:hAnsi="仿宋_GB2312" w:cs="仿宋_GB2312" w:eastAsia="仿宋_GB2312"/>
                <w:sz w:val="24"/>
              </w:rPr>
              <w:t>具体要求如下：</w:t>
            </w:r>
          </w:p>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.常态化媒体宣传服务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报刊宣传：在市级及以上主流媒体开设固定专栏，全年刊发垃圾分类工作动态、典型案例等不少于</w:t>
            </w:r>
            <w:r>
              <w:rPr>
                <w:rFonts w:ascii="仿宋_GB2312" w:hAnsi="仿宋_GB2312" w:cs="仿宋_GB2312" w:eastAsia="仿宋_GB2312"/>
                <w:sz w:val="24"/>
              </w:rPr>
              <w:t>10</w:t>
            </w:r>
            <w:r>
              <w:rPr>
                <w:rFonts w:ascii="仿宋_GB2312" w:hAnsi="仿宋_GB2312" w:cs="仿宋_GB2312" w:eastAsia="仿宋_GB2312"/>
                <w:sz w:val="24"/>
              </w:rPr>
              <w:t>期；投放公益广告不少于</w:t>
            </w:r>
            <w:r>
              <w:rPr>
                <w:rFonts w:ascii="仿宋_GB2312" w:hAnsi="仿宋_GB2312" w:cs="仿宋_GB2312" w:eastAsia="仿宋_GB2312"/>
                <w:sz w:val="24"/>
              </w:rPr>
              <w:t>15</w:t>
            </w:r>
            <w:r>
              <w:rPr>
                <w:rFonts w:ascii="仿宋_GB2312" w:hAnsi="仿宋_GB2312" w:cs="仿宋_GB2312" w:eastAsia="仿宋_GB2312"/>
                <w:sz w:val="24"/>
              </w:rPr>
              <w:t>期。</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短视频制作：策划制作垃圾分类主题短视频，包含情景剧、科普动画、挑战赛等内容，全年不少于</w:t>
            </w:r>
            <w:r>
              <w:rPr>
                <w:rFonts w:ascii="仿宋_GB2312" w:hAnsi="仿宋_GB2312" w:cs="仿宋_GB2312" w:eastAsia="仿宋_GB2312"/>
                <w:sz w:val="24"/>
              </w:rPr>
              <w:t>12</w:t>
            </w:r>
            <w:r>
              <w:rPr>
                <w:rFonts w:ascii="仿宋_GB2312" w:hAnsi="仿宋_GB2312" w:cs="仿宋_GB2312" w:eastAsia="仿宋_GB2312"/>
                <w:sz w:val="24"/>
              </w:rPr>
              <w:t>条；结合重要节点制作温情主题短片不少于</w:t>
            </w:r>
            <w:r>
              <w:rPr>
                <w:rFonts w:ascii="仿宋_GB2312" w:hAnsi="仿宋_GB2312" w:cs="仿宋_GB2312" w:eastAsia="仿宋_GB2312"/>
                <w:sz w:val="24"/>
              </w:rPr>
              <w:t>4</w:t>
            </w:r>
            <w:r>
              <w:rPr>
                <w:rFonts w:ascii="仿宋_GB2312" w:hAnsi="仿宋_GB2312" w:cs="仿宋_GB2312" w:eastAsia="仿宋_GB2312"/>
                <w:sz w:val="24"/>
              </w:rPr>
              <w:t>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广播电视宣传：在</w:t>
            </w:r>
            <w:r>
              <w:rPr>
                <w:rFonts w:ascii="仿宋_GB2312" w:hAnsi="仿宋_GB2312" w:cs="仿宋_GB2312" w:eastAsia="仿宋_GB2312"/>
                <w:sz w:val="24"/>
              </w:rPr>
              <w:t>电视频道</w:t>
            </w:r>
            <w:r>
              <w:rPr>
                <w:rFonts w:ascii="仿宋_GB2312" w:hAnsi="仿宋_GB2312" w:cs="仿宋_GB2312" w:eastAsia="仿宋_GB2312"/>
                <w:sz w:val="24"/>
              </w:rPr>
              <w:t>进行专题报道不少于</w:t>
            </w:r>
            <w:r>
              <w:rPr>
                <w:rFonts w:ascii="仿宋_GB2312" w:hAnsi="仿宋_GB2312" w:cs="仿宋_GB2312" w:eastAsia="仿宋_GB2312"/>
                <w:sz w:val="24"/>
              </w:rPr>
              <w:t>4期，并投放电视公益广告；在广播频道</w:t>
            </w:r>
            <w:r>
              <w:rPr>
                <w:rFonts w:ascii="仿宋_GB2312" w:hAnsi="仿宋_GB2312" w:cs="仿宋_GB2312" w:eastAsia="仿宋_GB2312"/>
                <w:sz w:val="24"/>
              </w:rPr>
              <w:t>宣传</w:t>
            </w:r>
            <w:r>
              <w:rPr>
                <w:rFonts w:ascii="仿宋_GB2312" w:hAnsi="仿宋_GB2312" w:cs="仿宋_GB2312" w:eastAsia="仿宋_GB2312"/>
                <w:sz w:val="24"/>
              </w:rPr>
              <w:t>（时长不少于</w:t>
            </w:r>
            <w:r>
              <w:rPr>
                <w:rFonts w:ascii="仿宋_GB2312" w:hAnsi="仿宋_GB2312" w:cs="仿宋_GB2312" w:eastAsia="仿宋_GB2312"/>
                <w:sz w:val="24"/>
              </w:rPr>
              <w:t>6个月），并策划专家访谈专题节目2期。</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平面设计与户外广告：结合二十四节气及传统节日，融合汉中垃圾分类</w:t>
            </w:r>
            <w:r>
              <w:rPr>
                <w:rFonts w:ascii="仿宋_GB2312" w:hAnsi="仿宋_GB2312" w:cs="仿宋_GB2312" w:eastAsia="仿宋_GB2312"/>
                <w:sz w:val="24"/>
              </w:rPr>
              <w:t>“秦岭四宝”IP形象，设计制作融媒体海报</w:t>
            </w:r>
            <w:r>
              <w:rPr>
                <w:rFonts w:ascii="仿宋_GB2312" w:hAnsi="仿宋_GB2312" w:cs="仿宋_GB2312" w:eastAsia="仿宋_GB2312"/>
                <w:sz w:val="24"/>
              </w:rPr>
              <w:t>20</w:t>
            </w:r>
            <w:r>
              <w:rPr>
                <w:rFonts w:ascii="仿宋_GB2312" w:hAnsi="仿宋_GB2312" w:cs="仿宋_GB2312" w:eastAsia="仿宋_GB2312"/>
                <w:sz w:val="24"/>
              </w:rPr>
              <w:t>期以上。制作并投放户外广告牌（面积大于</w:t>
            </w:r>
            <w:r>
              <w:rPr>
                <w:rFonts w:ascii="仿宋_GB2312" w:hAnsi="仿宋_GB2312" w:cs="仿宋_GB2312" w:eastAsia="仿宋_GB2312"/>
                <w:sz w:val="24"/>
              </w:rPr>
              <w:t>50</w:t>
            </w:r>
            <w:r>
              <w:rPr>
                <w:rFonts w:ascii="仿宋_GB2312" w:hAnsi="仿宋_GB2312" w:cs="仿宋_GB2312" w:eastAsia="仿宋_GB2312"/>
                <w:sz w:val="24"/>
              </w:rPr>
              <w:t>平方米），发布周期为</w:t>
            </w:r>
            <w:r>
              <w:rPr>
                <w:rFonts w:ascii="仿宋_GB2312" w:hAnsi="仿宋_GB2312" w:cs="仿宋_GB2312" w:eastAsia="仿宋_GB2312"/>
                <w:sz w:val="24"/>
              </w:rPr>
              <w:t>1年。</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.主题宣讲与教育服务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线下宣讲：以党建引领为核心，深入机关、企事业单位及学校开展垃圾分类知识宣讲，全年策划实施</w:t>
            </w:r>
            <w:r>
              <w:rPr>
                <w:rFonts w:ascii="仿宋_GB2312" w:hAnsi="仿宋_GB2312" w:cs="仿宋_GB2312" w:eastAsia="仿宋_GB2312"/>
                <w:sz w:val="24"/>
              </w:rPr>
              <w:t>10场以上（单场规模20-100人）。</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市民课堂：采取线上授课、现场直播的方式，全年开办生活垃圾分类</w:t>
            </w:r>
            <w:r>
              <w:rPr>
                <w:rFonts w:ascii="仿宋_GB2312" w:hAnsi="仿宋_GB2312" w:cs="仿宋_GB2312" w:eastAsia="仿宋_GB2312"/>
                <w:sz w:val="24"/>
              </w:rPr>
              <w:t>“市民课堂”</w:t>
            </w:r>
            <w:r>
              <w:rPr>
                <w:rFonts w:ascii="仿宋_GB2312" w:hAnsi="仿宋_GB2312" w:cs="仿宋_GB2312" w:eastAsia="仿宋_GB2312"/>
                <w:sz w:val="24"/>
              </w:rPr>
              <w:t>12</w:t>
            </w:r>
            <w:r>
              <w:rPr>
                <w:rFonts w:ascii="仿宋_GB2312" w:hAnsi="仿宋_GB2312" w:cs="仿宋_GB2312" w:eastAsia="仿宋_GB2312"/>
                <w:sz w:val="24"/>
              </w:rPr>
              <w:t>次</w:t>
            </w:r>
            <w:r>
              <w:rPr>
                <w:rFonts w:ascii="仿宋_GB2312" w:hAnsi="仿宋_GB2312" w:cs="仿宋_GB2312" w:eastAsia="仿宋_GB2312"/>
                <w:sz w:val="24"/>
              </w:rPr>
              <w:t>以上</w:t>
            </w:r>
            <w:r>
              <w:rPr>
                <w:rFonts w:ascii="仿宋_GB2312" w:hAnsi="仿宋_GB2312" w:cs="仿宋_GB2312" w:eastAsia="仿宋_GB2312"/>
                <w:sz w:val="24"/>
              </w:rPr>
              <w:t>，向市民普及分类知识。</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.线下主题宣传活动</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季度主题活动：结合季节特色，每季度策划实施一场中型线下主题活动（共</w:t>
            </w:r>
            <w:r>
              <w:rPr>
                <w:rFonts w:ascii="仿宋_GB2312" w:hAnsi="仿宋_GB2312" w:cs="仿宋_GB2312" w:eastAsia="仿宋_GB2312"/>
                <w:sz w:val="24"/>
              </w:rPr>
              <w:t>4场）。</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志愿与互动活动：组织开展</w:t>
            </w:r>
            <w:r>
              <w:rPr>
                <w:rFonts w:ascii="仿宋_GB2312" w:hAnsi="仿宋_GB2312" w:cs="仿宋_GB2312" w:eastAsia="仿宋_GB2312"/>
                <w:sz w:val="24"/>
              </w:rPr>
              <w:t>“分类志愿行”入户宣传活动不少于10次；策划“主播街访与达人探店”活动不少于</w:t>
            </w:r>
            <w:r>
              <w:rPr>
                <w:rFonts w:ascii="仿宋_GB2312" w:hAnsi="仿宋_GB2312" w:cs="仿宋_GB2312" w:eastAsia="仿宋_GB2312"/>
                <w:sz w:val="24"/>
              </w:rPr>
              <w:t>10</w:t>
            </w:r>
            <w:r>
              <w:rPr>
                <w:rFonts w:ascii="仿宋_GB2312" w:hAnsi="仿宋_GB2312" w:cs="仿宋_GB2312" w:eastAsia="仿宋_GB2312"/>
                <w:sz w:val="24"/>
              </w:rPr>
              <w:t>期，探访示范小区与商户。</w:t>
            </w:r>
          </w:p>
          <w:p>
            <w:pPr>
              <w:pStyle w:val="null3"/>
              <w:ind w:firstLine="480"/>
              <w:jc w:val="both"/>
            </w:pPr>
            <w:r>
              <w:rPr>
                <w:rFonts w:ascii="仿宋_GB2312" w:hAnsi="仿宋_GB2312" w:cs="仿宋_GB2312" w:eastAsia="仿宋_GB2312"/>
                <w:sz w:val="24"/>
              </w:rPr>
              <w:t>3、垃圾分类宣教中心参观：组织市民参观宣教中心10次。</w:t>
            </w:r>
          </w:p>
          <w:p>
            <w:pPr>
              <w:pStyle w:val="null3"/>
              <w:ind w:firstLine="480"/>
              <w:jc w:val="both"/>
            </w:pPr>
            <w:r>
              <w:rPr>
                <w:rFonts w:ascii="仿宋_GB2312" w:hAnsi="仿宋_GB2312" w:cs="仿宋_GB2312" w:eastAsia="仿宋_GB2312"/>
                <w:sz w:val="24"/>
              </w:rPr>
              <w:t>四</w:t>
            </w:r>
            <w:r>
              <w:rPr>
                <w:rFonts w:ascii="仿宋_GB2312" w:hAnsi="仿宋_GB2312" w:cs="仿宋_GB2312" w:eastAsia="仿宋_GB2312"/>
                <w:sz w:val="24"/>
              </w:rPr>
              <w:t>.重大品牌活动策划</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宣传周活动：策划并执行第四</w:t>
            </w:r>
            <w:r>
              <w:rPr>
                <w:rFonts w:ascii="仿宋_GB2312" w:hAnsi="仿宋_GB2312" w:cs="仿宋_GB2312" w:eastAsia="仿宋_GB2312"/>
                <w:sz w:val="24"/>
              </w:rPr>
              <w:t>届</w:t>
            </w:r>
            <w:r>
              <w:rPr>
                <w:rFonts w:ascii="仿宋_GB2312" w:hAnsi="仿宋_GB2312" w:cs="仿宋_GB2312" w:eastAsia="仿宋_GB2312"/>
                <w:sz w:val="24"/>
              </w:rPr>
              <w:t>“全国城市生活垃圾分类宣传周”系列活动，总场次不少于</w:t>
            </w:r>
            <w:r>
              <w:rPr>
                <w:rFonts w:ascii="仿宋_GB2312" w:hAnsi="仿宋_GB2312" w:cs="仿宋_GB2312" w:eastAsia="仿宋_GB2312"/>
                <w:sz w:val="24"/>
              </w:rPr>
              <w:t>4</w:t>
            </w:r>
            <w:r>
              <w:rPr>
                <w:rFonts w:ascii="仿宋_GB2312" w:hAnsi="仿宋_GB2312" w:cs="仿宋_GB2312" w:eastAsia="仿宋_GB2312"/>
                <w:sz w:val="24"/>
              </w:rPr>
              <w:t>场（含启动仪式及配套活动）。</w:t>
            </w:r>
          </w:p>
          <w:p>
            <w:pPr>
              <w:pStyle w:val="null3"/>
              <w:ind w:firstLine="480"/>
              <w:jc w:val="both"/>
            </w:pPr>
            <w:r>
              <w:rPr>
                <w:rFonts w:ascii="仿宋_GB2312" w:hAnsi="仿宋_GB2312" w:cs="仿宋_GB2312" w:eastAsia="仿宋_GB2312"/>
                <w:sz w:val="24"/>
              </w:rPr>
              <w:t>2、环卫工人表彰：评选表彰一批表现突出的先进个人和集体，并进行宣传。</w:t>
            </w:r>
          </w:p>
          <w:p>
            <w:pPr>
              <w:pStyle w:val="null3"/>
              <w:ind w:firstLine="480"/>
              <w:jc w:val="both"/>
            </w:pPr>
            <w:r>
              <w:rPr>
                <w:rFonts w:ascii="仿宋_GB2312" w:hAnsi="仿宋_GB2312" w:cs="仿宋_GB2312" w:eastAsia="仿宋_GB2312"/>
                <w:sz w:val="24"/>
              </w:rPr>
              <w:t>3、网红达人代言：</w:t>
            </w:r>
            <w:r>
              <w:rPr>
                <w:rFonts w:ascii="仿宋_GB2312" w:hAnsi="仿宋_GB2312" w:cs="仿宋_GB2312" w:eastAsia="仿宋_GB2312"/>
                <w:sz w:val="24"/>
              </w:rPr>
              <w:t>邀请网络红人代言宣传汉中市垃圾分类。</w:t>
            </w:r>
          </w:p>
          <w:p>
            <w:pPr>
              <w:pStyle w:val="null3"/>
              <w:ind w:firstLine="480"/>
              <w:jc w:val="both"/>
            </w:pPr>
            <w:r>
              <w:rPr>
                <w:rFonts w:ascii="仿宋_GB2312" w:hAnsi="仿宋_GB2312" w:cs="仿宋_GB2312" w:eastAsia="仿宋_GB2312"/>
                <w:sz w:val="24"/>
              </w:rPr>
              <w:t>五</w:t>
            </w:r>
            <w:r>
              <w:rPr>
                <w:rFonts w:ascii="仿宋_GB2312" w:hAnsi="仿宋_GB2312" w:cs="仿宋_GB2312" w:eastAsia="仿宋_GB2312"/>
                <w:sz w:val="24"/>
              </w:rPr>
              <w:t>.策划设计与媒体推广</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设计支持：为所有宣传活动提供专业的图文设计、视频剪辑、文案创意及</w:t>
            </w:r>
            <w:r>
              <w:rPr>
                <w:rFonts w:ascii="仿宋_GB2312" w:hAnsi="仿宋_GB2312" w:cs="仿宋_GB2312" w:eastAsia="仿宋_GB2312"/>
                <w:sz w:val="24"/>
              </w:rPr>
              <w:t>PPT策划制作服务。</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媒体推广：利用新媒体矩阵对上述活动进行全方位报道，确保宣传覆盖面</w:t>
            </w:r>
            <w:r>
              <w:rPr>
                <w:rFonts w:ascii="仿宋_GB2312" w:hAnsi="仿宋_GB2312" w:cs="仿宋_GB2312" w:eastAsia="仿宋_GB2312"/>
                <w:sz w:val="24"/>
              </w:rPr>
              <w:t>，重大内容推荐至央、省级媒体平台</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六</w:t>
            </w:r>
            <w:r>
              <w:rPr>
                <w:rFonts w:ascii="仿宋_GB2312" w:hAnsi="仿宋_GB2312" w:cs="仿宋_GB2312" w:eastAsia="仿宋_GB2312"/>
                <w:sz w:val="24"/>
              </w:rPr>
              <w:t>.设计制作相关文创</w:t>
            </w:r>
          </w:p>
          <w:p>
            <w:pPr>
              <w:pStyle w:val="null3"/>
              <w:ind w:firstLine="480"/>
              <w:jc w:val="both"/>
            </w:pPr>
            <w:r>
              <w:rPr>
                <w:rFonts w:ascii="仿宋_GB2312" w:hAnsi="仿宋_GB2312" w:cs="仿宋_GB2312" w:eastAsia="仿宋_GB2312"/>
                <w:sz w:val="24"/>
              </w:rPr>
              <w:t>文创开发：围绕垃圾分类</w:t>
            </w:r>
            <w:r>
              <w:rPr>
                <w:rFonts w:ascii="仿宋_GB2312" w:hAnsi="仿宋_GB2312" w:cs="仿宋_GB2312" w:eastAsia="仿宋_GB2312"/>
                <w:sz w:val="24"/>
              </w:rPr>
              <w:t>IP形象，设计制作垃圾分类主题毛绒挂件、冰箱贴不少于2款；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达到采购人采购需求及相关验收标准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合同签订后，收到供应商开具的发票后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项目完成50%并经甲方验收合格，收到供应商开具的发票后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合同履约完成，并经验收合格，收到供应商开具的发票后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符合采购人需求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供应商认为需要提供的其他资料.docx 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法定代表人授权书原件及被授权人身份证原件（法定代表人直接参加投标只须提供法定代表人身份证原件）；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供应商须提供《汉中市政府采购供应商资格承诺函》并签字盖章；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针对本项目理解深度及定位</w:t>
            </w:r>
          </w:p>
        </w:tc>
        <w:tc>
          <w:tcPr>
            <w:tcW w:type="dxa" w:w="2492"/>
          </w:tcPr>
          <w:p>
            <w:pPr>
              <w:pStyle w:val="null3"/>
            </w:pPr>
            <w:r>
              <w:rPr>
                <w:rFonts w:ascii="仿宋_GB2312" w:hAnsi="仿宋_GB2312" w:cs="仿宋_GB2312" w:eastAsia="仿宋_GB2312"/>
              </w:rPr>
              <w:t>结合项目采购需求及实际情况,对项目的认知及目标、前期调研、后期定位分析等进行分析：1.对项目背景、工作内容和要求、分析评价方法等理解准确、全面，分析到位，得7.6-10分；2.对项目背景、工作内容和要求、分析评价方法等理解较准确、分析较全面，得5.1-7.5分；3.对项目背景、工作内容和要求、分析评价方法等理解基本准确、分析基本全面，得2.6-5分；4.对项目背景、工作内容和要求、分析评价方法等理解不够准确，分析简单，得1-2.5 分；未提供或其他得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针对本项目的整体服务方案</w:t>
            </w:r>
          </w:p>
        </w:tc>
        <w:tc>
          <w:tcPr>
            <w:tcW w:type="dxa" w:w="2492"/>
          </w:tcPr>
          <w:p>
            <w:pPr>
              <w:pStyle w:val="null3"/>
            </w:pPr>
            <w:r>
              <w:rPr>
                <w:rFonts w:ascii="仿宋_GB2312" w:hAnsi="仿宋_GB2312" w:cs="仿宋_GB2312" w:eastAsia="仿宋_GB2312"/>
              </w:rPr>
              <w:t>结合本项目的实际情况，提供针对本项目的服务方案（包括但不限于活动策划方案、宣传物料设计方案、视频策划方案等）：1.有完整的服务方案及措施，方案具体可行，针对性强，得11.1-15分；2.有较完整的服务方案及措施，方案比较可行，针对性较强，得7.1-11分；3.服务方案及措施基本完整，措施一般，针对性一般，得3.6-7分；4.有服务方案，保证措施不够全面，可行性一般，针对性不强，得1-3.5分；未提供或其他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针对本项目的质量保障措施和质量管理制度</w:t>
            </w:r>
          </w:p>
        </w:tc>
        <w:tc>
          <w:tcPr>
            <w:tcW w:type="dxa" w:w="2492"/>
          </w:tcPr>
          <w:p>
            <w:pPr>
              <w:pStyle w:val="null3"/>
            </w:pPr>
            <w:r>
              <w:rPr>
                <w:rFonts w:ascii="仿宋_GB2312" w:hAnsi="仿宋_GB2312" w:cs="仿宋_GB2312" w:eastAsia="仿宋_GB2312"/>
              </w:rPr>
              <w:t>1、评审内容：供应商有针对本项目的质量保障措施，健全严格的质量管理制度，建立了比较完善的工作程序制度和管理体系。 2、赋分标准：（1）质量保障措施完善，管理制度科学合理、完全满足项目需求，得7.6-10分；（2）质量保障措施较为完善，管理制度基本科学合理，基本满足项目需求得5.1-7.5分；（3）质量保障措施基本完善，管理制度基本合理，基本满足项目需求得2.6-5分；（4）质量保障措施不太完善，管理制度不够科学合理，不太满足项目需求得1-2.5分。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针对本项目的应急方案</w:t>
            </w:r>
          </w:p>
        </w:tc>
        <w:tc>
          <w:tcPr>
            <w:tcW w:type="dxa" w:w="2492"/>
          </w:tcPr>
          <w:p>
            <w:pPr>
              <w:pStyle w:val="null3"/>
            </w:pPr>
            <w:r>
              <w:rPr>
                <w:rFonts w:ascii="仿宋_GB2312" w:hAnsi="仿宋_GB2312" w:cs="仿宋_GB2312" w:eastAsia="仿宋_GB2312"/>
              </w:rPr>
              <w:t>1、评审内容：根据各供应商针对本项目提供的应急方案，包括①快速响应时间及调动人员的数量；②合理的处理方案；方案完整度高、可实施性强、 科学合理、具有完善的针对本项目的应急方案。 2、赋分标准:（1）方案内容科学合理、可操作性强、方案内容齐全、完全满足项目需求，得7.6-10分；（2）方案内容较科学合理有一定的操作性、方案内容较齐全，基本满足项目需求得5.1-7.5分；（3）方案内容可行性一般，方案内容基本合理，得2.6-5分；（4）方案内容欠缺、缺乏科学性合理性、可操作性较差， 得1-2.5分。未提供或其他得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针对本项目的服务团队</w:t>
            </w:r>
          </w:p>
        </w:tc>
        <w:tc>
          <w:tcPr>
            <w:tcW w:type="dxa" w:w="2492"/>
          </w:tcPr>
          <w:p>
            <w:pPr>
              <w:pStyle w:val="null3"/>
            </w:pPr>
            <w:r>
              <w:rPr>
                <w:rFonts w:ascii="仿宋_GB2312" w:hAnsi="仿宋_GB2312" w:cs="仿宋_GB2312" w:eastAsia="仿宋_GB2312"/>
              </w:rPr>
              <w:t>1、评审内容：结合项目采购需求，提供人员配备方案及管理方案，包括但不限于策划人员、实施人员、视频制作人员、活动保障人员等人员配备； 2、赋分标准：（1）配备方案科学合理、管理方案可操作性强、内容齐全、完全满足项目需求，得7.6-10分；（2）配备方案较科学合理、管理方案有一定的操作性、内容较齐全，基本满足项目需求得5.1-7.5分；（3）配备方案一般，管理方案基本合理，内容基本齐全，基本满足项目需求得2.6- 5 分；（4）配备方案差、管理方案欠缺、缺乏科学性合理性、可操作性较差，不太满足项目需求得1- 2.5分。未提供或其他得 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拟投入本项目的设备方案</w:t>
            </w:r>
          </w:p>
        </w:tc>
        <w:tc>
          <w:tcPr>
            <w:tcW w:type="dxa" w:w="2492"/>
          </w:tcPr>
          <w:p>
            <w:pPr>
              <w:pStyle w:val="null3"/>
            </w:pPr>
            <w:r>
              <w:rPr>
                <w:rFonts w:ascii="仿宋_GB2312" w:hAnsi="仿宋_GB2312" w:cs="仿宋_GB2312" w:eastAsia="仿宋_GB2312"/>
              </w:rPr>
              <w:t>1、评审内容： 根据各供应商针对本项目拟投入的设备方案，包括①设备清单②设备配套使用情况③设备的安全、管理等内容。 2、赋分标准：（1）拟投入设备种类齐全、性能先进、能有效保证项目顺利实施的，得 7.6-10分；（2）拟投入设备种类基本齐全、性能较先进、能基本保证项目顺利实施的，得5.1-7.5 分；（2） 拟投入设备种类基本齐全、性能基本满足、 能基本保证项目顺利实施的，得2.6-5分；（4）拟投入设备种类不齐全、性能一般，不能保证基本所需的，得1-2.5分。未提供或其他得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供应商针对本项目编制完善的服务承诺，内容包含:①服务质量保证措施及承诺，包括但不限于信息的及时反馈、实施工作中的主动沟通汇报；②拟派人员专业能力承诺，包括但不限于拟派人员能力的承诺、若采购人对服务不满意，可要求更换拟派人员等。 2、赋分标准：（1）承诺内容科学合理、可操作性强、内容齐全、完全满足项目需求，得7.6-10分；（2）承诺内容较科学合理有一定的操作性、内容较齐全，基本满足项目需求得5-7.5分；（3）承诺内容可行性一般，内容基本合理，得2.6-5分；（4）承诺内容欠缺、缺乏科学性合理性、可操作性较差，得1-2.5分。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人员配备合理、分工科学、专业知识构架全面、岗位职责明确，得 7.1-10 分；项目部人员配备基本合理、分工基本科学、岗位职责明确，得 3.1-7分；项目部人员配备合理性一般、分工明确，得1-3分；未提供不得分。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2022年1月至今类似项目业绩，以合同复印件为准，每一份计2.5分，最多计5分。评审标准：业绩证明材料（以提供的合同复印件为准，合同关键页复印件并加盖供应商公章，合同关键页内容须包含签订双方名称、签订时间、主要服务内容、双方盖章页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响应人报价为磋商基准价，其价格分为满分。其他响应人的价格分统一按照下列公式计算：磋商报价得分=(磋商基准价／最后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