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0B36A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施工组织方案</w:t>
      </w:r>
    </w:p>
    <w:p w14:paraId="064A0AD6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说明：供应商依据详细评审标准，分章节进行编制，响应格式及内容自拟。</w:t>
      </w:r>
    </w:p>
    <w:p w14:paraId="27BC8F6D">
      <w:pPr>
        <w:jc w:val="both"/>
        <w:rPr>
          <w:rFonts w:hint="eastAsia"/>
          <w:b/>
          <w:bCs/>
          <w:sz w:val="32"/>
          <w:szCs w:val="4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3E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2026-03-22T06:54:13Z</dcterms:created>
  <dc:creator>Administrator</dc:creator>
  <cp:lastModifiedBy>游憩</cp:lastModifiedBy>
  <dcterms:modified xsi:type="dcterms:W3CDTF">2026-03-22T06:54:56Z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eyJoZGlkIjoiNWUwZWUxMDViYzZmNmU5NWU2ZDAxMmY3YTYxMzJhZjkiLCJ1c2VySWQiOiI0MDI0NzI1NzMifQ==</vt:lpwstr>
  </property>
  <property fmtid="{D5CDD505-2E9C-101B-9397-08002B2CF9AE}" pid="4" name="ICV">
    <vt:lpwstr>6F44A495EE88430DBC30C59F5859FC8A_12</vt:lpwstr>
  </property>
</Properties>
</file>