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9715E">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0"/>
        <w:rPr>
          <w:rFonts w:hint="eastAsia" w:ascii="Times New Roman" w:hAnsi="Times New Roman" w:eastAsia="方正小标宋简体" w:cs="方正小标宋简体"/>
          <w:b w:val="0"/>
          <w:bCs w:val="0"/>
          <w:color w:val="auto"/>
          <w:sz w:val="44"/>
          <w:szCs w:val="44"/>
          <w:lang w:val="en-US" w:eastAsia="zh-CN"/>
        </w:rPr>
      </w:pPr>
      <w:bookmarkStart w:id="0" w:name="_Toc7606"/>
      <w:r>
        <w:rPr>
          <w:rFonts w:hint="eastAsia" w:ascii="Times New Roman" w:hAnsi="Times New Roman" w:eastAsia="方正小标宋简体" w:cs="方正小标宋简体"/>
          <w:b w:val="0"/>
          <w:bCs w:val="0"/>
          <w:color w:val="auto"/>
          <w:sz w:val="44"/>
          <w:szCs w:val="44"/>
          <w:lang w:val="en-US" w:eastAsia="zh-CN"/>
        </w:rPr>
        <w:t>2026年</w:t>
      </w:r>
      <w:r>
        <w:rPr>
          <w:rFonts w:hint="eastAsia" w:ascii="Times New Roman" w:hAnsi="Times New Roman" w:eastAsia="方正小标宋简体" w:cs="方正小标宋简体"/>
          <w:b w:val="0"/>
          <w:bCs w:val="0"/>
          <w:color w:val="auto"/>
          <w:sz w:val="44"/>
          <w:szCs w:val="44"/>
        </w:rPr>
        <w:t>汉中市中心城区园林</w:t>
      </w:r>
      <w:r>
        <w:rPr>
          <w:rFonts w:hint="eastAsia" w:ascii="Times New Roman" w:hAnsi="Times New Roman" w:eastAsia="方正小标宋简体" w:cs="方正小标宋简体"/>
          <w:b w:val="0"/>
          <w:bCs w:val="0"/>
          <w:color w:val="auto"/>
          <w:sz w:val="44"/>
          <w:szCs w:val="44"/>
          <w:lang w:val="en-US" w:eastAsia="zh-CN"/>
        </w:rPr>
        <w:t>绿化病虫害防治</w:t>
      </w:r>
    </w:p>
    <w:p w14:paraId="353D75FE">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0"/>
        <w:rPr>
          <w:rFonts w:hint="eastAsia" w:ascii="Times New Roman" w:hAnsi="Times New Roman" w:eastAsia="方正小标宋简体" w:cs="方正小标宋简体"/>
          <w:b w:val="0"/>
          <w:bCs w:val="0"/>
          <w:color w:val="auto"/>
          <w:sz w:val="44"/>
          <w:szCs w:val="44"/>
        </w:rPr>
      </w:pPr>
      <w:r>
        <w:rPr>
          <w:rFonts w:hint="eastAsia" w:ascii="Times New Roman" w:hAnsi="Times New Roman" w:eastAsia="方正小标宋简体" w:cs="方正小标宋简体"/>
          <w:b w:val="0"/>
          <w:bCs w:val="0"/>
          <w:color w:val="auto"/>
          <w:sz w:val="44"/>
          <w:szCs w:val="44"/>
          <w:lang w:val="en-US" w:eastAsia="zh-CN"/>
        </w:rPr>
        <w:t>药物</w:t>
      </w:r>
      <w:r>
        <w:rPr>
          <w:rFonts w:hint="eastAsia" w:ascii="Times New Roman" w:hAnsi="Times New Roman" w:eastAsia="方正小标宋简体" w:cs="方正小标宋简体"/>
          <w:b w:val="0"/>
          <w:bCs w:val="0"/>
          <w:color w:val="auto"/>
          <w:sz w:val="44"/>
          <w:szCs w:val="44"/>
        </w:rPr>
        <w:t>采购合同</w:t>
      </w:r>
      <w:bookmarkEnd w:id="0"/>
    </w:p>
    <w:p w14:paraId="41339856">
      <w:pPr>
        <w:keepNext w:val="0"/>
        <w:keepLines w:val="0"/>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sz w:val="32"/>
          <w:szCs w:val="32"/>
        </w:rPr>
      </w:pPr>
    </w:p>
    <w:p w14:paraId="1F1F3A71">
      <w:pPr>
        <w:keepNext w:val="0"/>
        <w:keepLines w:val="0"/>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甲    方：</w:t>
      </w:r>
      <w:r>
        <w:rPr>
          <w:rFonts w:hint="eastAsia" w:ascii="仿宋_GB2312" w:hAnsi="仿宋_GB2312" w:eastAsia="仿宋_GB2312" w:cs="仿宋_GB2312"/>
          <w:sz w:val="32"/>
          <w:szCs w:val="32"/>
        </w:rPr>
        <w:t xml:space="preserve">                         </w:t>
      </w:r>
    </w:p>
    <w:p w14:paraId="386AD8C1">
      <w:pPr>
        <w:keepNext w:val="0"/>
        <w:keepLines w:val="0"/>
        <w:pageBreakBefore w:val="0"/>
        <w:kinsoku/>
        <w:wordWrap/>
        <w:overflowPunct/>
        <w:topLinePunct w:val="0"/>
        <w:autoSpaceDE/>
        <w:autoSpaceDN/>
        <w:bidi w:val="0"/>
        <w:adjustRightInd/>
        <w:spacing w:line="54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乙    方：</w:t>
      </w:r>
    </w:p>
    <w:p w14:paraId="3B8B6AA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color w:val="auto"/>
          <w:sz w:val="28"/>
          <w:szCs w:val="28"/>
          <w:lang w:eastAsia="zh-CN"/>
        </w:rPr>
      </w:pPr>
    </w:p>
    <w:p w14:paraId="352351B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14:textFill>
            <w14:solidFill>
              <w14:schemeClr w14:val="tx1"/>
            </w14:solidFill>
          </w14:textFill>
        </w:rPr>
        <w:t>依据《中华人民共和国民法典》及相关法律法规规定，甲乙双方在平等、自愿、公平、诚实的基础上，就甲方向乙方</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采购园林绿化病虫害防治药物</w:t>
      </w:r>
      <w:r>
        <w:rPr>
          <w:rFonts w:hint="eastAsia" w:ascii="Times New Roman" w:hAnsi="Times New Roman" w:eastAsia="仿宋_GB2312" w:cs="仿宋_GB2312"/>
          <w:b w:val="0"/>
          <w:bCs w:val="0"/>
          <w:color w:val="000000" w:themeColor="text1"/>
          <w:sz w:val="32"/>
          <w:szCs w:val="32"/>
          <w14:textFill>
            <w14:solidFill>
              <w14:schemeClr w14:val="tx1"/>
            </w14:solidFill>
          </w14:textFill>
        </w:rPr>
        <w:t>有关事宜达成一致，签订本合同，双方共同遵守。</w:t>
      </w:r>
    </w:p>
    <w:p w14:paraId="0A7A04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themeColor="text1"/>
          <w:sz w:val="32"/>
          <w:szCs w:val="32"/>
          <w:lang w:eastAsia="zh-CN"/>
          <w14:textFill>
            <w14:solidFill>
              <w14:schemeClr w14:val="tx1"/>
            </w14:solidFill>
          </w14:textFill>
        </w:rPr>
      </w:pPr>
      <w:bookmarkStart w:id="1" w:name="_Toc406150414"/>
      <w:bookmarkStart w:id="2" w:name="_Toc457826143"/>
      <w:r>
        <w:rPr>
          <w:rFonts w:hint="eastAsia" w:ascii="黑体" w:hAnsi="黑体" w:eastAsia="黑体" w:cs="黑体"/>
          <w:b w:val="0"/>
          <w:bCs w:val="0"/>
          <w:color w:val="000000" w:themeColor="text1"/>
          <w:sz w:val="32"/>
          <w:szCs w:val="32"/>
          <w:lang w:val="en-US" w:eastAsia="zh-CN"/>
          <w14:textFill>
            <w14:solidFill>
              <w14:schemeClr w14:val="tx1"/>
            </w14:solidFill>
          </w14:textFill>
        </w:rPr>
        <w:t>一、</w:t>
      </w:r>
      <w:r>
        <w:rPr>
          <w:rFonts w:hint="eastAsia" w:ascii="黑体" w:hAnsi="黑体" w:eastAsia="黑体" w:cs="黑体"/>
          <w:b w:val="0"/>
          <w:bCs w:val="0"/>
          <w:color w:val="000000" w:themeColor="text1"/>
          <w:sz w:val="32"/>
          <w:szCs w:val="32"/>
          <w:lang w:eastAsia="zh-CN"/>
          <w14:textFill>
            <w14:solidFill>
              <w14:schemeClr w14:val="tx1"/>
            </w14:solidFill>
          </w14:textFill>
        </w:rPr>
        <w:t>项目名称</w:t>
      </w:r>
    </w:p>
    <w:p w14:paraId="189F3D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202</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6</w:t>
      </w: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年</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汉中市</w:t>
      </w: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中心城区园林绿</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化</w:t>
      </w: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病虫害防治专项工作</w:t>
      </w:r>
    </w:p>
    <w:p w14:paraId="621767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二、工作内容</w:t>
      </w:r>
    </w:p>
    <w:p w14:paraId="142B95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为有效抓好2026年园林绿化植物病虫害防治、部分长势衰弱的行道树复壮和法桐树木飞絮防治工作，计划采购杀菌剂、杀虫剂、行道树复壮剂、树木伤口愈合剂、法桐飞絮治理药剂等，保障绿化植物健康生长，维护城市生态景观。</w:t>
      </w:r>
    </w:p>
    <w:p w14:paraId="7CB3D7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三、质量要求</w:t>
      </w:r>
    </w:p>
    <w:p w14:paraId="5C38BB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1.乙方所供应药品应符合《农药管理条例》，不含有隐形成分，货物是经过国家法定检验、注册、准许市场销售的合法产品，货物必须是全新、未经使用的原装产品，在使用寿命期内各项指标均达到质量要求，提供产品检验报告。</w:t>
      </w:r>
    </w:p>
    <w:p w14:paraId="2573A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2.由于园林病虫害的农药品种较少，为尽可能规范使用农药和达到综合防治效果，乙方所提供的药剂防治病虫害必须满足货物需求清单，农药产品须具备国家规定要求的“三证”：农药产品登记证、产品标准证、农药生产许可证，且在有效期内。</w:t>
      </w:r>
    </w:p>
    <w:p w14:paraId="5C636D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3.所有产品外观清洁，字体清晰，按标准保护措施进行包装，并应有良好的防潮、防锈、防雨、防腐及防碰撞等明显标志，由于包装问题造成的损失和由此产生的费用均由乙方承担。</w:t>
      </w:r>
    </w:p>
    <w:p w14:paraId="4D6355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四、供货时间及形式</w:t>
      </w:r>
    </w:p>
    <w:p w14:paraId="753486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color w:val="000000" w:themeColor="text1"/>
          <w:sz w:val="32"/>
          <w:szCs w:val="32"/>
          <w:shd w:val="clear"/>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本项目供货分三批次完成，乙方必须按甲方通知，在规定时间内自行供货到采购方指定地点，</w:t>
      </w:r>
      <w:r>
        <w:rPr>
          <w:rFonts w:hint="eastAsia" w:ascii="Times New Roman" w:hAnsi="Times New Roman" w:eastAsia="仿宋_GB2312" w:cs="仿宋_GB2312"/>
          <w:b w:val="0"/>
          <w:bCs w:val="0"/>
          <w:color w:val="000000" w:themeColor="text1"/>
          <w:sz w:val="32"/>
          <w:szCs w:val="32"/>
          <w:shd w:val="clear"/>
          <w:lang w:val="en-US" w:eastAsia="zh-CN"/>
          <w14:textFill>
            <w14:solidFill>
              <w14:schemeClr w14:val="tx1"/>
            </w14:solidFill>
          </w14:textFill>
        </w:rPr>
        <w:t>交货时须提供药品出厂检验报告。</w:t>
      </w:r>
    </w:p>
    <w:p w14:paraId="6DC1F3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五、合同价款及付款方式</w:t>
      </w:r>
    </w:p>
    <w:p w14:paraId="03E13065">
      <w:pPr>
        <w:keepNext w:val="0"/>
        <w:keepLines w:val="0"/>
        <w:pageBreakBefore w:val="0"/>
        <w:widowControl w:val="0"/>
        <w:tabs>
          <w:tab w:val="left" w:pos="0"/>
        </w:tabs>
        <w:kinsoku/>
        <w:wordWrap/>
        <w:overflowPunct/>
        <w:topLinePunct w:val="0"/>
        <w:autoSpaceDE/>
        <w:autoSpaceDN/>
        <w:bidi w:val="0"/>
        <w:adjustRightInd/>
        <w:snapToGrid/>
        <w:spacing w:line="560" w:lineRule="exact"/>
        <w:ind w:left="19" w:leftChars="9" w:firstLine="579" w:firstLineChars="181"/>
        <w:jc w:val="left"/>
        <w:textAlignment w:val="auto"/>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1.合同价款金额：人民币（大写）</w:t>
      </w:r>
      <w:r>
        <w:rPr>
          <w:rFonts w:hint="eastAsia" w:ascii="Times New Roman" w:hAnsi="Times New Roman" w:eastAsia="仿宋_GB2312" w:cs="仿宋_GB2312"/>
          <w:b w:val="0"/>
          <w:bCs w:val="0"/>
          <w:color w:val="000000" w:themeColor="text1"/>
          <w:sz w:val="32"/>
          <w:szCs w:val="32"/>
          <w:u w:val="single"/>
          <w:lang w:val="en-US" w:eastAsia="zh-CN"/>
          <w14:textFill>
            <w14:solidFill>
              <w14:schemeClr w14:val="tx1"/>
            </w14:solidFill>
          </w14:textFill>
        </w:rPr>
        <w:t xml:space="preserve">              </w:t>
      </w: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元)，</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包括货物价款、技术培训、技术资料、货物的包装、运输等。</w:t>
      </w:r>
    </w:p>
    <w:p w14:paraId="7D39CE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2.合同价不受市场价格变化因素的影响。</w:t>
      </w:r>
    </w:p>
    <w:p w14:paraId="2B36FB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color w:val="000000" w:themeColor="text1"/>
          <w:sz w:val="32"/>
          <w:szCs w:val="32"/>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3.付款方式：</w:t>
      </w:r>
      <w:r>
        <w:rPr>
          <w:rFonts w:hint="eastAsia" w:ascii="Times New Roman" w:hAnsi="Times New Roman" w:eastAsia="仿宋_GB2312" w:cs="仿宋_GB2312"/>
          <w:b w:val="0"/>
          <w:bCs w:val="0"/>
          <w:color w:val="000000" w:themeColor="text1"/>
          <w:sz w:val="32"/>
          <w:szCs w:val="32"/>
          <w14:textFill>
            <w14:solidFill>
              <w14:schemeClr w14:val="tx1"/>
            </w14:solidFill>
          </w14:textFill>
        </w:rPr>
        <w:t>甲方通过财政云国库集中支付方式</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分三批次（40%、40%、20%）</w:t>
      </w:r>
      <w:r>
        <w:rPr>
          <w:rFonts w:hint="eastAsia" w:ascii="Times New Roman" w:hAnsi="Times New Roman" w:eastAsia="仿宋_GB2312" w:cs="仿宋_GB2312"/>
          <w:b w:val="0"/>
          <w:bCs w:val="0"/>
          <w:color w:val="000000" w:themeColor="text1"/>
          <w:sz w:val="32"/>
          <w:szCs w:val="32"/>
          <w14:textFill>
            <w14:solidFill>
              <w14:schemeClr w14:val="tx1"/>
            </w14:solidFill>
          </w14:textFill>
        </w:rPr>
        <w:t>向乙方公司账户支付款项</w:t>
      </w: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w:t>
      </w:r>
      <w:r>
        <w:rPr>
          <w:rStyle w:val="7"/>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乙方应在甲方付款前提供等额发票</w:t>
      </w:r>
      <w:r>
        <w:rPr>
          <w:rFonts w:hint="eastAsia" w:ascii="Times New Roman" w:hAnsi="Times New Roman" w:eastAsia="仿宋_GB2312" w:cs="仿宋_GB2312"/>
          <w:b w:val="0"/>
          <w:bCs w:val="0"/>
          <w:color w:val="000000" w:themeColor="text1"/>
          <w:sz w:val="32"/>
          <w:szCs w:val="32"/>
          <w14:textFill>
            <w14:solidFill>
              <w14:schemeClr w14:val="tx1"/>
            </w14:solidFill>
          </w14:textFill>
        </w:rPr>
        <w:t>。</w:t>
      </w:r>
    </w:p>
    <w:p w14:paraId="1E2AAC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六、验收标准</w:t>
      </w:r>
    </w:p>
    <w:p w14:paraId="07F5AC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1.甲方对货物按采购清单进行验收，必要时抽查药品检测，乙方保证一次开袋合格率达100%；</w:t>
      </w:r>
    </w:p>
    <w:p w14:paraId="102B76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2.验收时发现所交付的产品不符合质量要求、规格要求、数量要求的，以及拒不提供甲方要求的相关产品证书的甲方可拒绝签收，并要求赔偿损失，由此产生的费用由乙方承担；</w:t>
      </w:r>
      <w:bookmarkStart w:id="3" w:name="_GoBack"/>
      <w:bookmarkEnd w:id="3"/>
    </w:p>
    <w:p w14:paraId="5D49C2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3.最终验收结果作为付款依据，验收单经甲、乙双方验收合格，并在验收单上签名盖章；</w:t>
      </w:r>
    </w:p>
    <w:p w14:paraId="22FBD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七、合同期限</w:t>
      </w:r>
    </w:p>
    <w:p w14:paraId="6506AB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服务</w:t>
      </w:r>
      <w:r>
        <w:rPr>
          <w:rFonts w:hint="eastAsia" w:ascii="Times New Roman" w:hAnsi="Times New Roman" w:eastAsia="仿宋_GB2312" w:cs="仿宋_GB2312"/>
          <w:b w:val="0"/>
          <w:bCs w:val="0"/>
          <w:color w:val="000000" w:themeColor="text1"/>
          <w:sz w:val="32"/>
          <w:szCs w:val="32"/>
          <w:lang w:eastAsia="zh-CN"/>
          <w14:textFill>
            <w14:solidFill>
              <w14:schemeClr w14:val="tx1"/>
            </w14:solidFill>
          </w14:textFill>
        </w:rPr>
        <w:t>期：</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12个月</w:t>
      </w:r>
      <w:r>
        <w:rPr>
          <w:rFonts w:hint="eastAsia" w:ascii="Times New Roman" w:hAnsi="Times New Roman" w:eastAsia="仿宋_GB2312" w:cs="仿宋_GB2312"/>
          <w:b w:val="0"/>
          <w:bCs w:val="0"/>
          <w:color w:val="000000" w:themeColor="text1"/>
          <w:sz w:val="32"/>
          <w:szCs w:val="32"/>
          <w:u w:val="none"/>
          <w:lang w:val="en-US" w:eastAsia="zh-CN"/>
          <w14:textFill>
            <w14:solidFill>
              <w14:schemeClr w14:val="tx1"/>
            </w14:solidFill>
          </w14:textFill>
        </w:rPr>
        <w:t>（自合同签订之日起算）</w:t>
      </w:r>
    </w:p>
    <w:p w14:paraId="6D138D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八、售后服务</w:t>
      </w:r>
    </w:p>
    <w:p w14:paraId="3616AF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strike w:val="0"/>
          <w:dstrike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t>1.所有货物均由乙方免费进行装卸、配送</w:t>
      </w:r>
      <w:r>
        <w:rPr>
          <w:rFonts w:hint="eastAsia" w:ascii="Times New Roman" w:hAnsi="Times New Roman" w:eastAsia="仿宋_GB2312" w:cs="仿宋_GB2312"/>
          <w:b w:val="0"/>
          <w:bCs w:val="0"/>
          <w:strike w:val="0"/>
          <w:dstrike w:val="0"/>
          <w:color w:val="000000" w:themeColor="text1"/>
          <w:kern w:val="2"/>
          <w:sz w:val="32"/>
          <w:szCs w:val="32"/>
          <w:lang w:val="en-US" w:eastAsia="zh-CN" w:bidi="ar-SA"/>
          <w14:textFill>
            <w14:solidFill>
              <w14:schemeClr w14:val="tx1"/>
            </w14:solidFill>
          </w14:textFill>
        </w:rPr>
        <w:t>。</w:t>
      </w:r>
    </w:p>
    <w:p w14:paraId="0FB972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t>2.乙方提供服务电话及联系人，24小时内上门服务解决问题。乙方</w:t>
      </w:r>
      <w:r>
        <w:rPr>
          <w:rFonts w:hint="eastAsia" w:ascii="Times New Roman" w:hAnsi="Times New Roman" w:eastAsia="仿宋_GB2312" w:cs="仿宋_GB2312"/>
          <w:b w:val="0"/>
          <w:bCs w:val="0"/>
          <w:color w:val="000000" w:themeColor="text1"/>
          <w:kern w:val="2"/>
          <w:sz w:val="32"/>
          <w:szCs w:val="32"/>
          <w:shd w:val="clear"/>
          <w:lang w:val="en-US" w:eastAsia="zh-CN" w:bidi="ar-SA"/>
          <w14:textFill>
            <w14:solidFill>
              <w14:schemeClr w14:val="tx1"/>
            </w14:solidFill>
          </w14:textFill>
        </w:rPr>
        <w:t>应提供包括但不限于</w:t>
      </w:r>
      <w:r>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t>满足使用和技术文件，如清单、质量合格检验证明文件、使用中文说明等，并制定相应的突发应急处置方案。</w:t>
      </w:r>
    </w:p>
    <w:p w14:paraId="6BFDA2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t>3.乙方须派专人为甲方提供至少一次集中培训，向甲方讲解产品的使用方法、储存和运输方法等注意事项，确保安全、有效使用，如有需要乙方须派技术人员现场指导实施。</w:t>
      </w:r>
    </w:p>
    <w:p w14:paraId="68D22D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t>4.验收过程及质保期内，若乙方提供的货物在使用效果上达不到项目要求或经第三方质检机构检验结果为不合格的，甲方有权要求乙方无条件将所涉及药品进行更换并且赔偿因之造成的一切损失。</w:t>
      </w:r>
    </w:p>
    <w:p w14:paraId="216C08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t>5.乙方应协助采购方定期监测病虫害防治效果，评估防治效果，及时调整防治策略，确保药品防治成效；如遇特殊情况或突发严重病害时，可根据防治用药需求，调整更换药品。</w:t>
      </w:r>
    </w:p>
    <w:p w14:paraId="413580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九、双方责任</w:t>
      </w:r>
    </w:p>
    <w:p w14:paraId="14EA46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1</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.甲方及时</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组织验收工作，不得无故拖延验收时间</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按合同约定及时支付</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乙方</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合同价款。</w:t>
      </w:r>
    </w:p>
    <w:p w14:paraId="54B5CC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2</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乙方</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严格按照合同约定的</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药物清单进行</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供应，确保产品质量合格。</w:t>
      </w:r>
    </w:p>
    <w:p w14:paraId="724047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3</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乙方</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负责运输过程中的安全，承担运输途中的破损、丢失风险。</w:t>
      </w:r>
    </w:p>
    <w:p w14:paraId="5B748E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4.在合同履行过程中，如乙方不能按时交货或提供相关服务等情况，应及时书面告知甲方拖延期限和事由；甲方在收到通知后，尽快进行评估，酌情延长交货时间或对乙方加收误期赔偿金，每延一天，赔偿费按合同总价千分之五计收，直至交货或提供服务为止。</w:t>
      </w:r>
    </w:p>
    <w:p w14:paraId="0FE865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5.乙方未按合同要求提供货物或质量不能满足技术要求，甲方有权终止合同，对乙方违约行为进行追究，同时按政府采购法的有关规定进行相应处罚。</w:t>
      </w:r>
    </w:p>
    <w:p w14:paraId="01E3B1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十、违约责任及争议解决</w:t>
      </w:r>
    </w:p>
    <w:p w14:paraId="3B187F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b w:val="0"/>
          <w:bCs w:val="0"/>
          <w:color w:val="000000" w:themeColor="text1"/>
          <w:sz w:val="32"/>
          <w:szCs w:val="32"/>
          <w:lang w:val="en-US"/>
          <w14:textFill>
            <w14:solidFill>
              <w14:schemeClr w14:val="tx1"/>
            </w14:solidFill>
          </w14:textFill>
        </w:rPr>
      </w:pPr>
      <w:r>
        <w:rPr>
          <w:rFonts w:hint="eastAsia" w:ascii="Times New Roman" w:hAnsi="Times New Roman" w:eastAsia="仿宋_GB2312" w:cs="仿宋_GB2312"/>
          <w:b w:val="0"/>
          <w:bCs w:val="0"/>
          <w:color w:val="000000" w:themeColor="text1"/>
          <w:sz w:val="32"/>
          <w:szCs w:val="32"/>
          <w14:textFill>
            <w14:solidFill>
              <w14:schemeClr w14:val="tx1"/>
            </w14:solidFill>
          </w14:textFill>
        </w:rPr>
        <w:t>1.乙方对合同约定工作内容，未按甲方要求的质量和时间完成的，甲方有权要求乙方限期整改</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w:t>
      </w:r>
    </w:p>
    <w:p w14:paraId="1FBDF0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2.</w:t>
      </w:r>
      <w:r>
        <w:rPr>
          <w:rFonts w:hint="eastAsia" w:ascii="Times New Roman" w:hAnsi="Times New Roman" w:eastAsia="仿宋_GB2312" w:cs="仿宋_GB2312"/>
          <w:b w:val="0"/>
          <w:bCs w:val="0"/>
          <w:color w:val="000000" w:themeColor="text1"/>
          <w:sz w:val="32"/>
          <w:szCs w:val="32"/>
          <w14:textFill>
            <w14:solidFill>
              <w14:schemeClr w14:val="tx1"/>
            </w14:solidFill>
          </w14:textFill>
        </w:rPr>
        <w:t>本合同在履行过程中发生争议的，双方应本着公平、合理的原则，及时协商处理。协商不成时，可向</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甲方</w:t>
      </w:r>
      <w:r>
        <w:rPr>
          <w:rFonts w:hint="eastAsia" w:ascii="Times New Roman" w:hAnsi="Times New Roman" w:eastAsia="仿宋_GB2312" w:cs="仿宋_GB2312"/>
          <w:b w:val="0"/>
          <w:bCs w:val="0"/>
          <w:color w:val="000000" w:themeColor="text1"/>
          <w:sz w:val="32"/>
          <w:szCs w:val="32"/>
          <w14:textFill>
            <w14:solidFill>
              <w14:schemeClr w14:val="tx1"/>
            </w14:solidFill>
          </w14:textFill>
        </w:rPr>
        <w:t>所在地的人民法院</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起诉</w:t>
      </w:r>
      <w:r>
        <w:rPr>
          <w:rFonts w:hint="eastAsia" w:ascii="Times New Roman" w:hAnsi="Times New Roman" w:eastAsia="仿宋_GB2312" w:cs="仿宋_GB2312"/>
          <w:b w:val="0"/>
          <w:bCs w:val="0"/>
          <w:color w:val="000000" w:themeColor="text1"/>
          <w:sz w:val="32"/>
          <w:szCs w:val="32"/>
          <w14:textFill>
            <w14:solidFill>
              <w14:schemeClr w14:val="tx1"/>
            </w14:solidFill>
          </w14:textFill>
        </w:rPr>
        <w:t>解决。</w:t>
      </w:r>
    </w:p>
    <w:p w14:paraId="3FD44A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十一、其他</w:t>
      </w:r>
    </w:p>
    <w:p w14:paraId="319C5A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pP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本合同一式</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4</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份，甲方</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2</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份，乙方</w:t>
      </w:r>
      <w:r>
        <w:rPr>
          <w:rFonts w:hint="eastAsia" w:ascii="Times New Roman" w:hAnsi="Times New Roman" w:eastAsia="仿宋_GB2312" w:cs="仿宋_GB2312"/>
          <w:b w:val="0"/>
          <w:bCs w:val="0"/>
          <w:color w:val="000000" w:themeColor="text1"/>
          <w:sz w:val="32"/>
          <w:szCs w:val="32"/>
          <w:lang w:val="en-US" w:eastAsia="zh-CN"/>
          <w14:textFill>
            <w14:solidFill>
              <w14:schemeClr w14:val="tx1"/>
            </w14:solidFill>
          </w14:textFill>
        </w:rPr>
        <w:t>2</w:t>
      </w:r>
      <w:r>
        <w:rPr>
          <w:rFonts w:hint="default" w:ascii="Times New Roman" w:hAnsi="Times New Roman" w:eastAsia="仿宋_GB2312" w:cs="仿宋_GB2312"/>
          <w:b w:val="0"/>
          <w:bCs w:val="0"/>
          <w:color w:val="000000" w:themeColor="text1"/>
          <w:sz w:val="32"/>
          <w:szCs w:val="32"/>
          <w:lang w:val="en-US" w:eastAsia="zh-CN"/>
          <w14:textFill>
            <w14:solidFill>
              <w14:schemeClr w14:val="tx1"/>
            </w14:solidFill>
          </w14:textFill>
        </w:rPr>
        <w:t>份，自双方签字盖章之日起生效，具有同等法律效力。</w:t>
      </w:r>
    </w:p>
    <w:bookmarkEnd w:id="1"/>
    <w:bookmarkEnd w:id="2"/>
    <w:tbl>
      <w:tblPr>
        <w:tblStyle w:val="5"/>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0"/>
        <w:gridCol w:w="4510"/>
      </w:tblGrid>
      <w:tr w14:paraId="560A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0EE0520E">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  方</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66386BCA">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  方</w:t>
            </w:r>
          </w:p>
        </w:tc>
      </w:tr>
      <w:tr w14:paraId="3A5D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261FBD4B">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（盖章）</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3314BEE1">
            <w:pPr>
              <w:keepNext w:val="0"/>
              <w:keepLines w:val="0"/>
              <w:pageBreakBefore w:val="0"/>
              <w:widowControl w:val="0"/>
              <w:kinsoku/>
              <w:wordWrap/>
              <w:overflowPunct/>
              <w:topLinePunct w:val="0"/>
              <w:autoSpaceDE w:val="0"/>
              <w:autoSpaceDN w:val="0"/>
              <w:bidi w:val="0"/>
              <w:adjustRightInd w:val="0"/>
              <w:snapToGrid w:val="0"/>
              <w:spacing w:line="560" w:lineRule="exact"/>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成交供应商</w:t>
            </w:r>
            <w:r>
              <w:rPr>
                <w:rFonts w:hint="eastAsia" w:ascii="仿宋_GB2312" w:hAnsi="仿宋_GB2312" w:eastAsia="仿宋_GB2312" w:cs="仿宋_GB2312"/>
                <w:color w:val="auto"/>
                <w:sz w:val="28"/>
                <w:szCs w:val="28"/>
              </w:rPr>
              <w:t>全称（盖章）</w:t>
            </w:r>
          </w:p>
        </w:tc>
      </w:tr>
      <w:tr w14:paraId="7227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1A3E18A2">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4FBA4959">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w:t>
            </w:r>
          </w:p>
        </w:tc>
      </w:tr>
      <w:tr w14:paraId="36C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2D60C362">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邮编：</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420F6970">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邮编：</w:t>
            </w:r>
          </w:p>
        </w:tc>
      </w:tr>
      <w:tr w14:paraId="58CC9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48690259">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779D2791">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tc>
      </w:tr>
      <w:tr w14:paraId="71C5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6F82B87D">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被授权代表：（签字）</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410FBBC9">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被授权代表：（签字）</w:t>
            </w:r>
          </w:p>
        </w:tc>
      </w:tr>
      <w:tr w14:paraId="179B0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3FDA3FAC">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电话：</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62FD35AB">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电话：</w:t>
            </w:r>
          </w:p>
        </w:tc>
      </w:tr>
      <w:tr w14:paraId="4DDC0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193B2AF0">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传真：</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572BB9AE">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传真：</w:t>
            </w:r>
          </w:p>
        </w:tc>
      </w:tr>
      <w:tr w14:paraId="264C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2F7208F1">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112BE479">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p>
        </w:tc>
      </w:tr>
      <w:tr w14:paraId="5964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45E4BC58">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帐号：</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7DCA491D">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帐号：</w:t>
            </w:r>
          </w:p>
        </w:tc>
      </w:tr>
      <w:tr w14:paraId="3405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10" w:type="dxa"/>
            <w:tcBorders>
              <w:top w:val="single" w:color="auto" w:sz="4" w:space="0"/>
              <w:left w:val="single" w:color="auto" w:sz="4" w:space="0"/>
              <w:bottom w:val="single" w:color="auto" w:sz="4" w:space="0"/>
              <w:right w:val="single" w:color="auto" w:sz="4" w:space="0"/>
            </w:tcBorders>
            <w:noWrap w:val="0"/>
            <w:vAlign w:val="center"/>
          </w:tcPr>
          <w:p w14:paraId="26236F98">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日期：       年   月   日</w:t>
            </w:r>
          </w:p>
        </w:tc>
        <w:tc>
          <w:tcPr>
            <w:tcW w:w="4510" w:type="dxa"/>
            <w:tcBorders>
              <w:top w:val="single" w:color="auto" w:sz="4" w:space="0"/>
              <w:left w:val="single" w:color="auto" w:sz="4" w:space="0"/>
              <w:bottom w:val="single" w:color="auto" w:sz="4" w:space="0"/>
              <w:right w:val="single" w:color="auto" w:sz="4" w:space="0"/>
            </w:tcBorders>
            <w:noWrap w:val="0"/>
            <w:vAlign w:val="center"/>
          </w:tcPr>
          <w:p w14:paraId="685DDFE8">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日期：       年   月   日</w:t>
            </w:r>
          </w:p>
        </w:tc>
      </w:tr>
    </w:tbl>
    <w:p w14:paraId="5874D4E7">
      <w:pPr>
        <w:pStyle w:val="4"/>
        <w:rPr>
          <w:rFonts w:hint="eastAsia" w:ascii="仿宋_GB2312" w:hAnsi="仿宋_GB2312" w:eastAsia="仿宋_GB2312" w:cs="仿宋_GB2312"/>
          <w:color w:val="auto"/>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lN2RlMTAzNGJmNzEwYWJhNzM0NzU1ZGQ4MTQxNjYifQ=="/>
  </w:docVars>
  <w:rsids>
    <w:rsidRoot w:val="00000000"/>
    <w:rsid w:val="088345DE"/>
    <w:rsid w:val="1AAA39EA"/>
    <w:rsid w:val="219053B8"/>
    <w:rsid w:val="26A236FD"/>
    <w:rsid w:val="26F150A0"/>
    <w:rsid w:val="28F263D7"/>
    <w:rsid w:val="2A105190"/>
    <w:rsid w:val="2DD32414"/>
    <w:rsid w:val="2E43527C"/>
    <w:rsid w:val="318A20EF"/>
    <w:rsid w:val="32BE2FD5"/>
    <w:rsid w:val="36BD137C"/>
    <w:rsid w:val="39A206C6"/>
    <w:rsid w:val="3ABD246F"/>
    <w:rsid w:val="40102A2F"/>
    <w:rsid w:val="416C4999"/>
    <w:rsid w:val="48CD7298"/>
    <w:rsid w:val="4D951DE2"/>
    <w:rsid w:val="52B67508"/>
    <w:rsid w:val="54526DEC"/>
    <w:rsid w:val="5DA44DCA"/>
    <w:rsid w:val="617E0601"/>
    <w:rsid w:val="65AD6633"/>
    <w:rsid w:val="685B323A"/>
    <w:rsid w:val="68FA1D89"/>
    <w:rsid w:val="79956D17"/>
    <w:rsid w:val="7C7033A9"/>
    <w:rsid w:val="7ECE6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jc w:val="left"/>
    </w:pPr>
    <w:rPr>
      <w:rFonts w:ascii="Copperplate Gothic Bold" w:hAnsi="Copperplate Gothic Bold"/>
      <w:sz w:val="28"/>
    </w:rPr>
  </w:style>
  <w:style w:type="paragraph" w:styleId="3">
    <w:name w:val="toc 2"/>
    <w:basedOn w:val="1"/>
    <w:next w:val="1"/>
    <w:qFormat/>
    <w:uiPriority w:val="39"/>
    <w:pPr>
      <w:ind w:left="420" w:leftChars="200"/>
    </w:pPr>
    <w:rPr>
      <w:rFonts w:ascii="Times New Roman" w:hAnsi="Times New Roman"/>
      <w:szCs w:val="24"/>
    </w:rPr>
  </w:style>
  <w:style w:type="paragraph" w:styleId="4">
    <w:name w:val="Body Text First Indent"/>
    <w:basedOn w:val="2"/>
    <w:qFormat/>
    <w:uiPriority w:val="99"/>
    <w:pPr>
      <w:ind w:firstLine="420" w:firstLineChars="100"/>
    </w:pPr>
    <w:rPr>
      <w:rFonts w:ascii="Times New Roman" w:hAnsi="Times New Roman"/>
      <w:sz w:val="18"/>
      <w:szCs w:val="18"/>
    </w:rPr>
  </w:style>
  <w:style w:type="character" w:styleId="7">
    <w:name w:val="Strong"/>
    <w:basedOn w:val="6"/>
    <w:qFormat/>
    <w:uiPriority w:val="0"/>
    <w:rPr>
      <w:b/>
    </w:rPr>
  </w:style>
  <w:style w:type="paragraph" w:customStyle="1" w:styleId="8">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1821</Words>
  <Characters>1871</Characters>
  <Lines>0</Lines>
  <Paragraphs>0</Paragraphs>
  <TotalTime>1</TotalTime>
  <ScaleCrop>false</ScaleCrop>
  <LinksUpToDate>false</LinksUpToDate>
  <CharactersWithSpaces>1948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贤者大愚</cp:lastModifiedBy>
  <cp:lastPrinted>2021-04-13T03:04:00Z</cp:lastPrinted>
  <dcterms:modified xsi:type="dcterms:W3CDTF">2026-04-24T09:14:42Z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80B43089D3F748BE93B71EA15A2A578C_13</vt:lpwstr>
  </property>
  <property fmtid="{D5CDD505-2E9C-101B-9397-08002B2CF9AE}" pid="4" name="KSOTemplateDocerSaveRecord">
    <vt:lpwstr>eyJoZGlkIjoiMDBlNGYyNDFiMGY5NGNjYzViMmE0MTliNDk5ODU4YmMiLCJ1c2VySWQiOiI2NzI0NTIxMzAifQ==</vt:lpwstr>
  </property>
</Properties>
</file>