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版本号：ZCBN-汉中市-2026-0021520260423001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汉中市市军休干部活动中心二期项目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ZCBN-汉中市-2026-00215</w:t>
      </w:r>
      <w:r>
        <w:br/>
      </w:r>
      <w:r>
        <w:br/>
      </w:r>
      <w:r>
        <w:br/>
      </w:r>
    </w:p>
    <w:p>
      <w:pPr>
        <w:pStyle w:val="null3"/>
        <w:jc w:val="center"/>
        <w:outlineLvl w:val="2"/>
      </w:pPr>
      <w:r>
        <w:rPr>
          <w:rFonts w:ascii="仿宋_GB2312" w:hAnsi="仿宋_GB2312" w:cs="仿宋_GB2312" w:eastAsia="仿宋_GB2312"/>
          <w:sz w:val="28"/>
          <w:b/>
        </w:rPr>
        <w:t>汉中市军休干部服务管理中心</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汉中市军休干部服务管理中心</w:t>
      </w:r>
      <w:r>
        <w:rPr>
          <w:rFonts w:ascii="仿宋_GB2312" w:hAnsi="仿宋_GB2312" w:cs="仿宋_GB2312" w:eastAsia="仿宋_GB2312"/>
        </w:rPr>
        <w:t>委托，拟对</w:t>
      </w:r>
      <w:r>
        <w:rPr>
          <w:rFonts w:ascii="仿宋_GB2312" w:hAnsi="仿宋_GB2312" w:cs="仿宋_GB2312" w:eastAsia="仿宋_GB2312"/>
        </w:rPr>
        <w:t>汉中市市军休干部活动中心二期项目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汉中市市军休干部活动中心二期项目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拆除原旧门窗、部分墙体，铲除块料地面；新建240mm厚实心砖墙、轻钢龙骨石膏板隔墙；铺设块料墙地面、轻钢龙骨石膏板吊顶、装饰板墙面；新做断桥铝门窗等工程。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采购包1（汉中市市军休干部活动中心二期项目）：属于专门面向中小企业采购。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4、供应商资质：供应商应具备建设行政部门核发的建筑工程施工总承包三级（含三级）及以上资质，安全生产许可证合格有效</w:t>
      </w:r>
    </w:p>
    <w:p>
      <w:pPr>
        <w:pStyle w:val="null3"/>
      </w:pPr>
      <w:r>
        <w:rPr>
          <w:rFonts w:ascii="仿宋_GB2312" w:hAnsi="仿宋_GB2312" w:cs="仿宋_GB2312" w:eastAsia="仿宋_GB2312"/>
        </w:rPr>
        <w:t>5、拟派项目负责人资质：项目负责人应具备建筑工程专业二级（含二级）及以上注册建造师资格、具有有效的安全考 核合格证（B证），且无在建工程（出具无在建承诺书）；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汉中市军休干部服务管理中心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汉中市汉台区西一环路418号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汉中市军休干部服务管理中心经办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0916-3791360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陕西省汉中市汉台区中山街道办事处风景路古玩文化城院内西二楼北侧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17729063496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采购包1：716,747.04元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开户名称：长安银行股份有限公司汉中兴汉路支行</w:t>
            </w:r>
          </w:p>
          <w:p>
            <w:pPr>
              <w:pStyle w:val="null3"/>
            </w:pPr>
            <w:r>
              <w:rPr>
                <w:rFonts w:ascii="仿宋_GB2312" w:hAnsi="仿宋_GB2312" w:cs="仿宋_GB2312" w:eastAsia="仿宋_GB2312"/>
              </w:rPr>
              <w:t>开户银行：陕西中源项目管理有限公司汉中分公司</w:t>
            </w:r>
          </w:p>
          <w:p>
            <w:pPr>
              <w:pStyle w:val="null3"/>
            </w:pPr>
            <w:r>
              <w:rPr>
                <w:rFonts w:ascii="仿宋_GB2312" w:hAnsi="仿宋_GB2312" w:cs="仿宋_GB2312" w:eastAsia="仿宋_GB2312"/>
              </w:rPr>
              <w:t>银行账号：806060301421006900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汉中市军休干部服务管理中心</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汉中市军休干部服务管理中心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汉中市军休干部服务管理中心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联系电话：17729063496</w:t>
      </w:r>
    </w:p>
    <w:p>
      <w:pPr>
        <w:pStyle w:val="null3"/>
      </w:pPr>
      <w:r>
        <w:rPr>
          <w:rFonts w:ascii="仿宋_GB2312" w:hAnsi="仿宋_GB2312" w:cs="仿宋_GB2312" w:eastAsia="仿宋_GB2312"/>
        </w:rPr>
        <w:t>地址：陕西省汉中市汉台区中山街道办事处风景路古玩文化城院内西二楼北侧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716,747.04</w:t>
      </w:r>
    </w:p>
    <w:p>
      <w:pPr>
        <w:pStyle w:val="null3"/>
      </w:pPr>
      <w:r>
        <w:rPr>
          <w:rFonts w:ascii="仿宋_GB2312" w:hAnsi="仿宋_GB2312" w:cs="仿宋_GB2312" w:eastAsia="仿宋_GB2312"/>
        </w:rPr>
        <w:t>采购包最高限价（元）: 716,725.43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汉中市市军休干部活动中心二期项目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716,747.04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标的名称：汉中市市军休干部活动中心二期项目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7"/>
              </w:rPr>
              <w:t>（1）施工范围：工程量清单内所含的全部内容</w:t>
            </w:r>
          </w:p>
          <w:p>
            <w:pPr>
              <w:pStyle w:val="null3"/>
              <w:ind w:firstLine="560"/>
              <w:jc w:val="both"/>
            </w:pPr>
            <w:r>
              <w:rPr>
                <w:rFonts w:ascii="仿宋_GB2312" w:hAnsi="仿宋_GB2312" w:cs="仿宋_GB2312" w:eastAsia="仿宋_GB2312"/>
                <w:sz w:val="27"/>
              </w:rPr>
              <w:t>（2）工期：120日历天</w:t>
            </w:r>
          </w:p>
          <w:p>
            <w:pPr>
              <w:pStyle w:val="null3"/>
              <w:ind w:firstLine="560"/>
              <w:jc w:val="both"/>
            </w:pPr>
            <w:r>
              <w:rPr>
                <w:rFonts w:ascii="仿宋_GB2312" w:hAnsi="仿宋_GB2312" w:cs="仿宋_GB2312" w:eastAsia="仿宋_GB2312"/>
                <w:sz w:val="27"/>
              </w:rPr>
              <w:t>（3）质量标准：合格标准</w:t>
            </w:r>
          </w:p>
          <w:p>
            <w:pPr>
              <w:pStyle w:val="null3"/>
              <w:ind w:firstLine="560"/>
              <w:jc w:val="both"/>
            </w:pPr>
            <w:r>
              <w:rPr>
                <w:rFonts w:ascii="仿宋_GB2312" w:hAnsi="仿宋_GB2312" w:cs="仿宋_GB2312" w:eastAsia="仿宋_GB2312"/>
                <w:sz w:val="27"/>
              </w:rPr>
              <w:t>（4）本工程计价采用广联达云计价GCCP7.0：版本号7.5000.23.2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供应商应具备建设行政部门核发的建筑工程施工总承包三级（含三级）及以上资质，安全生产许可证合格有效</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 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响应文件按竞争性磋商文件要求在指定地方进行电子签章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供应商应提交的相关资格证明材料(1).pdf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一、评审内容供应商针对本项目编制完善的施工部署，内容包含：①施工目标:成本目标、工期目标、质量目标②施工平面布置与安排：现场围挡及出入口管理、交通组织安排、消防安排、施工平面布置图。 二、评审标准1、完整性：方案必须全面，对评审内容中的各项要求有详细描述； 2、可实施性：切合本项目实际情况，提出步骤清晰、合理的方案； 3、针对性：方案能够紧扣项目实际情况，内容科学合理。 三、赋分标准①施工目标：每完全满足一个评审标准得1 分，满分3分； ②施工平面布置与安排：每完全满足一个评审标准得1分，满分3分；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一、评审内容供应商编制完善的施工总进度计划，内容包含：①施工进度目标②施工进度保障措施。 二、评审标准1、完整性：方案须全面，对评审内容中的各项要求有详细描述及说明； 2、可实施性：切合本项目实际情况，实施步骤清晰、合理； 3、针对性：方案能够紧扣项目实际情况，内容科学合理。三、赋分标准①施工进度目标：每完全满足一个评审标准得1分，满分3分；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一、评审内容供应商编制完善的质量技术措施，内容包含：①质量管理目标②施工质量保障措施③施工质量检验制度。 二、评审标准1、完整性：方案须全面，对评审内容中的各项要求有详细描述及说明；2、可实施性：切合本项目实际情况，实施步骤清晰、合理；3、针对性：方案能够紧扣项目实际情况，内容科学合理。三、赋分标准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一、评审内容供应商编制完善的安全技术措施，内容包含：①安全管理制度②安全责任归属划分③安全标识：安全警戒标语、施工人员安全警示服和安全帽穿配要求④安全教育培训。 二、评审标准1、完整性：方案须全面，对评审内容中的各项要求有详细描述及说明； 2、可实施性：切合本项目实际情况，实施步骤清晰、合理； 3、针对性：方案能够紧扣项目实际情况，内容科学合理。三、赋分标准①安全管理制度：每完全满足一个评审标准得1分，满分3分；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二、评审标准1、完整性：方案须全面，对评审内容中的各项要求有详细描述及说明； 2、可实施性：切合本项目实际情况 ，实施步骤清晰、合理； 3、针对性：方案能够紧扣项目实际情况，内容科学合理。 三、赋分标准①材料、半成品和机具的堆放管理：每完全满足一个评审标准得1分，满分3分；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一、评审内容供应商编制完善的环境保护措施，内容包含：①噪音控制措施②防尘及扬尘的控制措施。 二、评审标准1、完整性：方案须全面，对评审内容中的各项要求有详细描述及说明； 2、可实施性：切合本项目实际情况，实施步骤清晰、合理； 3、针对性：方案能够紧扣项目实际情况，内容科学合理 。三、赋分标准①噪音控制措施 ：每完全满足一个评审标准1分，满分3分；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一、评审内容供应商针对本项目编制主要管理措施，内容包含：①分部分项工程施工方法②成品保护措施 二、评审标准1、完整性：方案须全面，对评审内容中的各项要求有详细描述及说明； 2、可实施性 ：切合本项目实际情况，实施步骤清晰、合理； 3、针对性：方案能够紧扣项目实际情况，内容科学合理。 三、赋分标准①分部分项工程施工方法：每完全满足一个评审标准得1分，满分3分； ②成品保护措施：每完全满足一个评审标准得1分，满分3分；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一、评审内容供应商针对本项目编制资源配置措施，内容包含：①施工机械设备计划②主要材料进场计划③劳动力投入计划 二、评审标准1、完整性：方案须全面，对评审内容中的各项要求有详细描述及说明； 2、可实施性 ：切合本项目实际情况，实施步骤清晰、合理； 3、针对性：方案能够紧扣项目实际情况，内容科学合理。 三、赋分标准①施工机械设备计划：每完全满足一个评审标准得1分，满分3分； ②主要材料进场计划：每完全满足一个评审标准得1分，满分3分；③劳动力投入计划：每完全满足一个评审标准得1分，满分3分；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一、评审内容：项目部人员组成 二、评审标准①人员配置满足本项目需求计5分； ②人员配置基本满足本项目需求计3分；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