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148E">
      <w:pPr>
        <w:pStyle w:val="2"/>
        <w:shd w:val="clear"/>
        <w:jc w:val="center"/>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拟签订的合同文本</w:t>
      </w:r>
    </w:p>
    <w:p w14:paraId="471BB8FA">
      <w:pPr>
        <w:keepNext w:val="0"/>
        <w:keepLines w:val="0"/>
        <w:pageBreakBefore w:val="0"/>
        <w:widowControl w:val="0"/>
        <w:shd w:val="clear"/>
        <w:kinsoku/>
        <w:wordWrap/>
        <w:overflowPunct/>
        <w:topLinePunct w:val="0"/>
        <w:autoSpaceDE/>
        <w:autoSpaceDN/>
        <w:bidi w:val="0"/>
        <w:adjustRightInd w:val="0"/>
        <w:snapToGrid w:val="0"/>
        <w:spacing w:line="360" w:lineRule="auto"/>
        <w:ind w:firstLine="220" w:firstLineChars="100"/>
        <w:jc w:val="left"/>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 注：本合同作为合同的基本格式，甲乙</w:t>
      </w:r>
      <w:r>
        <w:rPr>
          <w:rFonts w:hint="eastAsia" w:ascii="仿宋" w:hAnsi="仿宋" w:eastAsia="仿宋" w:cs="仿宋"/>
          <w:color w:val="000000" w:themeColor="text1"/>
          <w:sz w:val="22"/>
          <w:szCs w:val="22"/>
          <w:highlight w:val="none"/>
          <w:lang w:val="en-US" w:eastAsia="zh-CN"/>
          <w14:textFill>
            <w14:solidFill>
              <w14:schemeClr w14:val="tx1"/>
            </w14:solidFill>
          </w14:textFill>
        </w:rPr>
        <w:t>双</w:t>
      </w:r>
      <w:r>
        <w:rPr>
          <w:rFonts w:hint="eastAsia" w:ascii="仿宋" w:hAnsi="仿宋" w:eastAsia="仿宋" w:cs="仿宋"/>
          <w:color w:val="000000" w:themeColor="text1"/>
          <w:sz w:val="22"/>
          <w:szCs w:val="22"/>
          <w:highlight w:val="none"/>
          <w14:textFill>
            <w14:solidFill>
              <w14:schemeClr w14:val="tx1"/>
            </w14:solidFill>
          </w14:textFill>
        </w:rPr>
        <w:t>方有权在签订合同时对合同的相关条款及内容作进一步细化和修改</w:t>
      </w:r>
      <w:r>
        <w:rPr>
          <w:rFonts w:hint="eastAsia" w:ascii="仿宋" w:hAnsi="仿宋" w:eastAsia="仿宋" w:cs="仿宋"/>
          <w:color w:val="000000" w:themeColor="text1"/>
          <w:sz w:val="22"/>
          <w:szCs w:val="22"/>
          <w:highlight w:val="none"/>
          <w:lang w:eastAsia="zh-CN"/>
          <w14:textFill>
            <w14:solidFill>
              <w14:schemeClr w14:val="tx1"/>
            </w14:solidFill>
          </w14:textFill>
        </w:rPr>
        <w:t>，</w:t>
      </w:r>
      <w:r>
        <w:rPr>
          <w:rFonts w:hint="eastAsia" w:ascii="仿宋" w:hAnsi="仿宋" w:eastAsia="仿宋" w:cs="仿宋"/>
          <w:color w:val="000000" w:themeColor="text1"/>
          <w:sz w:val="22"/>
          <w:szCs w:val="22"/>
          <w:highlight w:val="none"/>
          <w:lang w:val="en-US" w:eastAsia="zh-CN"/>
          <w14:textFill>
            <w14:solidFill>
              <w14:schemeClr w14:val="tx1"/>
            </w14:solidFill>
          </w14:textFill>
        </w:rPr>
        <w:t>但不得偏离招标文件及投标文件</w:t>
      </w:r>
      <w:r>
        <w:rPr>
          <w:rFonts w:hint="eastAsia" w:ascii="仿宋" w:hAnsi="仿宋" w:eastAsia="仿宋" w:cs="仿宋"/>
          <w:color w:val="000000" w:themeColor="text1"/>
          <w:sz w:val="22"/>
          <w:szCs w:val="22"/>
          <w:highlight w:val="none"/>
          <w14:textFill>
            <w14:solidFill>
              <w14:schemeClr w14:val="tx1"/>
            </w14:solidFill>
          </w14:textFill>
        </w:rPr>
        <w:t>）</w:t>
      </w:r>
    </w:p>
    <w:p w14:paraId="7784DEE6">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合同编号：</w:t>
      </w:r>
    </w:p>
    <w:p w14:paraId="37BAE100">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合同名称：</w:t>
      </w:r>
      <w:r>
        <w:rPr>
          <w:rFonts w:hint="eastAsia" w:ascii="仿宋" w:hAnsi="仿宋" w:eastAsia="仿宋" w:cs="仿宋"/>
          <w:color w:val="000000" w:themeColor="text1"/>
          <w:sz w:val="24"/>
          <w:szCs w:val="24"/>
          <w:highlight w:val="none"/>
          <w14:textFill>
            <w14:solidFill>
              <w14:schemeClr w14:val="tx1"/>
            </w14:solidFill>
          </w14:textFill>
        </w:rPr>
        <w:t xml:space="preserve"> </w:t>
      </w:r>
    </w:p>
    <w:p w14:paraId="5C23CEA4">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签订地点： </w:t>
      </w:r>
    </w:p>
    <w:p w14:paraId="0C48F3CE">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签订时间:</w:t>
      </w:r>
    </w:p>
    <w:p w14:paraId="615339B9">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采购人（甲方）：</w:t>
      </w:r>
    </w:p>
    <w:p w14:paraId="553EE56E">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供应商</w:t>
      </w:r>
      <w:r>
        <w:rPr>
          <w:rFonts w:hint="eastAsia" w:ascii="仿宋" w:hAnsi="仿宋" w:eastAsia="仿宋" w:cs="仿宋"/>
          <w:color w:val="000000" w:themeColor="text1"/>
          <w:sz w:val="24"/>
          <w:szCs w:val="24"/>
          <w:highlight w:val="none"/>
          <w14:textFill>
            <w14:solidFill>
              <w14:schemeClr w14:val="tx1"/>
            </w14:solidFill>
          </w14:textFill>
        </w:rPr>
        <w:t>（乙方）：</w:t>
      </w:r>
    </w:p>
    <w:p w14:paraId="6FD33EDE">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根据《中华人民共和国政府采购法》及实施条例、《中华人民共和国民法典》和</w:t>
      </w:r>
      <w:r>
        <w:rPr>
          <w:rFonts w:hint="eastAsia" w:ascii="仿宋" w:hAnsi="仿宋" w:eastAsia="仿宋" w:cs="仿宋"/>
          <w:color w:val="000000" w:themeColor="text1"/>
          <w:sz w:val="24"/>
          <w:szCs w:val="24"/>
          <w:highlight w:val="none"/>
          <w:lang w:val="en-US" w:eastAsia="zh-CN"/>
          <w14:textFill>
            <w14:solidFill>
              <w14:schemeClr w14:val="tx1"/>
            </w14:solidFill>
          </w14:textFill>
        </w:rPr>
        <w:t>招标文件</w:t>
      </w:r>
      <w:r>
        <w:rPr>
          <w:rFonts w:hint="eastAsia" w:ascii="仿宋" w:hAnsi="仿宋" w:eastAsia="仿宋" w:cs="仿宋"/>
          <w:color w:val="000000" w:themeColor="text1"/>
          <w:sz w:val="24"/>
          <w:szCs w:val="24"/>
          <w:highlight w:val="none"/>
          <w14:textFill>
            <w14:solidFill>
              <w14:schemeClr w14:val="tx1"/>
            </w14:solidFill>
          </w14:textFill>
        </w:rPr>
        <w:t>文件、投标文件等有关规定，为确保甲方采购项目的顺利实施，甲、乙双方在平等自愿原则下签订本合同，并共同遵守如下条款：</w:t>
      </w:r>
    </w:p>
    <w:p w14:paraId="5675F4EE">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1" w:firstLineChars="100"/>
        <w:textAlignment w:val="auto"/>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0" w:name="_Toc16582"/>
      <w:r>
        <w:rPr>
          <w:rFonts w:hint="eastAsia" w:ascii="仿宋" w:hAnsi="仿宋" w:eastAsia="仿宋" w:cs="仿宋"/>
          <w:b/>
          <w:color w:val="000000" w:themeColor="text1"/>
          <w:sz w:val="24"/>
          <w:szCs w:val="24"/>
          <w:highlight w:val="none"/>
          <w14:textFill>
            <w14:solidFill>
              <w14:schemeClr w14:val="tx1"/>
            </w14:solidFill>
          </w14:textFill>
        </w:rPr>
        <w:t>第一条 合同标的及数量</w:t>
      </w:r>
      <w:bookmarkEnd w:id="0"/>
    </w:p>
    <w:p w14:paraId="69C4DEA5">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b/>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乙方向甲方提供下列货物（产品）：</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可以以附件形式提供</w:t>
      </w:r>
      <w:r>
        <w:rPr>
          <w:rFonts w:hint="eastAsia" w:ascii="仿宋" w:hAnsi="仿宋" w:eastAsia="仿宋" w:cs="仿宋"/>
          <w:color w:val="000000" w:themeColor="text1"/>
          <w:sz w:val="24"/>
          <w:szCs w:val="24"/>
          <w:highlight w:val="none"/>
          <w:lang w:eastAsia="zh-CN"/>
          <w14:textFill>
            <w14:solidFill>
              <w14:schemeClr w14:val="tx1"/>
            </w14:solidFill>
          </w14:textFill>
        </w:rPr>
        <w:t>）</w:t>
      </w:r>
    </w:p>
    <w:tbl>
      <w:tblPr>
        <w:tblStyle w:val="11"/>
        <w:tblpPr w:leftFromText="180" w:rightFromText="180" w:vertAnchor="text" w:horzAnchor="margin" w:tblpX="-712" w:tblpY="309"/>
        <w:tblW w:w="98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143"/>
        <w:gridCol w:w="915"/>
        <w:gridCol w:w="840"/>
        <w:gridCol w:w="1095"/>
        <w:gridCol w:w="1215"/>
        <w:gridCol w:w="1035"/>
        <w:gridCol w:w="1269"/>
        <w:gridCol w:w="1404"/>
      </w:tblGrid>
      <w:tr w14:paraId="7ECB9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900" w:type="dxa"/>
            <w:vAlign w:val="center"/>
          </w:tcPr>
          <w:p w14:paraId="28C2CCC2">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bookmarkStart w:id="1" w:name="_Toc26243"/>
            <w:r>
              <w:rPr>
                <w:rFonts w:hint="eastAsia" w:ascii="仿宋" w:hAnsi="仿宋" w:eastAsia="仿宋" w:cs="仿宋"/>
                <w:color w:val="000000" w:themeColor="text1"/>
                <w:sz w:val="24"/>
                <w:szCs w:val="24"/>
                <w:highlight w:val="none"/>
                <w14:textFill>
                  <w14:solidFill>
                    <w14:schemeClr w14:val="tx1"/>
                  </w14:solidFill>
                </w14:textFill>
              </w:rPr>
              <w:t>序号</w:t>
            </w:r>
            <w:bookmarkEnd w:id="1"/>
          </w:p>
        </w:tc>
        <w:tc>
          <w:tcPr>
            <w:tcW w:w="1143" w:type="dxa"/>
            <w:vAlign w:val="center"/>
          </w:tcPr>
          <w:p w14:paraId="4324E511">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bookmarkStart w:id="2" w:name="_Toc6556"/>
            <w:r>
              <w:rPr>
                <w:rFonts w:hint="eastAsia" w:ascii="仿宋" w:hAnsi="仿宋" w:eastAsia="仿宋" w:cs="仿宋"/>
                <w:color w:val="000000" w:themeColor="text1"/>
                <w:sz w:val="24"/>
                <w:szCs w:val="24"/>
                <w:highlight w:val="none"/>
                <w14:textFill>
                  <w14:solidFill>
                    <w14:schemeClr w14:val="tx1"/>
                  </w14:solidFill>
                </w14:textFill>
              </w:rPr>
              <w:t>名称</w:t>
            </w:r>
            <w:bookmarkEnd w:id="2"/>
          </w:p>
        </w:tc>
        <w:tc>
          <w:tcPr>
            <w:tcW w:w="915" w:type="dxa"/>
            <w:vAlign w:val="center"/>
          </w:tcPr>
          <w:p w14:paraId="66D4EDC2">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bookmarkStart w:id="3" w:name="_Toc23319"/>
            <w:r>
              <w:rPr>
                <w:rFonts w:hint="eastAsia" w:ascii="仿宋" w:hAnsi="仿宋" w:eastAsia="仿宋" w:cs="仿宋"/>
                <w:color w:val="000000" w:themeColor="text1"/>
                <w:sz w:val="24"/>
                <w:szCs w:val="24"/>
                <w:highlight w:val="none"/>
                <w14:textFill>
                  <w14:solidFill>
                    <w14:schemeClr w14:val="tx1"/>
                  </w14:solidFill>
                </w14:textFill>
              </w:rPr>
              <w:t>规格</w:t>
            </w:r>
            <w:bookmarkEnd w:id="3"/>
          </w:p>
        </w:tc>
        <w:tc>
          <w:tcPr>
            <w:tcW w:w="840" w:type="dxa"/>
            <w:vAlign w:val="center"/>
          </w:tcPr>
          <w:p w14:paraId="277184E8">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bookmarkStart w:id="4" w:name="_Toc28484"/>
            <w:r>
              <w:rPr>
                <w:rFonts w:hint="default" w:ascii="仿宋" w:hAnsi="仿宋" w:eastAsia="仿宋" w:cs="仿宋"/>
                <w:color w:val="000000" w:themeColor="text1"/>
                <w:sz w:val="24"/>
                <w:szCs w:val="24"/>
                <w:highlight w:val="none"/>
                <w:lang w:val="en-US" w:eastAsia="zh-CN"/>
                <w14:textFill>
                  <w14:solidFill>
                    <w14:schemeClr w14:val="tx1"/>
                  </w14:solidFill>
                </w14:textFill>
              </w:rPr>
              <w:t>品牌</w:t>
            </w:r>
          </w:p>
        </w:tc>
        <w:tc>
          <w:tcPr>
            <w:tcW w:w="1095" w:type="dxa"/>
            <w:vAlign w:val="center"/>
          </w:tcPr>
          <w:p w14:paraId="3B793630">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制造商</w:t>
            </w:r>
          </w:p>
        </w:tc>
        <w:tc>
          <w:tcPr>
            <w:tcW w:w="1215" w:type="dxa"/>
            <w:vAlign w:val="center"/>
          </w:tcPr>
          <w:p w14:paraId="2C1BD7C8">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计量单位</w:t>
            </w:r>
            <w:bookmarkEnd w:id="4"/>
          </w:p>
        </w:tc>
        <w:tc>
          <w:tcPr>
            <w:tcW w:w="1035" w:type="dxa"/>
            <w:vAlign w:val="center"/>
          </w:tcPr>
          <w:p w14:paraId="26523ACD">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bookmarkStart w:id="5" w:name="_Toc11791"/>
            <w:r>
              <w:rPr>
                <w:rFonts w:hint="eastAsia" w:ascii="仿宋" w:hAnsi="仿宋" w:eastAsia="仿宋" w:cs="仿宋"/>
                <w:color w:val="000000" w:themeColor="text1"/>
                <w:sz w:val="24"/>
                <w:szCs w:val="24"/>
                <w:highlight w:val="none"/>
                <w14:textFill>
                  <w14:solidFill>
                    <w14:schemeClr w14:val="tx1"/>
                  </w14:solidFill>
                </w14:textFill>
              </w:rPr>
              <w:t>数量</w:t>
            </w:r>
            <w:bookmarkEnd w:id="5"/>
          </w:p>
        </w:tc>
        <w:tc>
          <w:tcPr>
            <w:tcW w:w="1269" w:type="dxa"/>
            <w:vAlign w:val="center"/>
          </w:tcPr>
          <w:p w14:paraId="7EDB94D5">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bookmarkStart w:id="6" w:name="_Toc12328"/>
            <w:r>
              <w:rPr>
                <w:rFonts w:hint="eastAsia" w:ascii="仿宋" w:hAnsi="仿宋" w:eastAsia="仿宋" w:cs="仿宋"/>
                <w:color w:val="000000" w:themeColor="text1"/>
                <w:sz w:val="24"/>
                <w:szCs w:val="24"/>
                <w:highlight w:val="none"/>
                <w14:textFill>
                  <w14:solidFill>
                    <w14:schemeClr w14:val="tx1"/>
                  </w14:solidFill>
                </w14:textFill>
              </w:rPr>
              <w:t>单价（元）</w:t>
            </w:r>
            <w:bookmarkEnd w:id="6"/>
          </w:p>
        </w:tc>
        <w:tc>
          <w:tcPr>
            <w:tcW w:w="1404" w:type="dxa"/>
            <w:vAlign w:val="center"/>
          </w:tcPr>
          <w:p w14:paraId="5AA768B7">
            <w:pPr>
              <w:pStyle w:val="3"/>
              <w:keepNext w:val="0"/>
              <w:keepLines w:val="0"/>
              <w:pageBreakBefore w:val="0"/>
              <w:widowControl w:val="0"/>
              <w:shd w:val="clear"/>
              <w:kinsoku/>
              <w:wordWrap/>
              <w:overflowPunct/>
              <w:topLinePunct w:val="0"/>
              <w:autoSpaceDE/>
              <w:autoSpaceDN/>
              <w:bidi w:val="0"/>
              <w:adjustRightInd w:val="0"/>
              <w:snapToGrid w:val="0"/>
              <w:spacing w:line="240" w:lineRule="auto"/>
              <w:ind w:left="0" w:firstLine="241"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bookmarkStart w:id="7" w:name="_Toc7450"/>
            <w:r>
              <w:rPr>
                <w:rFonts w:hint="eastAsia" w:ascii="仿宋" w:hAnsi="仿宋" w:eastAsia="仿宋" w:cs="仿宋"/>
                <w:color w:val="000000" w:themeColor="text1"/>
                <w:sz w:val="24"/>
                <w:szCs w:val="24"/>
                <w:highlight w:val="none"/>
                <w14:textFill>
                  <w14:solidFill>
                    <w14:schemeClr w14:val="tx1"/>
                  </w14:solidFill>
                </w14:textFill>
              </w:rPr>
              <w:t>金额 (元)</w:t>
            </w:r>
            <w:bookmarkEnd w:id="7"/>
          </w:p>
        </w:tc>
      </w:tr>
      <w:tr w14:paraId="6CD58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081A7108">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143" w:type="dxa"/>
          </w:tcPr>
          <w:p w14:paraId="4D4E3B0C">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15" w:type="dxa"/>
          </w:tcPr>
          <w:p w14:paraId="7FBA7640">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40" w:type="dxa"/>
          </w:tcPr>
          <w:p w14:paraId="5E4825C1">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95" w:type="dxa"/>
          </w:tcPr>
          <w:p w14:paraId="1E992B2D">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5" w:type="dxa"/>
          </w:tcPr>
          <w:p w14:paraId="642C1C48">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35" w:type="dxa"/>
          </w:tcPr>
          <w:p w14:paraId="72F1FE70">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69" w:type="dxa"/>
          </w:tcPr>
          <w:p w14:paraId="4CED1197">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04" w:type="dxa"/>
          </w:tcPr>
          <w:p w14:paraId="3AB22ADC">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4B59F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656EFABE">
            <w:pPr>
              <w:pStyle w:val="4"/>
              <w:shd w:val="clear"/>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143" w:type="dxa"/>
          </w:tcPr>
          <w:p w14:paraId="3B53A880">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15" w:type="dxa"/>
          </w:tcPr>
          <w:p w14:paraId="3172975C">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40" w:type="dxa"/>
          </w:tcPr>
          <w:p w14:paraId="521CB0A1">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95" w:type="dxa"/>
          </w:tcPr>
          <w:p w14:paraId="1A157652">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5" w:type="dxa"/>
          </w:tcPr>
          <w:p w14:paraId="41F41378">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35" w:type="dxa"/>
          </w:tcPr>
          <w:p w14:paraId="7910DFE6">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69" w:type="dxa"/>
          </w:tcPr>
          <w:p w14:paraId="33EB7318">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04" w:type="dxa"/>
          </w:tcPr>
          <w:p w14:paraId="382F53AA">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1F03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7F5B0387">
            <w:pPr>
              <w:pStyle w:val="4"/>
              <w:shd w:val="clear"/>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143" w:type="dxa"/>
          </w:tcPr>
          <w:p w14:paraId="10CB2CA9">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15" w:type="dxa"/>
          </w:tcPr>
          <w:p w14:paraId="315721EC">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40" w:type="dxa"/>
          </w:tcPr>
          <w:p w14:paraId="414C8E69">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95" w:type="dxa"/>
          </w:tcPr>
          <w:p w14:paraId="5C6BE112">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5" w:type="dxa"/>
          </w:tcPr>
          <w:p w14:paraId="760A11FB">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35" w:type="dxa"/>
          </w:tcPr>
          <w:p w14:paraId="7A475164">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69" w:type="dxa"/>
          </w:tcPr>
          <w:p w14:paraId="291E7F2E">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04" w:type="dxa"/>
          </w:tcPr>
          <w:p w14:paraId="1416B8AB">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7DAC4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129C369E">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143" w:type="dxa"/>
          </w:tcPr>
          <w:p w14:paraId="39A94F54">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15" w:type="dxa"/>
          </w:tcPr>
          <w:p w14:paraId="76AED951">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40" w:type="dxa"/>
          </w:tcPr>
          <w:p w14:paraId="78983596">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95" w:type="dxa"/>
          </w:tcPr>
          <w:p w14:paraId="70A5CB62">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5" w:type="dxa"/>
          </w:tcPr>
          <w:p w14:paraId="06EE4C06">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35" w:type="dxa"/>
          </w:tcPr>
          <w:p w14:paraId="716A6154">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69" w:type="dxa"/>
          </w:tcPr>
          <w:p w14:paraId="4FAFBD17">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04" w:type="dxa"/>
          </w:tcPr>
          <w:p w14:paraId="67E85EDB">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4A8B4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3FD431F5">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143" w:type="dxa"/>
          </w:tcPr>
          <w:p w14:paraId="153872BD">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15" w:type="dxa"/>
          </w:tcPr>
          <w:p w14:paraId="0F9E4C4F">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40" w:type="dxa"/>
          </w:tcPr>
          <w:p w14:paraId="5ACFE5A3">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95" w:type="dxa"/>
          </w:tcPr>
          <w:p w14:paraId="15BC98CC">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5" w:type="dxa"/>
          </w:tcPr>
          <w:p w14:paraId="6CAE3BF3">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35" w:type="dxa"/>
          </w:tcPr>
          <w:p w14:paraId="5ADC8DED">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69" w:type="dxa"/>
          </w:tcPr>
          <w:p w14:paraId="54072AF9">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04" w:type="dxa"/>
          </w:tcPr>
          <w:p w14:paraId="5510887E">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1AF32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7DC70F32">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143" w:type="dxa"/>
          </w:tcPr>
          <w:p w14:paraId="209FC80C">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15" w:type="dxa"/>
          </w:tcPr>
          <w:p w14:paraId="146A4247">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40" w:type="dxa"/>
          </w:tcPr>
          <w:p w14:paraId="420AB2F9">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95" w:type="dxa"/>
          </w:tcPr>
          <w:p w14:paraId="3D12B833">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5" w:type="dxa"/>
          </w:tcPr>
          <w:p w14:paraId="1050FDAD">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35" w:type="dxa"/>
          </w:tcPr>
          <w:p w14:paraId="558E480E">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69" w:type="dxa"/>
          </w:tcPr>
          <w:p w14:paraId="58A109A8">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04" w:type="dxa"/>
          </w:tcPr>
          <w:p w14:paraId="15A58392">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48A21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2958" w:type="dxa"/>
            <w:gridSpan w:val="3"/>
          </w:tcPr>
          <w:p w14:paraId="1C875AE8">
            <w:pPr>
              <w:pStyle w:val="3"/>
              <w:shd w:val="clear"/>
              <w:ind w:firstLine="354" w:firstLineChars="147"/>
              <w:rPr>
                <w:rFonts w:hint="eastAsia" w:ascii="仿宋" w:hAnsi="仿宋" w:eastAsia="仿宋" w:cs="仿宋"/>
                <w:color w:val="000000" w:themeColor="text1"/>
                <w:sz w:val="24"/>
                <w:szCs w:val="24"/>
                <w:highlight w:val="none"/>
                <w14:textFill>
                  <w14:solidFill>
                    <w14:schemeClr w14:val="tx1"/>
                  </w14:solidFill>
                </w14:textFill>
              </w:rPr>
            </w:pPr>
            <w:bookmarkStart w:id="8" w:name="_Toc12416"/>
            <w:r>
              <w:rPr>
                <w:rFonts w:hint="eastAsia" w:ascii="仿宋" w:hAnsi="仿宋" w:eastAsia="仿宋" w:cs="仿宋"/>
                <w:color w:val="000000" w:themeColor="text1"/>
                <w:sz w:val="24"/>
                <w:szCs w:val="24"/>
                <w:highlight w:val="none"/>
                <w14:textFill>
                  <w14:solidFill>
                    <w14:schemeClr w14:val="tx1"/>
                  </w14:solidFill>
                </w14:textFill>
              </w:rPr>
              <w:t>合计</w:t>
            </w:r>
            <w:bookmarkEnd w:id="8"/>
          </w:p>
        </w:tc>
        <w:tc>
          <w:tcPr>
            <w:tcW w:w="840" w:type="dxa"/>
            <w:vAlign w:val="center"/>
          </w:tcPr>
          <w:p w14:paraId="24F84BC6">
            <w:pPr>
              <w:pStyle w:val="3"/>
              <w:shd w:val="clear"/>
              <w:rPr>
                <w:rFonts w:hint="eastAsia" w:ascii="仿宋" w:hAnsi="仿宋" w:eastAsia="仿宋" w:cs="仿宋"/>
                <w:color w:val="000000" w:themeColor="text1"/>
                <w:sz w:val="24"/>
                <w:szCs w:val="24"/>
                <w:highlight w:val="none"/>
                <w14:textFill>
                  <w14:solidFill>
                    <w14:schemeClr w14:val="tx1"/>
                  </w14:solidFill>
                </w14:textFill>
              </w:rPr>
            </w:pPr>
            <w:bookmarkStart w:id="9" w:name="_Toc3021"/>
          </w:p>
        </w:tc>
        <w:tc>
          <w:tcPr>
            <w:tcW w:w="1095" w:type="dxa"/>
            <w:vAlign w:val="center"/>
          </w:tcPr>
          <w:p w14:paraId="23DA1EA0">
            <w:pPr>
              <w:pStyle w:val="3"/>
              <w:shd w:val="clear"/>
              <w:rPr>
                <w:rFonts w:hint="eastAsia" w:ascii="仿宋" w:hAnsi="仿宋" w:eastAsia="仿宋" w:cs="仿宋"/>
                <w:color w:val="000000" w:themeColor="text1"/>
                <w:sz w:val="24"/>
                <w:szCs w:val="24"/>
                <w:highlight w:val="none"/>
                <w14:textFill>
                  <w14:solidFill>
                    <w14:schemeClr w14:val="tx1"/>
                  </w14:solidFill>
                </w14:textFill>
              </w:rPr>
            </w:pPr>
          </w:p>
        </w:tc>
        <w:tc>
          <w:tcPr>
            <w:tcW w:w="2250" w:type="dxa"/>
            <w:gridSpan w:val="2"/>
            <w:vAlign w:val="center"/>
          </w:tcPr>
          <w:p w14:paraId="541BBA4C">
            <w:pPr>
              <w:pStyle w:val="3"/>
              <w:shd w:val="clea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大写</w:t>
            </w:r>
            <w:bookmarkEnd w:id="9"/>
          </w:p>
        </w:tc>
        <w:tc>
          <w:tcPr>
            <w:tcW w:w="2673" w:type="dxa"/>
            <w:gridSpan w:val="2"/>
            <w:vAlign w:val="center"/>
          </w:tcPr>
          <w:p w14:paraId="4AE5EACF">
            <w:pPr>
              <w:pStyle w:val="3"/>
              <w:shd w:val="clear"/>
              <w:rPr>
                <w:rFonts w:hint="eastAsia" w:ascii="仿宋" w:hAnsi="仿宋" w:eastAsia="仿宋" w:cs="仿宋"/>
                <w:color w:val="000000" w:themeColor="text1"/>
                <w:sz w:val="24"/>
                <w:szCs w:val="24"/>
                <w:highlight w:val="none"/>
                <w14:textFill>
                  <w14:solidFill>
                    <w14:schemeClr w14:val="tx1"/>
                  </w14:solidFill>
                </w14:textFill>
              </w:rPr>
            </w:pPr>
            <w:bookmarkStart w:id="10" w:name="_Toc3291"/>
            <w:r>
              <w:rPr>
                <w:rFonts w:hint="default" w:ascii="Arial" w:hAnsi="Arial" w:eastAsia="仿宋" w:cs="Arial"/>
                <w:color w:val="000000" w:themeColor="text1"/>
                <w:sz w:val="24"/>
                <w:szCs w:val="24"/>
                <w:highlight w:val="none"/>
                <w14:textFill>
                  <w14:solidFill>
                    <w14:schemeClr w14:val="tx1"/>
                  </w14:solidFill>
                </w14:textFill>
              </w:rPr>
              <w:t>¥</w:t>
            </w:r>
            <w:bookmarkEnd w:id="10"/>
          </w:p>
        </w:tc>
      </w:tr>
    </w:tbl>
    <w:p w14:paraId="02EB2EFF">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1" w:firstLineChars="100"/>
        <w:jc w:val="both"/>
        <w:textAlignment w:val="auto"/>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11" w:name="_Toc5759"/>
      <w:r>
        <w:rPr>
          <w:rFonts w:hint="eastAsia" w:ascii="仿宋" w:hAnsi="仿宋" w:eastAsia="仿宋" w:cs="仿宋"/>
          <w:b/>
          <w:color w:val="000000" w:themeColor="text1"/>
          <w:sz w:val="24"/>
          <w:szCs w:val="24"/>
          <w:highlight w:val="none"/>
          <w14:textFill>
            <w14:solidFill>
              <w14:schemeClr w14:val="tx1"/>
            </w14:solidFill>
          </w14:textFill>
        </w:rPr>
        <w:t>第二条 合同价款</w:t>
      </w:r>
      <w:bookmarkEnd w:id="11"/>
    </w:p>
    <w:p w14:paraId="36A0BB56">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b w:val="0"/>
          <w:color w:val="000000" w:themeColor="text1"/>
          <w:sz w:val="24"/>
          <w:szCs w:val="24"/>
          <w:highlight w:val="none"/>
          <w14:textFill>
            <w14:solidFill>
              <w14:schemeClr w14:val="tx1"/>
            </w14:solidFill>
          </w14:textFill>
        </w:rPr>
      </w:pPr>
      <w:bookmarkStart w:id="12" w:name="_Toc16920"/>
      <w:r>
        <w:rPr>
          <w:rFonts w:hint="eastAsia" w:ascii="仿宋" w:hAnsi="仿宋" w:eastAsia="仿宋" w:cs="仿宋"/>
          <w:b w:val="0"/>
          <w:color w:val="000000" w:themeColor="text1"/>
          <w:sz w:val="24"/>
          <w:szCs w:val="24"/>
          <w:highlight w:val="none"/>
          <w14:textFill>
            <w14:solidFill>
              <w14:schemeClr w14:val="tx1"/>
            </w14:solidFill>
          </w14:textFill>
        </w:rPr>
        <w:t>1、</w:t>
      </w:r>
      <w:r>
        <w:rPr>
          <w:rFonts w:hint="eastAsia" w:ascii="仿宋" w:hAnsi="仿宋" w:eastAsia="仿宋" w:cs="仿宋"/>
          <w:b w:val="0"/>
          <w:color w:val="000000" w:themeColor="text1"/>
          <w:sz w:val="24"/>
          <w:szCs w:val="24"/>
          <w:highlight w:val="none"/>
          <w:lang w:eastAsia="zh-CN"/>
          <w14:textFill>
            <w14:solidFill>
              <w14:schemeClr w14:val="tx1"/>
            </w14:solidFill>
          </w14:textFill>
        </w:rPr>
        <w:t>合同总金额</w:t>
      </w:r>
      <w:r>
        <w:rPr>
          <w:rFonts w:hint="eastAsia" w:ascii="仿宋" w:hAnsi="仿宋" w:eastAsia="仿宋" w:cs="仿宋"/>
          <w:b w:val="0"/>
          <w:color w:val="000000" w:themeColor="text1"/>
          <w:sz w:val="24"/>
          <w:szCs w:val="24"/>
          <w:highlight w:val="none"/>
          <w14:textFill>
            <w14:solidFill>
              <w14:schemeClr w14:val="tx1"/>
            </w14:solidFill>
          </w14:textFill>
        </w:rPr>
        <w:t>为人民币</w:t>
      </w:r>
      <w:r>
        <w:rPr>
          <w:rFonts w:hint="eastAsia" w:ascii="仿宋" w:hAnsi="仿宋" w:eastAsia="仿宋" w:cs="仿宋"/>
          <w:b w:val="0"/>
          <w:color w:val="000000" w:themeColor="text1"/>
          <w:sz w:val="24"/>
          <w:szCs w:val="24"/>
          <w:highlight w:val="none"/>
          <w:u w:val="single"/>
          <w14:textFill>
            <w14:solidFill>
              <w14:schemeClr w14:val="tx1"/>
            </w14:solidFill>
          </w14:textFill>
        </w:rPr>
        <w:t>大写：</w:t>
      </w:r>
      <w:r>
        <w:rPr>
          <w:rFonts w:hint="eastAsia" w:ascii="仿宋" w:hAnsi="仿宋" w:eastAsia="仿宋" w:cs="仿宋"/>
          <w:b w:val="0"/>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b w:val="0"/>
          <w:color w:val="000000" w:themeColor="text1"/>
          <w:sz w:val="24"/>
          <w:szCs w:val="24"/>
          <w:highlight w:val="none"/>
          <w:u w:val="single"/>
          <w14:textFill>
            <w14:solidFill>
              <w14:schemeClr w14:val="tx1"/>
            </w14:solidFill>
          </w14:textFill>
        </w:rPr>
        <w:t>，</w:t>
      </w:r>
      <w:r>
        <w:rPr>
          <w:rFonts w:hint="eastAsia" w:ascii="仿宋" w:hAnsi="仿宋" w:eastAsia="仿宋" w:cs="仿宋"/>
          <w:b w:val="0"/>
          <w:color w:val="000000" w:themeColor="text1"/>
          <w:sz w:val="24"/>
          <w:szCs w:val="24"/>
          <w:highlight w:val="none"/>
          <w:u w:val="single"/>
          <w:lang w:val="en-US" w:eastAsia="zh-CN"/>
          <w14:textFill>
            <w14:solidFill>
              <w14:schemeClr w14:val="tx1"/>
            </w14:solidFill>
          </w14:textFill>
        </w:rPr>
        <w:t xml:space="preserve">小写：      </w:t>
      </w:r>
      <w:r>
        <w:rPr>
          <w:rFonts w:hint="eastAsia" w:ascii="仿宋" w:hAnsi="仿宋" w:eastAsia="仿宋" w:cs="仿宋"/>
          <w:b w:val="0"/>
          <w:color w:val="000000" w:themeColor="text1"/>
          <w:sz w:val="24"/>
          <w:szCs w:val="24"/>
          <w:highlight w:val="none"/>
          <w14:textFill>
            <w14:solidFill>
              <w14:schemeClr w14:val="tx1"/>
            </w14:solidFill>
          </w14:textFill>
        </w:rPr>
        <w:t>。</w:t>
      </w:r>
      <w:bookmarkEnd w:id="12"/>
    </w:p>
    <w:p w14:paraId="7843DAEF">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b w:val="0"/>
          <w:color w:val="000000" w:themeColor="text1"/>
          <w:sz w:val="24"/>
          <w:szCs w:val="24"/>
          <w:highlight w:val="none"/>
          <w14:textFill>
            <w14:solidFill>
              <w14:schemeClr w14:val="tx1"/>
            </w14:solidFill>
          </w14:textFill>
        </w:rPr>
      </w:pPr>
      <w:bookmarkStart w:id="13" w:name="_Toc22771"/>
      <w:r>
        <w:rPr>
          <w:rFonts w:hint="eastAsia" w:ascii="仿宋" w:hAnsi="仿宋" w:eastAsia="仿宋" w:cs="仿宋"/>
          <w:b w:val="0"/>
          <w:color w:val="000000" w:themeColor="text1"/>
          <w:sz w:val="24"/>
          <w:szCs w:val="24"/>
          <w:highlight w:val="none"/>
          <w14:textFill>
            <w14:solidFill>
              <w14:schemeClr w14:val="tx1"/>
            </w14:solidFill>
          </w14:textFill>
        </w:rPr>
        <w:t>2、本</w:t>
      </w:r>
      <w:r>
        <w:rPr>
          <w:rFonts w:hint="eastAsia" w:ascii="仿宋" w:hAnsi="仿宋" w:eastAsia="仿宋" w:cs="仿宋"/>
          <w:b w:val="0"/>
          <w:color w:val="000000" w:themeColor="text1"/>
          <w:sz w:val="24"/>
          <w:szCs w:val="24"/>
          <w:highlight w:val="none"/>
          <w:lang w:eastAsia="zh-CN"/>
          <w14:textFill>
            <w14:solidFill>
              <w14:schemeClr w14:val="tx1"/>
            </w14:solidFill>
          </w14:textFill>
        </w:rPr>
        <w:t>合同总金额</w:t>
      </w:r>
      <w:r>
        <w:rPr>
          <w:rFonts w:hint="eastAsia" w:ascii="仿宋" w:hAnsi="仿宋" w:eastAsia="仿宋" w:cs="仿宋"/>
          <w:b w:val="0"/>
          <w:color w:val="000000" w:themeColor="text1"/>
          <w:sz w:val="24"/>
          <w:szCs w:val="24"/>
          <w:highlight w:val="none"/>
          <w14:textFill>
            <w14:solidFill>
              <w14:schemeClr w14:val="tx1"/>
            </w14:solidFill>
          </w14:textFill>
        </w:rPr>
        <w:t>是</w:t>
      </w:r>
      <w:r>
        <w:rPr>
          <w:rFonts w:hint="eastAsia" w:ascii="仿宋" w:hAnsi="仿宋" w:eastAsia="仿宋" w:cs="仿宋"/>
          <w:b w:val="0"/>
          <w:color w:val="000000" w:themeColor="text1"/>
          <w:sz w:val="24"/>
          <w:szCs w:val="24"/>
          <w:highlight w:val="none"/>
          <w:lang w:val="en-US" w:eastAsia="zh-CN"/>
          <w14:textFill>
            <w14:solidFill>
              <w14:schemeClr w14:val="tx1"/>
            </w14:solidFill>
          </w14:textFill>
        </w:rPr>
        <w:t>货物</w:t>
      </w:r>
      <w:r>
        <w:rPr>
          <w:rFonts w:hint="eastAsia" w:ascii="仿宋" w:hAnsi="仿宋" w:eastAsia="仿宋" w:cs="仿宋"/>
          <w:b w:val="0"/>
          <w:color w:val="000000" w:themeColor="text1"/>
          <w:sz w:val="24"/>
          <w:szCs w:val="24"/>
          <w:highlight w:val="none"/>
          <w14:textFill>
            <w14:solidFill>
              <w14:schemeClr w14:val="tx1"/>
            </w14:solidFill>
          </w14:textFill>
        </w:rPr>
        <w:t>（产品）包装、运输等其他有关各项的含税费用。</w:t>
      </w:r>
      <w:bookmarkEnd w:id="13"/>
    </w:p>
    <w:p w14:paraId="08209724">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b w:val="0"/>
          <w:color w:val="000000" w:themeColor="text1"/>
          <w:sz w:val="24"/>
          <w:szCs w:val="24"/>
          <w:highlight w:val="none"/>
          <w14:textFill>
            <w14:solidFill>
              <w14:schemeClr w14:val="tx1"/>
            </w14:solidFill>
          </w14:textFill>
        </w:rPr>
      </w:pPr>
      <w:bookmarkStart w:id="14" w:name="_Toc11740"/>
      <w:r>
        <w:rPr>
          <w:rFonts w:hint="eastAsia" w:ascii="仿宋" w:hAnsi="仿宋" w:eastAsia="仿宋" w:cs="仿宋"/>
          <w:b w:val="0"/>
          <w:color w:val="000000" w:themeColor="text1"/>
          <w:sz w:val="24"/>
          <w:szCs w:val="24"/>
          <w:highlight w:val="none"/>
          <w14:textFill>
            <w14:solidFill>
              <w14:schemeClr w14:val="tx1"/>
            </w14:solidFill>
          </w14:textFill>
        </w:rPr>
        <w:t>3、本</w:t>
      </w:r>
      <w:r>
        <w:rPr>
          <w:rFonts w:hint="eastAsia" w:ascii="仿宋" w:hAnsi="仿宋" w:eastAsia="仿宋" w:cs="仿宋"/>
          <w:b w:val="0"/>
          <w:color w:val="000000" w:themeColor="text1"/>
          <w:sz w:val="24"/>
          <w:szCs w:val="24"/>
          <w:highlight w:val="none"/>
          <w:lang w:eastAsia="zh-CN"/>
          <w14:textFill>
            <w14:solidFill>
              <w14:schemeClr w14:val="tx1"/>
            </w14:solidFill>
          </w14:textFill>
        </w:rPr>
        <w:t>合同总金额</w:t>
      </w:r>
      <w:r>
        <w:rPr>
          <w:rFonts w:hint="eastAsia" w:ascii="仿宋" w:hAnsi="仿宋" w:eastAsia="仿宋" w:cs="仿宋"/>
          <w:b w:val="0"/>
          <w:color w:val="000000" w:themeColor="text1"/>
          <w:sz w:val="24"/>
          <w:szCs w:val="24"/>
          <w:highlight w:val="none"/>
          <w14:textFill>
            <w14:solidFill>
              <w14:schemeClr w14:val="tx1"/>
            </w14:solidFill>
          </w14:textFill>
        </w:rPr>
        <w:t>还包含乙方应当提供的伴随服务和售后服务费用。</w:t>
      </w:r>
      <w:bookmarkEnd w:id="14"/>
    </w:p>
    <w:p w14:paraId="3526632D">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b w:val="0"/>
          <w:color w:val="000000" w:themeColor="text1"/>
          <w:sz w:val="24"/>
          <w:szCs w:val="24"/>
          <w:highlight w:val="none"/>
          <w14:textFill>
            <w14:solidFill>
              <w14:schemeClr w14:val="tx1"/>
            </w14:solidFill>
          </w14:textFill>
        </w:rPr>
      </w:pPr>
      <w:bookmarkStart w:id="15" w:name="_Toc28511"/>
      <w:r>
        <w:rPr>
          <w:rFonts w:hint="eastAsia" w:ascii="仿宋" w:hAnsi="仿宋" w:eastAsia="仿宋" w:cs="仿宋"/>
          <w:b w:val="0"/>
          <w:color w:val="000000" w:themeColor="text1"/>
          <w:sz w:val="24"/>
          <w:szCs w:val="24"/>
          <w:highlight w:val="none"/>
          <w14:textFill>
            <w14:solidFill>
              <w14:schemeClr w14:val="tx1"/>
            </w14:solidFill>
          </w14:textFill>
        </w:rPr>
        <w:t>4、本合同执行期间</w:t>
      </w:r>
      <w:r>
        <w:rPr>
          <w:rFonts w:hint="eastAsia" w:ascii="仿宋" w:hAnsi="仿宋" w:eastAsia="仿宋" w:cs="仿宋"/>
          <w:b w:val="0"/>
          <w:color w:val="000000" w:themeColor="text1"/>
          <w:sz w:val="24"/>
          <w:szCs w:val="24"/>
          <w:highlight w:val="none"/>
          <w:lang w:eastAsia="zh-CN"/>
          <w14:textFill>
            <w14:solidFill>
              <w14:schemeClr w14:val="tx1"/>
            </w14:solidFill>
          </w14:textFill>
        </w:rPr>
        <w:t>合同总金额</w:t>
      </w:r>
      <w:r>
        <w:rPr>
          <w:rFonts w:hint="eastAsia" w:ascii="仿宋" w:hAnsi="仿宋" w:eastAsia="仿宋" w:cs="仿宋"/>
          <w:b w:val="0"/>
          <w:color w:val="000000" w:themeColor="text1"/>
          <w:sz w:val="24"/>
          <w:szCs w:val="24"/>
          <w:highlight w:val="none"/>
          <w14:textFill>
            <w14:solidFill>
              <w14:schemeClr w14:val="tx1"/>
            </w14:solidFill>
          </w14:textFill>
        </w:rPr>
        <w:t>不变，甲方无须另向乙方支付本合同规定之外的其他任何费用。</w:t>
      </w:r>
      <w:bookmarkEnd w:id="15"/>
    </w:p>
    <w:p w14:paraId="49F7616C">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b w:val="0"/>
          <w:color w:val="000000" w:themeColor="text1"/>
          <w:sz w:val="24"/>
          <w:szCs w:val="24"/>
          <w:highlight w:val="none"/>
          <w14:textFill>
            <w14:solidFill>
              <w14:schemeClr w14:val="tx1"/>
            </w14:solidFill>
          </w14:textFill>
        </w:rPr>
      </w:pPr>
      <w:bookmarkStart w:id="16" w:name="_Toc1038"/>
      <w:r>
        <w:rPr>
          <w:rFonts w:hint="eastAsia" w:ascii="仿宋" w:hAnsi="仿宋" w:eastAsia="仿宋" w:cs="仿宋"/>
          <w:b w:val="0"/>
          <w:color w:val="000000" w:themeColor="text1"/>
          <w:sz w:val="24"/>
          <w:szCs w:val="24"/>
          <w:highlight w:val="none"/>
          <w14:textFill>
            <w14:solidFill>
              <w14:schemeClr w14:val="tx1"/>
            </w14:solidFill>
          </w14:textFill>
        </w:rPr>
        <w:t>5、本合同总金额需包含完成本项目所必须的全部费用。（产品如涉及专利等方面问题，应按国家相关规定取得授权并确保不发生纠纷，乙方须承担相关费用，如产生纠纷由乙方承担全部责任。）</w:t>
      </w:r>
      <w:bookmarkEnd w:id="16"/>
    </w:p>
    <w:p w14:paraId="5F4F2E8E">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jc w:val="both"/>
        <w:rPr>
          <w:rFonts w:hint="eastAsia" w:ascii="仿宋" w:hAnsi="仿宋" w:eastAsia="仿宋" w:cs="仿宋"/>
          <w:color w:val="000000" w:themeColor="text1"/>
          <w:sz w:val="24"/>
          <w:szCs w:val="24"/>
          <w:highlight w:val="none"/>
          <w14:textFill>
            <w14:solidFill>
              <w14:schemeClr w14:val="tx1"/>
            </w14:solidFill>
          </w14:textFill>
        </w:rPr>
      </w:pPr>
      <w:bookmarkStart w:id="17" w:name="_Toc11403"/>
      <w:r>
        <w:rPr>
          <w:rFonts w:hint="eastAsia" w:ascii="仿宋" w:hAnsi="仿宋" w:eastAsia="仿宋" w:cs="仿宋"/>
          <w:color w:val="000000" w:themeColor="text1"/>
          <w:sz w:val="24"/>
          <w:szCs w:val="24"/>
          <w:highlight w:val="none"/>
          <w14:textFill>
            <w14:solidFill>
              <w14:schemeClr w14:val="tx1"/>
            </w14:solidFill>
          </w14:textFill>
        </w:rPr>
        <w:t>第三条 履约保证金</w:t>
      </w:r>
    </w:p>
    <w:p w14:paraId="0BEFFE35">
      <w:pPr>
        <w:spacing w:line="360" w:lineRule="auto"/>
        <w:ind w:firstLine="480" w:firstLineChars="200"/>
        <w:rPr>
          <w:rFonts w:hint="eastAsia" w:eastAsia="仿宋"/>
          <w:lang w:val="en-US" w:eastAsia="zh-CN"/>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无</w:t>
      </w:r>
    </w:p>
    <w:p w14:paraId="1B84F641">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jc w:val="both"/>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w:t>
      </w:r>
      <w:r>
        <w:rPr>
          <w:rFonts w:hint="eastAsia" w:ascii="仿宋" w:hAnsi="仿宋" w:eastAsia="仿宋" w:cs="仿宋"/>
          <w:color w:val="000000" w:themeColor="text1"/>
          <w:sz w:val="24"/>
          <w:szCs w:val="24"/>
          <w:highlight w:val="none"/>
          <w:lang w:val="en-US" w:eastAsia="zh-CN"/>
          <w14:textFill>
            <w14:solidFill>
              <w14:schemeClr w14:val="tx1"/>
            </w14:solidFill>
          </w14:textFill>
        </w:rPr>
        <w:t>四</w:t>
      </w:r>
      <w:r>
        <w:rPr>
          <w:rFonts w:hint="eastAsia" w:ascii="仿宋" w:hAnsi="仿宋" w:eastAsia="仿宋" w:cs="仿宋"/>
          <w:color w:val="000000" w:themeColor="text1"/>
          <w:sz w:val="24"/>
          <w:szCs w:val="24"/>
          <w:highlight w:val="none"/>
          <w14:textFill>
            <w14:solidFill>
              <w14:schemeClr w14:val="tx1"/>
            </w14:solidFill>
          </w14:textFill>
        </w:rPr>
        <w:t>条 货款支付</w:t>
      </w:r>
      <w:bookmarkEnd w:id="17"/>
    </w:p>
    <w:p w14:paraId="25E09BF4">
      <w:pPr>
        <w:pStyle w:val="14"/>
        <w:keepNext w:val="0"/>
        <w:keepLines w:val="0"/>
        <w:pageBreakBefore w:val="0"/>
        <w:numPr>
          <w:ilvl w:val="0"/>
          <w:numId w:val="0"/>
        </w:numPr>
        <w:shd w:val="clear"/>
        <w:kinsoku/>
        <w:wordWrap/>
        <w:overflowPunct/>
        <w:topLinePunct w:val="0"/>
        <w:autoSpaceDE/>
        <w:autoSpaceDN/>
        <w:bidi w:val="0"/>
        <w:adjustRightInd w:val="0"/>
        <w:snapToGrid w:val="0"/>
        <w:spacing w:line="360" w:lineRule="auto"/>
        <w:ind w:leftChars="100"/>
        <w:outlineLvl w:val="1"/>
        <w:rPr>
          <w:rFonts w:hint="eastAsia" w:ascii="仿宋" w:hAnsi="仿宋" w:eastAsia="仿宋" w:cs="仿宋"/>
          <w:b w:val="0"/>
          <w:bCs w:val="0"/>
          <w:color w:val="000000" w:themeColor="text1"/>
          <w:kern w:val="0"/>
          <w:sz w:val="24"/>
          <w:szCs w:val="24"/>
          <w:highlight w:val="none"/>
          <w14:textFill>
            <w14:solidFill>
              <w14:schemeClr w14:val="tx1"/>
            </w14:solidFill>
          </w14:textFill>
        </w:rPr>
      </w:pPr>
      <w:bookmarkStart w:id="18" w:name="_Toc26850"/>
      <w:r>
        <w:rPr>
          <w:rFonts w:hint="eastAsia" w:ascii="仿宋" w:hAnsi="仿宋" w:eastAsia="仿宋" w:cs="仿宋"/>
          <w:b w:val="0"/>
          <w:bCs w:val="0"/>
          <w:color w:val="000000" w:themeColor="text1"/>
          <w:kern w:val="0"/>
          <w:sz w:val="24"/>
          <w:szCs w:val="24"/>
          <w:highlight w:val="none"/>
          <w:lang w:val="en-US" w:eastAsia="zh-CN"/>
          <w14:textFill>
            <w14:solidFill>
              <w14:schemeClr w14:val="tx1"/>
            </w14:solidFill>
          </w14:textFill>
        </w:rPr>
        <w:t>1.</w:t>
      </w:r>
      <w:r>
        <w:rPr>
          <w:rFonts w:hint="eastAsia" w:ascii="仿宋" w:hAnsi="仿宋" w:eastAsia="仿宋" w:cs="仿宋"/>
          <w:b w:val="0"/>
          <w:bCs w:val="0"/>
          <w:color w:val="000000" w:themeColor="text1"/>
          <w:kern w:val="0"/>
          <w:sz w:val="24"/>
          <w:szCs w:val="24"/>
          <w:highlight w:val="none"/>
          <w14:textFill>
            <w14:solidFill>
              <w14:schemeClr w14:val="tx1"/>
            </w14:solidFill>
          </w14:textFill>
        </w:rPr>
        <w:t>分两期支付，均以银行转账方式支付，付款条件达到后 30 日内，甲方完成支付。</w:t>
      </w:r>
    </w:p>
    <w:p w14:paraId="258F1B20">
      <w:pPr>
        <w:pStyle w:val="14"/>
        <w:keepNext w:val="0"/>
        <w:keepLines w:val="0"/>
        <w:pageBreakBefore w:val="0"/>
        <w:numPr>
          <w:ilvl w:val="0"/>
          <w:numId w:val="0"/>
        </w:numPr>
        <w:shd w:val="clear"/>
        <w:kinsoku/>
        <w:wordWrap/>
        <w:overflowPunct/>
        <w:topLinePunct w:val="0"/>
        <w:autoSpaceDE/>
        <w:autoSpaceDN/>
        <w:bidi w:val="0"/>
        <w:adjustRightInd w:val="0"/>
        <w:snapToGrid w:val="0"/>
        <w:spacing w:line="360" w:lineRule="auto"/>
        <w:ind w:leftChars="100"/>
        <w:outlineLvl w:val="1"/>
        <w:rPr>
          <w:rFonts w:hint="eastAsia" w:ascii="仿宋" w:hAnsi="仿宋" w:eastAsia="仿宋" w:cs="仿宋"/>
          <w:b w:val="0"/>
          <w:bCs w:val="0"/>
          <w:color w:val="000000" w:themeColor="text1"/>
          <w:kern w:val="0"/>
          <w:sz w:val="24"/>
          <w:szCs w:val="24"/>
          <w:highlight w:val="none"/>
          <w14:textFill>
            <w14:solidFill>
              <w14:schemeClr w14:val="tx1"/>
            </w14:solidFill>
          </w14:textFill>
        </w:rPr>
      </w:pPr>
      <w:r>
        <w:rPr>
          <w:rFonts w:hint="eastAsia" w:ascii="仿宋" w:hAnsi="仿宋" w:eastAsia="仿宋" w:cs="仿宋"/>
          <w:b w:val="0"/>
          <w:bCs w:val="0"/>
          <w:color w:val="000000" w:themeColor="text1"/>
          <w:kern w:val="0"/>
          <w:sz w:val="24"/>
          <w:szCs w:val="24"/>
          <w:highlight w:val="none"/>
          <w:lang w:val="en-US" w:eastAsia="zh-CN"/>
          <w14:textFill>
            <w14:solidFill>
              <w14:schemeClr w14:val="tx1"/>
            </w14:solidFill>
          </w14:textFill>
        </w:rPr>
        <w:t>2.</w:t>
      </w:r>
      <w:r>
        <w:rPr>
          <w:rFonts w:hint="eastAsia" w:ascii="仿宋" w:hAnsi="仿宋" w:eastAsia="仿宋" w:cs="仿宋"/>
          <w:b w:val="0"/>
          <w:bCs w:val="0"/>
          <w:color w:val="000000" w:themeColor="text1"/>
          <w:kern w:val="0"/>
          <w:sz w:val="24"/>
          <w:szCs w:val="24"/>
          <w:highlight w:val="none"/>
          <w14:textFill>
            <w14:solidFill>
              <w14:schemeClr w14:val="tx1"/>
            </w14:solidFill>
          </w14:textFill>
        </w:rPr>
        <w:t>第一期：合同签订生效后，甲方向乙方支付合同总金额的60% 作为预付款；</w:t>
      </w:r>
    </w:p>
    <w:p w14:paraId="52205C6C">
      <w:pPr>
        <w:pStyle w:val="14"/>
        <w:keepNext w:val="0"/>
        <w:keepLines w:val="0"/>
        <w:pageBreakBefore w:val="0"/>
        <w:numPr>
          <w:ilvl w:val="0"/>
          <w:numId w:val="0"/>
        </w:numPr>
        <w:shd w:val="clear"/>
        <w:kinsoku/>
        <w:wordWrap/>
        <w:overflowPunct/>
        <w:topLinePunct w:val="0"/>
        <w:autoSpaceDE/>
        <w:autoSpaceDN/>
        <w:bidi w:val="0"/>
        <w:adjustRightInd w:val="0"/>
        <w:snapToGrid w:val="0"/>
        <w:spacing w:line="360" w:lineRule="auto"/>
        <w:ind w:leftChars="100"/>
        <w:outlineLvl w:val="1"/>
        <w:rPr>
          <w:rFonts w:hint="eastAsia" w:ascii="仿宋" w:hAnsi="仿宋" w:eastAsia="仿宋" w:cs="仿宋"/>
          <w:b w:val="0"/>
          <w:bCs w:val="0"/>
          <w:color w:val="000000" w:themeColor="text1"/>
          <w:kern w:val="0"/>
          <w:sz w:val="24"/>
          <w:szCs w:val="24"/>
          <w:highlight w:val="none"/>
          <w14:textFill>
            <w14:solidFill>
              <w14:schemeClr w14:val="tx1"/>
            </w14:solidFill>
          </w14:textFill>
        </w:rPr>
      </w:pPr>
      <w:r>
        <w:rPr>
          <w:rFonts w:hint="eastAsia" w:ascii="仿宋" w:hAnsi="仿宋" w:eastAsia="仿宋" w:cs="仿宋"/>
          <w:b w:val="0"/>
          <w:bCs w:val="0"/>
          <w:color w:val="000000" w:themeColor="text1"/>
          <w:kern w:val="0"/>
          <w:sz w:val="24"/>
          <w:szCs w:val="24"/>
          <w:highlight w:val="none"/>
          <w:lang w:val="en-US" w:eastAsia="zh-CN"/>
          <w14:textFill>
            <w14:solidFill>
              <w14:schemeClr w14:val="tx1"/>
            </w14:solidFill>
          </w14:textFill>
        </w:rPr>
        <w:t>3.</w:t>
      </w:r>
      <w:r>
        <w:rPr>
          <w:rFonts w:hint="eastAsia" w:ascii="仿宋" w:hAnsi="仿宋" w:eastAsia="仿宋" w:cs="仿宋"/>
          <w:b w:val="0"/>
          <w:bCs w:val="0"/>
          <w:color w:val="000000" w:themeColor="text1"/>
          <w:kern w:val="0"/>
          <w:sz w:val="24"/>
          <w:szCs w:val="24"/>
          <w:highlight w:val="none"/>
          <w14:textFill>
            <w14:solidFill>
              <w14:schemeClr w14:val="tx1"/>
            </w14:solidFill>
          </w14:textFill>
        </w:rPr>
        <w:t>第二期：乙方完成所有设备交付、安装调试并经甲方验收合格后，甲方向乙方支付合同总金额的40% 作为尾款；</w:t>
      </w:r>
    </w:p>
    <w:p w14:paraId="104152B1">
      <w:pPr>
        <w:pStyle w:val="14"/>
        <w:keepNext w:val="0"/>
        <w:keepLines w:val="0"/>
        <w:pageBreakBefore w:val="0"/>
        <w:numPr>
          <w:ilvl w:val="0"/>
          <w:numId w:val="0"/>
        </w:numPr>
        <w:shd w:val="clear"/>
        <w:kinsoku/>
        <w:wordWrap/>
        <w:overflowPunct/>
        <w:topLinePunct w:val="0"/>
        <w:autoSpaceDE/>
        <w:autoSpaceDN/>
        <w:bidi w:val="0"/>
        <w:adjustRightInd w:val="0"/>
        <w:snapToGrid w:val="0"/>
        <w:spacing w:line="360" w:lineRule="auto"/>
        <w:ind w:leftChars="100"/>
        <w:outlineLvl w:val="1"/>
        <w:rPr>
          <w:rFonts w:hint="eastAsia" w:ascii="仿宋" w:hAnsi="仿宋" w:eastAsia="仿宋" w:cs="仿宋"/>
          <w:b w:val="0"/>
          <w:bCs w:val="0"/>
          <w:color w:val="000000" w:themeColor="text1"/>
          <w:kern w:val="0"/>
          <w:sz w:val="24"/>
          <w:szCs w:val="24"/>
          <w:highlight w:val="none"/>
          <w14:textFill>
            <w14:solidFill>
              <w14:schemeClr w14:val="tx1"/>
            </w14:solidFill>
          </w14:textFill>
        </w:rPr>
      </w:pPr>
      <w:r>
        <w:rPr>
          <w:rFonts w:hint="eastAsia" w:ascii="仿宋" w:hAnsi="仿宋" w:eastAsia="仿宋" w:cs="仿宋"/>
          <w:b w:val="0"/>
          <w:bCs w:val="0"/>
          <w:color w:val="000000" w:themeColor="text1"/>
          <w:kern w:val="0"/>
          <w:sz w:val="24"/>
          <w:szCs w:val="24"/>
          <w:highlight w:val="none"/>
          <w:lang w:val="en-US" w:eastAsia="zh-CN"/>
          <w14:textFill>
            <w14:solidFill>
              <w14:schemeClr w14:val="tx1"/>
            </w14:solidFill>
          </w14:textFill>
        </w:rPr>
        <w:t>4.</w:t>
      </w:r>
      <w:r>
        <w:rPr>
          <w:rFonts w:hint="eastAsia" w:ascii="仿宋" w:hAnsi="仿宋" w:eastAsia="仿宋" w:cs="仿宋"/>
          <w:b w:val="0"/>
          <w:bCs w:val="0"/>
          <w:color w:val="000000" w:themeColor="text1"/>
          <w:kern w:val="0"/>
          <w:sz w:val="24"/>
          <w:szCs w:val="24"/>
          <w:highlight w:val="none"/>
          <w14:textFill>
            <w14:solidFill>
              <w14:schemeClr w14:val="tx1"/>
            </w14:solidFill>
          </w14:textFill>
        </w:rPr>
        <w:t>乙方在申请每期付款时，须向甲方提供符合财务要求的合法有效发票，否则甲方有权顺延付款，且不承担违约责任。</w:t>
      </w:r>
    </w:p>
    <w:p w14:paraId="6857F00E">
      <w:pPr>
        <w:pStyle w:val="14"/>
        <w:keepNext w:val="0"/>
        <w:keepLines w:val="0"/>
        <w:pageBreakBefore w:val="0"/>
        <w:numPr>
          <w:ilvl w:val="0"/>
          <w:numId w:val="0"/>
        </w:numPr>
        <w:shd w:val="clear"/>
        <w:kinsoku/>
        <w:wordWrap/>
        <w:overflowPunct/>
        <w:topLinePunct w:val="0"/>
        <w:autoSpaceDE/>
        <w:autoSpaceDN/>
        <w:bidi w:val="0"/>
        <w:adjustRightInd w:val="0"/>
        <w:snapToGrid w:val="0"/>
        <w:spacing w:line="360" w:lineRule="auto"/>
        <w:ind w:leftChars="100"/>
        <w:outlineLvl w:val="1"/>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kern w:val="0"/>
          <w:sz w:val="24"/>
          <w:szCs w:val="24"/>
          <w:highlight w:val="none"/>
          <w14:textFill>
            <w14:solidFill>
              <w14:schemeClr w14:val="tx1"/>
            </w14:solidFill>
          </w14:textFill>
        </w:rPr>
        <w:t>第</w:t>
      </w:r>
      <w:r>
        <w:rPr>
          <w:rFonts w:hint="eastAsia" w:ascii="仿宋" w:hAnsi="仿宋" w:eastAsia="仿宋" w:cs="仿宋"/>
          <w:b/>
          <w:bCs/>
          <w:color w:val="000000" w:themeColor="text1"/>
          <w:kern w:val="0"/>
          <w:sz w:val="24"/>
          <w:szCs w:val="24"/>
          <w:highlight w:val="none"/>
          <w:lang w:val="en-US" w:eastAsia="zh-CN"/>
          <w14:textFill>
            <w14:solidFill>
              <w14:schemeClr w14:val="tx1"/>
            </w14:solidFill>
          </w14:textFill>
        </w:rPr>
        <w:t>五</w:t>
      </w:r>
      <w:r>
        <w:rPr>
          <w:rFonts w:hint="eastAsia" w:ascii="仿宋" w:hAnsi="仿宋" w:eastAsia="仿宋" w:cs="仿宋"/>
          <w:b/>
          <w:bCs/>
          <w:color w:val="000000" w:themeColor="text1"/>
          <w:kern w:val="0"/>
          <w:sz w:val="24"/>
          <w:szCs w:val="24"/>
          <w:highlight w:val="none"/>
          <w14:textFill>
            <w14:solidFill>
              <w14:schemeClr w14:val="tx1"/>
            </w14:solidFill>
          </w14:textFill>
        </w:rPr>
        <w:t xml:space="preserve">条 </w:t>
      </w:r>
      <w:r>
        <w:rPr>
          <w:rFonts w:hint="eastAsia" w:ascii="仿宋" w:hAnsi="仿宋" w:eastAsia="仿宋" w:cs="仿宋"/>
          <w:b/>
          <w:bCs/>
          <w:color w:val="000000" w:themeColor="text1"/>
          <w:kern w:val="0"/>
          <w:sz w:val="24"/>
          <w:szCs w:val="24"/>
          <w:highlight w:val="none"/>
          <w:lang w:eastAsia="zh-CN"/>
          <w14:textFill>
            <w14:solidFill>
              <w14:schemeClr w14:val="tx1"/>
            </w14:solidFill>
          </w14:textFill>
        </w:rPr>
        <w:t>交货期</w:t>
      </w:r>
      <w:r>
        <w:rPr>
          <w:rFonts w:hint="eastAsia" w:ascii="仿宋" w:hAnsi="仿宋" w:eastAsia="仿宋" w:cs="仿宋"/>
          <w:b/>
          <w:bCs/>
          <w:color w:val="000000" w:themeColor="text1"/>
          <w:kern w:val="0"/>
          <w:sz w:val="24"/>
          <w:szCs w:val="24"/>
          <w:highlight w:val="none"/>
          <w14:textFill>
            <w14:solidFill>
              <w14:schemeClr w14:val="tx1"/>
            </w14:solidFill>
          </w14:textFill>
        </w:rPr>
        <w:t>与地点</w:t>
      </w:r>
      <w:bookmarkEnd w:id="18"/>
    </w:p>
    <w:p w14:paraId="0F5ED638">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lang w:eastAsia="zh-CN"/>
          <w14:textFill>
            <w14:solidFill>
              <w14:schemeClr w14:val="tx1"/>
            </w14:solidFill>
          </w14:textFill>
        </w:rPr>
        <w:t>交货期</w:t>
      </w:r>
      <w:r>
        <w:rPr>
          <w:rFonts w:hint="eastAsia" w:ascii="仿宋" w:hAnsi="仿宋" w:eastAsia="仿宋" w:cs="仿宋"/>
          <w:color w:val="000000" w:themeColor="text1"/>
          <w:sz w:val="24"/>
          <w:szCs w:val="24"/>
          <w:highlight w:val="none"/>
          <w14:textFill>
            <w14:solidFill>
              <w14:schemeClr w14:val="tx1"/>
            </w14:solidFill>
          </w14:textFill>
        </w:rPr>
        <w:t>：自本合同签订之日起60 个日历天内，乙方完成所有设备的供货、安装调试并通过甲方验收合格。</w:t>
      </w:r>
    </w:p>
    <w:p w14:paraId="33950F6C">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w:t>
      </w:r>
      <w:r>
        <w:rPr>
          <w:rFonts w:hint="eastAsia" w:ascii="仿宋" w:hAnsi="仿宋" w:eastAsia="仿宋" w:cs="仿宋"/>
          <w:color w:val="000000" w:themeColor="text1"/>
          <w:sz w:val="24"/>
          <w:szCs w:val="24"/>
          <w:highlight w:val="none"/>
          <w:lang w:eastAsia="zh-CN"/>
          <w14:textFill>
            <w14:solidFill>
              <w14:schemeClr w14:val="tx1"/>
            </w14:solidFill>
          </w14:textFill>
        </w:rPr>
        <w:t>乙方</w:t>
      </w:r>
      <w:r>
        <w:rPr>
          <w:rFonts w:hint="eastAsia" w:ascii="仿宋" w:hAnsi="仿宋" w:eastAsia="仿宋" w:cs="仿宋"/>
          <w:color w:val="000000" w:themeColor="text1"/>
          <w:sz w:val="24"/>
          <w:szCs w:val="24"/>
          <w:highlight w:val="none"/>
          <w14:textFill>
            <w14:solidFill>
              <w14:schemeClr w14:val="tx1"/>
            </w14:solidFill>
          </w14:textFill>
        </w:rPr>
        <w:t>未征得采购人同意和谅解而单方面延迟履行合同期限，将按违约终止合同。</w:t>
      </w:r>
    </w:p>
    <w:p w14:paraId="2B8965B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w:t>
      </w:r>
      <w:r>
        <w:rPr>
          <w:rFonts w:hint="eastAsia" w:ascii="仿宋" w:hAnsi="仿宋" w:eastAsia="仿宋" w:cs="仿宋"/>
          <w:color w:val="000000" w:themeColor="text1"/>
          <w:sz w:val="24"/>
          <w:szCs w:val="24"/>
          <w:highlight w:val="none"/>
          <w:lang w:eastAsia="zh-CN"/>
          <w14:textFill>
            <w14:solidFill>
              <w14:schemeClr w14:val="tx1"/>
            </w14:solidFill>
          </w14:textFill>
        </w:rPr>
        <w:t>乙方</w:t>
      </w:r>
      <w:r>
        <w:rPr>
          <w:rFonts w:hint="eastAsia" w:ascii="仿宋" w:hAnsi="仿宋" w:eastAsia="仿宋" w:cs="仿宋"/>
          <w:color w:val="000000" w:themeColor="text1"/>
          <w:sz w:val="24"/>
          <w:szCs w:val="24"/>
          <w:highlight w:val="none"/>
          <w14:textFill>
            <w14:solidFill>
              <w14:schemeClr w14:val="tx1"/>
            </w14:solidFill>
          </w14:textFill>
        </w:rPr>
        <w:t>遇到可能妨碍按时完工的情况，应当及时以书面形式通知</w:t>
      </w:r>
      <w:r>
        <w:rPr>
          <w:rFonts w:hint="eastAsia" w:ascii="仿宋" w:hAnsi="仿宋" w:eastAsia="仿宋" w:cs="仿宋"/>
          <w:color w:val="000000" w:themeColor="text1"/>
          <w:sz w:val="24"/>
          <w:szCs w:val="24"/>
          <w:highlight w:val="none"/>
          <w:lang w:val="en-US" w:eastAsia="zh-CN"/>
          <w14:textFill>
            <w14:solidFill>
              <w14:schemeClr w14:val="tx1"/>
            </w14:solidFill>
          </w14:textFill>
        </w:rPr>
        <w:t>甲方</w:t>
      </w:r>
      <w:r>
        <w:rPr>
          <w:rFonts w:hint="eastAsia" w:ascii="仿宋" w:hAnsi="仿宋" w:eastAsia="仿宋" w:cs="仿宋"/>
          <w:color w:val="000000" w:themeColor="text1"/>
          <w:sz w:val="24"/>
          <w:szCs w:val="24"/>
          <w:highlight w:val="none"/>
          <w14:textFill>
            <w14:solidFill>
              <w14:schemeClr w14:val="tx1"/>
            </w14:solidFill>
          </w14:textFill>
        </w:rPr>
        <w:t>，说明原由、拖延的期限等；</w:t>
      </w:r>
      <w:r>
        <w:rPr>
          <w:rFonts w:hint="eastAsia" w:ascii="仿宋" w:hAnsi="仿宋" w:eastAsia="仿宋" w:cs="仿宋"/>
          <w:color w:val="000000" w:themeColor="text1"/>
          <w:sz w:val="24"/>
          <w:szCs w:val="24"/>
          <w:highlight w:val="none"/>
          <w:lang w:val="en-US" w:eastAsia="zh-CN"/>
          <w14:textFill>
            <w14:solidFill>
              <w14:schemeClr w14:val="tx1"/>
            </w14:solidFill>
          </w14:textFill>
        </w:rPr>
        <w:t>甲方</w:t>
      </w:r>
      <w:r>
        <w:rPr>
          <w:rFonts w:hint="eastAsia" w:ascii="仿宋" w:hAnsi="仿宋" w:eastAsia="仿宋" w:cs="仿宋"/>
          <w:color w:val="000000" w:themeColor="text1"/>
          <w:sz w:val="24"/>
          <w:szCs w:val="24"/>
          <w:highlight w:val="none"/>
          <w14:textFill>
            <w14:solidFill>
              <w14:schemeClr w14:val="tx1"/>
            </w14:solidFill>
          </w14:textFill>
        </w:rPr>
        <w:t>在收到通知后，尽快进行情况评估并确定是否通过修改合同，酌情延长服务时间或者通过协商加收误期赔偿金。</w:t>
      </w:r>
    </w:p>
    <w:p w14:paraId="28BCAA6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1.3如在供货过程中出现不可抗力的原因影响供货时间的，</w:t>
      </w:r>
      <w:r>
        <w:rPr>
          <w:rFonts w:hint="eastAsia" w:ascii="仿宋" w:hAnsi="仿宋" w:eastAsia="仿宋" w:cs="仿宋"/>
          <w:color w:val="000000" w:themeColor="text1"/>
          <w:sz w:val="24"/>
          <w:szCs w:val="24"/>
          <w:highlight w:val="none"/>
          <w:lang w:eastAsia="zh-CN"/>
          <w14:textFill>
            <w14:solidFill>
              <w14:schemeClr w14:val="tx1"/>
            </w14:solidFill>
          </w14:textFill>
        </w:rPr>
        <w:t>交货期</w:t>
      </w:r>
      <w:r>
        <w:rPr>
          <w:rFonts w:hint="eastAsia" w:ascii="仿宋" w:hAnsi="仿宋" w:eastAsia="仿宋" w:cs="仿宋"/>
          <w:color w:val="000000" w:themeColor="text1"/>
          <w:sz w:val="24"/>
          <w:szCs w:val="24"/>
          <w:highlight w:val="none"/>
          <w14:textFill>
            <w14:solidFill>
              <w14:schemeClr w14:val="tx1"/>
            </w14:solidFill>
          </w14:textFill>
        </w:rPr>
        <w:t>相应顺延。</w:t>
      </w:r>
    </w:p>
    <w:p w14:paraId="08B97292">
      <w:pPr>
        <w:pStyle w:val="14"/>
        <w:keepNext w:val="0"/>
        <w:keepLines w:val="0"/>
        <w:pageBreakBefore w:val="0"/>
        <w:shd w:val="clear"/>
        <w:kinsoku/>
        <w:wordWrap/>
        <w:overflowPunct/>
        <w:topLinePunct w:val="0"/>
        <w:autoSpaceDE/>
        <w:autoSpaceDN/>
        <w:bidi w:val="0"/>
        <w:adjustRightInd w:val="0"/>
        <w:snapToGrid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地点：</w:t>
      </w:r>
      <w:r>
        <w:rPr>
          <w:rFonts w:hint="eastAsia" w:ascii="仿宋" w:hAnsi="仿宋" w:eastAsia="仿宋" w:cs="仿宋"/>
          <w:color w:val="000000" w:themeColor="text1"/>
          <w:sz w:val="24"/>
          <w:szCs w:val="24"/>
          <w:highlight w:val="none"/>
          <w:lang w:val="en-US" w:eastAsia="zh-CN"/>
          <w14:textFill>
            <w14:solidFill>
              <w14:schemeClr w14:val="tx1"/>
            </w14:solidFill>
          </w14:textFill>
        </w:rPr>
        <w:t>甲方</w:t>
      </w: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指定地点。</w:t>
      </w:r>
    </w:p>
    <w:p w14:paraId="0DF2C5C8">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19" w:name="_Toc5671"/>
      <w:r>
        <w:rPr>
          <w:rFonts w:hint="eastAsia" w:ascii="仿宋" w:hAnsi="仿宋" w:eastAsia="仿宋" w:cs="仿宋"/>
          <w:b/>
          <w:color w:val="000000" w:themeColor="text1"/>
          <w:sz w:val="24"/>
          <w:szCs w:val="24"/>
          <w:highlight w:val="none"/>
          <w14:textFill>
            <w14:solidFill>
              <w14:schemeClr w14:val="tx1"/>
            </w14:solidFill>
          </w14:textFill>
        </w:rPr>
        <w:t>第</w:t>
      </w:r>
      <w:r>
        <w:rPr>
          <w:rFonts w:hint="eastAsia" w:ascii="仿宋" w:hAnsi="仿宋" w:eastAsia="仿宋" w:cs="仿宋"/>
          <w:b/>
          <w:color w:val="000000" w:themeColor="text1"/>
          <w:sz w:val="24"/>
          <w:szCs w:val="24"/>
          <w:highlight w:val="none"/>
          <w:lang w:val="en-US" w:eastAsia="zh-CN"/>
          <w14:textFill>
            <w14:solidFill>
              <w14:schemeClr w14:val="tx1"/>
            </w14:solidFill>
          </w14:textFill>
        </w:rPr>
        <w:t>六</w:t>
      </w:r>
      <w:r>
        <w:rPr>
          <w:rFonts w:hint="eastAsia" w:ascii="仿宋" w:hAnsi="仿宋" w:eastAsia="仿宋" w:cs="仿宋"/>
          <w:b/>
          <w:color w:val="000000" w:themeColor="text1"/>
          <w:sz w:val="24"/>
          <w:szCs w:val="24"/>
          <w:highlight w:val="none"/>
          <w14:textFill>
            <w14:solidFill>
              <w14:schemeClr w14:val="tx1"/>
            </w14:solidFill>
          </w14:textFill>
        </w:rPr>
        <w:t>条 质量保证</w:t>
      </w:r>
      <w:bookmarkEnd w:id="19"/>
    </w:p>
    <w:p w14:paraId="036E46E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1、乙方须提供全新的、未使用过的合格正品货物，完全符合合同规定的质量、规格的要求。</w:t>
      </w:r>
    </w:p>
    <w:p w14:paraId="4D206DA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2、乙方提供的</w:t>
      </w:r>
      <w:r>
        <w:rPr>
          <w:rFonts w:hint="eastAsia" w:ascii="仿宋" w:hAnsi="仿宋" w:eastAsia="仿宋" w:cs="仿宋"/>
          <w:color w:val="000000" w:themeColor="text1"/>
          <w:sz w:val="24"/>
          <w:szCs w:val="24"/>
          <w:highlight w:val="none"/>
          <w:lang w:val="en-US" w:eastAsia="zh-CN"/>
          <w14:textFill>
            <w14:solidFill>
              <w14:schemeClr w14:val="tx1"/>
            </w14:solidFill>
          </w14:textFill>
        </w:rPr>
        <w:t>配套资料必须是真实有效的</w:t>
      </w:r>
      <w:r>
        <w:rPr>
          <w:rFonts w:hint="eastAsia" w:ascii="仿宋" w:hAnsi="仿宋" w:eastAsia="仿宋" w:cs="仿宋"/>
          <w:color w:val="000000" w:themeColor="text1"/>
          <w:sz w:val="24"/>
          <w:szCs w:val="24"/>
          <w:highlight w:val="none"/>
          <w14:textFill>
            <w14:solidFill>
              <w14:schemeClr w14:val="tx1"/>
            </w14:solidFill>
          </w14:textFill>
        </w:rPr>
        <w:t>。</w:t>
      </w:r>
    </w:p>
    <w:p w14:paraId="51569DDC">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3、质量标准按照最新颁布的国家标准、行业标准或制造商企业标准确定，上述标准不一致的，以严格标准为准。</w:t>
      </w:r>
    </w:p>
    <w:p w14:paraId="632BCC7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4、乙方所提供货物还应符合国家和陕西省有关安全、环保、节能之规定，“3C”认证的货物（产品）应加贴“3C”认证标志。</w:t>
      </w:r>
    </w:p>
    <w:p w14:paraId="6D52A94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5、货物制造质量出现问题，乙方应负责三包（包修、包换、包退），费用由乙方负担，甲方有权到乙方生产场地检查货物质量和生产进度。</w:t>
      </w:r>
    </w:p>
    <w:p w14:paraId="0FFD067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6、货物在质量保证期内出现故障，经乙方维修累计达 3 次及以上仍无法正常使用的，乙方应在甲方提出要求之日起 7 个工作日内为甲方免费更换同规格、同品质</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全新的整台设备，更换产生的所有费用由乙方承担。</w:t>
      </w:r>
    </w:p>
    <w:p w14:paraId="4661FC68">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7、乙方每次维修或更换后的设备，须向甲方提供该货物经省级及以上法定计量技</w:t>
      </w:r>
      <w:bookmarkStart w:id="29" w:name="_GoBack"/>
      <w:bookmarkEnd w:id="29"/>
      <w:r>
        <w:rPr>
          <w:rFonts w:hint="eastAsia" w:ascii="仿宋" w:hAnsi="仿宋" w:eastAsia="仿宋" w:cs="仿宋"/>
          <w:color w:val="000000" w:themeColor="text1"/>
          <w:sz w:val="24"/>
          <w:szCs w:val="24"/>
          <w:highlight w:val="none"/>
          <w14:textFill>
            <w14:solidFill>
              <w14:schemeClr w14:val="tx1"/>
            </w14:solidFill>
          </w14:textFill>
        </w:rPr>
        <w:t>术机构出具的有效溯源证书，溯源相关费用全部由乙方承担，溯源证书须真实有效，若存在虚假证书情形，视为乙方违约。</w:t>
      </w:r>
    </w:p>
    <w:p w14:paraId="3AE374E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8、质量保证期内，乙方未按上述第 6、7 款约定履行义务的，甲方有权自行委托第三方进行维修或检测，产生的所有费用由乙方承担，同时甲方有权要求乙方承担合同约定的违约责任。</w:t>
      </w:r>
    </w:p>
    <w:p w14:paraId="78E41A8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0" w:name="_Toc7279"/>
      <w:r>
        <w:rPr>
          <w:rFonts w:hint="eastAsia" w:ascii="仿宋" w:hAnsi="仿宋" w:eastAsia="仿宋" w:cs="仿宋"/>
          <w:b/>
          <w:color w:val="000000" w:themeColor="text1"/>
          <w:sz w:val="24"/>
          <w:szCs w:val="24"/>
          <w:highlight w:val="none"/>
          <w14:textFill>
            <w14:solidFill>
              <w14:schemeClr w14:val="tx1"/>
            </w14:solidFill>
          </w14:textFill>
        </w:rPr>
        <w:t>第</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七</w:t>
      </w:r>
      <w:r>
        <w:rPr>
          <w:rFonts w:hint="eastAsia" w:ascii="仿宋" w:hAnsi="仿宋" w:eastAsia="仿宋" w:cs="仿宋"/>
          <w:b/>
          <w:color w:val="000000" w:themeColor="text1"/>
          <w:sz w:val="24"/>
          <w:szCs w:val="24"/>
          <w:highlight w:val="none"/>
          <w14:textFill>
            <w14:solidFill>
              <w14:schemeClr w14:val="tx1"/>
            </w14:solidFill>
          </w14:textFill>
        </w:rPr>
        <w:t>条 权利保证</w:t>
      </w:r>
      <w:bookmarkEnd w:id="20"/>
    </w:p>
    <w:p w14:paraId="4F2DB9D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1、乙方保证对其出售的货物享有合法的权利</w:t>
      </w:r>
      <w:r>
        <w:rPr>
          <w:rFonts w:hint="eastAsia" w:ascii="仿宋" w:hAnsi="仿宋" w:eastAsia="仿宋" w:cs="仿宋"/>
          <w:color w:val="000000" w:themeColor="text1"/>
          <w:sz w:val="24"/>
          <w:szCs w:val="24"/>
          <w:highlight w:val="none"/>
          <w:lang w:eastAsia="zh-CN"/>
          <w14:textFill>
            <w14:solidFill>
              <w14:schemeClr w14:val="tx1"/>
            </w14:solidFill>
          </w14:textFill>
        </w:rPr>
        <w:t>，对提供的配套软件拥有合法的授权许可权利。</w:t>
      </w:r>
    </w:p>
    <w:p w14:paraId="7DEA481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2、乙方保证对其出售的货物上不存在任何未曾向甲方透露的担保物权，如抵押权、质押权、留置权。</w:t>
      </w:r>
    </w:p>
    <w:p w14:paraId="219BB5E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3、乙方保证对其出售的货物或其任何一部分没有侵犯第三方的专利权、版权、商标权或其他权利。</w:t>
      </w:r>
    </w:p>
    <w:p w14:paraId="51D6584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lang w:val="en-US" w:eastAsia="zh-CN"/>
          <w14:textFill>
            <w14:solidFill>
              <w14:schemeClr w14:val="tx1"/>
            </w14:solidFill>
          </w14:textFill>
        </w:rPr>
      </w:pPr>
      <w:bookmarkStart w:id="21" w:name="_Toc129"/>
      <w:r>
        <w:rPr>
          <w:rFonts w:hint="eastAsia" w:ascii="仿宋" w:hAnsi="仿宋" w:eastAsia="仿宋" w:cs="仿宋"/>
          <w:color w:val="000000" w:themeColor="text1"/>
          <w:sz w:val="24"/>
          <w:szCs w:val="24"/>
          <w:highlight w:val="none"/>
          <w:lang w:val="en-US" w:eastAsia="zh-CN"/>
          <w14:textFill>
            <w14:solidFill>
              <w14:schemeClr w14:val="tx1"/>
            </w14:solidFill>
          </w14:textFill>
        </w:rPr>
        <w:t>4、本项目知识产权归属：乙方提供的设备及配套软件原有知识产权归乙方所有，甲方依法获得设备永久使用权及软件合法授权使用权；本项目产生的所有检测数据、操作数据等数据知识产权归甲方独家所有，乙方不得擅自使用、复制、泄露或向第三方提供。</w:t>
      </w:r>
    </w:p>
    <w:p w14:paraId="6262FD0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5、如甲方在使用该货物或软件构成上述侵权的，则由乙方承担全部责任，包括但不限于赔偿甲方的损失、支付诉讼费、律师费等全部费用。</w:t>
      </w:r>
    </w:p>
    <w:p w14:paraId="411C12B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第</w:t>
      </w:r>
      <w:r>
        <w:rPr>
          <w:rFonts w:hint="eastAsia" w:ascii="仿宋" w:hAnsi="仿宋" w:eastAsia="仿宋" w:cs="仿宋"/>
          <w:b/>
          <w:color w:val="000000" w:themeColor="text1"/>
          <w:sz w:val="24"/>
          <w:szCs w:val="24"/>
          <w:highlight w:val="none"/>
          <w:lang w:val="en-US" w:eastAsia="zh-CN"/>
          <w14:textFill>
            <w14:solidFill>
              <w14:schemeClr w14:val="tx1"/>
            </w14:solidFill>
          </w14:textFill>
        </w:rPr>
        <w:t>八</w:t>
      </w:r>
      <w:r>
        <w:rPr>
          <w:rFonts w:hint="eastAsia" w:ascii="仿宋" w:hAnsi="仿宋" w:eastAsia="仿宋" w:cs="仿宋"/>
          <w:b/>
          <w:color w:val="000000" w:themeColor="text1"/>
          <w:sz w:val="24"/>
          <w:szCs w:val="24"/>
          <w:highlight w:val="none"/>
          <w14:textFill>
            <w14:solidFill>
              <w14:schemeClr w14:val="tx1"/>
            </w14:solidFill>
          </w14:textFill>
        </w:rPr>
        <w:t>条 包装要求与运输方式</w:t>
      </w:r>
      <w:bookmarkEnd w:id="21"/>
      <w:r>
        <w:rPr>
          <w:rFonts w:hint="eastAsia" w:ascii="仿宋" w:hAnsi="仿宋" w:eastAsia="仿宋" w:cs="仿宋"/>
          <w:b/>
          <w:color w:val="000000" w:themeColor="text1"/>
          <w:sz w:val="24"/>
          <w:szCs w:val="24"/>
          <w:highlight w:val="none"/>
          <w14:textFill>
            <w14:solidFill>
              <w14:schemeClr w14:val="tx1"/>
            </w14:solidFill>
          </w14:textFill>
        </w:rPr>
        <w:t xml:space="preserve">  </w:t>
      </w:r>
    </w:p>
    <w:p w14:paraId="183AE1F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1、除合同另有规定外，乙方提供的全部货物均应按标准保护措施进行包装，该包装应适应于远距离运输、防潮、防震、防锈和防野蛮装卸，以确保货物安全运抵指定地点。</w:t>
      </w:r>
    </w:p>
    <w:p w14:paraId="3A64618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2、每一包装单元应附详细的装箱单和质量合格证。</w:t>
      </w:r>
    </w:p>
    <w:p w14:paraId="719BEDF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3、货物（产品）运输方式：</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汽运（含上门送货至甲方指定地点）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53E75678">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4、乙方负责货物（产品）运输，无合理损耗，运输过程中损坏由乙方全责。</w:t>
      </w:r>
    </w:p>
    <w:p w14:paraId="7B10401C">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24"/>
          <w:szCs w:val="24"/>
          <w:highlight w:val="none"/>
          <w14:textFill>
            <w14:solidFill>
              <w14:schemeClr w14:val="tx1"/>
            </w14:solidFill>
          </w14:textFill>
        </w:rPr>
      </w:pPr>
      <w:bookmarkStart w:id="22" w:name="_Toc11592"/>
      <w:r>
        <w:rPr>
          <w:rFonts w:hint="eastAsia" w:ascii="仿宋" w:hAnsi="仿宋" w:eastAsia="仿宋" w:cs="仿宋"/>
          <w:b/>
          <w:color w:val="000000" w:themeColor="text1"/>
          <w:sz w:val="24"/>
          <w:szCs w:val="24"/>
          <w:highlight w:val="none"/>
          <w14:textFill>
            <w14:solidFill>
              <w14:schemeClr w14:val="tx1"/>
            </w14:solidFill>
          </w14:textFill>
        </w:rPr>
        <w:t>第</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九</w:t>
      </w:r>
      <w:r>
        <w:rPr>
          <w:rFonts w:hint="eastAsia" w:ascii="仿宋" w:hAnsi="仿宋" w:eastAsia="仿宋" w:cs="仿宋"/>
          <w:b/>
          <w:color w:val="000000" w:themeColor="text1"/>
          <w:sz w:val="24"/>
          <w:szCs w:val="24"/>
          <w:highlight w:val="none"/>
          <w14:textFill>
            <w14:solidFill>
              <w14:schemeClr w14:val="tx1"/>
            </w14:solidFill>
          </w14:textFill>
        </w:rPr>
        <w:t>条 验收</w:t>
      </w:r>
      <w:bookmarkEnd w:id="22"/>
    </w:p>
    <w:p w14:paraId="2C64492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1、货物验收由甲方组织，乙方配合，并按下列程序进行：</w:t>
      </w:r>
    </w:p>
    <w:p w14:paraId="7142184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（1）交货验收时，乙方须提供设备清单</w:t>
      </w:r>
      <w:r>
        <w:rPr>
          <w:rFonts w:hint="eastAsia" w:ascii="仿宋" w:hAnsi="仿宋" w:eastAsia="仿宋" w:cs="仿宋"/>
          <w:color w:val="000000" w:themeColor="text1"/>
          <w:sz w:val="24"/>
          <w:szCs w:val="24"/>
          <w:highlight w:val="none"/>
          <w:lang w:eastAsia="zh-CN"/>
          <w14:textFill>
            <w14:solidFill>
              <w14:schemeClr w14:val="tx1"/>
            </w14:solidFill>
          </w14:textFill>
        </w:rPr>
        <w:t>、溯源证书（对应要求设备）、</w:t>
      </w:r>
      <w:r>
        <w:rPr>
          <w:rFonts w:hint="eastAsia" w:ascii="仿宋" w:hAnsi="仿宋" w:eastAsia="仿宋" w:cs="仿宋"/>
          <w:color w:val="000000" w:themeColor="text1"/>
          <w:sz w:val="24"/>
          <w:szCs w:val="24"/>
          <w:highlight w:val="none"/>
          <w14:textFill>
            <w14:solidFill>
              <w14:schemeClr w14:val="tx1"/>
            </w14:solidFill>
          </w14:textFill>
        </w:rPr>
        <w:t>3C认证</w:t>
      </w:r>
      <w:r>
        <w:rPr>
          <w:rFonts w:hint="eastAsia" w:ascii="仿宋" w:hAnsi="仿宋" w:eastAsia="仿宋" w:cs="仿宋"/>
          <w:color w:val="000000" w:themeColor="text1"/>
          <w:sz w:val="24"/>
          <w:szCs w:val="24"/>
          <w:highlight w:val="none"/>
          <w:lang w:val="en-US" w:eastAsia="zh-CN"/>
          <w14:textFill>
            <w14:solidFill>
              <w14:schemeClr w14:val="tx1"/>
            </w14:solidFill>
          </w14:textFill>
        </w:rPr>
        <w:t>证书（对应要求产品）</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调试记录、原厂合格证、配件、随机工具、用户使用手册（产品使用说明书）、保修卡等资料交付给甲方；</w:t>
      </w:r>
    </w:p>
    <w:p w14:paraId="2710FA5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（2）到货验收 ：货物到达后，按合同第一条款的货物清单和装箱单进行逐一核对，同时检查货物外观，是否有划痕或破损的，并做好相应记录；</w:t>
      </w:r>
    </w:p>
    <w:p w14:paraId="06BB6B47">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（3）货物</w:t>
      </w:r>
      <w:r>
        <w:rPr>
          <w:rFonts w:hint="eastAsia" w:ascii="仿宋" w:hAnsi="仿宋" w:eastAsia="仿宋" w:cs="仿宋"/>
          <w:color w:val="000000" w:themeColor="text1"/>
          <w:sz w:val="24"/>
          <w:szCs w:val="24"/>
          <w:highlight w:val="none"/>
          <w:lang w:val="en-US" w:eastAsia="zh-CN"/>
          <w14:textFill>
            <w14:solidFill>
              <w14:schemeClr w14:val="tx1"/>
            </w14:solidFill>
          </w14:textFill>
        </w:rPr>
        <w:t>验收</w:t>
      </w:r>
      <w:r>
        <w:rPr>
          <w:rFonts w:hint="eastAsia" w:ascii="仿宋" w:hAnsi="仿宋" w:eastAsia="仿宋" w:cs="仿宋"/>
          <w:color w:val="000000" w:themeColor="text1"/>
          <w:sz w:val="24"/>
          <w:szCs w:val="24"/>
          <w:highlight w:val="none"/>
          <w14:textFill>
            <w14:solidFill>
              <w14:schemeClr w14:val="tx1"/>
            </w14:solidFill>
          </w14:textFill>
        </w:rPr>
        <w:t>：乙方应在货物到货之日起，</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45 </w:t>
      </w:r>
      <w:r>
        <w:rPr>
          <w:rFonts w:hint="eastAsia" w:ascii="仿宋" w:hAnsi="仿宋" w:eastAsia="仿宋" w:cs="仿宋"/>
          <w:color w:val="000000" w:themeColor="text1"/>
          <w:sz w:val="24"/>
          <w:szCs w:val="24"/>
          <w:highlight w:val="none"/>
          <w14:textFill>
            <w14:solidFill>
              <w14:schemeClr w14:val="tx1"/>
            </w14:solidFill>
          </w14:textFill>
        </w:rPr>
        <w:t>日内全部完成安装调试完毕；乙方安装调试完毕后</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15  </w:t>
      </w:r>
      <w:r>
        <w:rPr>
          <w:rFonts w:hint="eastAsia" w:ascii="仿宋" w:hAnsi="仿宋" w:eastAsia="仿宋" w:cs="仿宋"/>
          <w:color w:val="000000" w:themeColor="text1"/>
          <w:sz w:val="24"/>
          <w:szCs w:val="24"/>
          <w:highlight w:val="none"/>
          <w14:textFill>
            <w14:solidFill>
              <w14:schemeClr w14:val="tx1"/>
            </w14:solidFill>
          </w14:textFill>
        </w:rPr>
        <w:t>日内完成验收；</w:t>
      </w:r>
    </w:p>
    <w:p w14:paraId="66D6CBC8">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）货物和相关配套质量验收合格，双方签署质量验收报告，验收报告签署之日为设备正式交付使用之日。</w:t>
      </w:r>
    </w:p>
    <w:p w14:paraId="78EB5CA7">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2、货物验收依据：</w:t>
      </w:r>
    </w:p>
    <w:p w14:paraId="78BF8D04">
      <w:pPr>
        <w:pStyle w:val="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（1）采购文件；</w:t>
      </w:r>
    </w:p>
    <w:p w14:paraId="45111751">
      <w:pPr>
        <w:pStyle w:val="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（2）投标文件；</w:t>
      </w:r>
    </w:p>
    <w:p w14:paraId="355617F2">
      <w:pPr>
        <w:pStyle w:val="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（3）采购合同及补充协议；</w:t>
      </w:r>
    </w:p>
    <w:p w14:paraId="110EC2D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（4）货物（产品）合格的检测报告。</w:t>
      </w:r>
    </w:p>
    <w:p w14:paraId="1E6CCBE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3、货物验收时发现问题的处理办法：</w:t>
      </w:r>
    </w:p>
    <w:p w14:paraId="72D4C32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（1）乙方提供不符合采购文件和本合同规定的货物（产品），甲方有权拒绝接受；</w:t>
      </w:r>
    </w:p>
    <w:p w14:paraId="5D4529E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w:t>
      </w:r>
      <w:r>
        <w:rPr>
          <w:rFonts w:hint="eastAsia" w:ascii="仿宋" w:hAnsi="仿宋" w:eastAsia="仿宋" w:cs="仿宋"/>
          <w:color w:val="auto"/>
          <w:sz w:val="24"/>
          <w:szCs w:val="24"/>
          <w:highlight w:val="none"/>
        </w:rPr>
        <w:t>证据，由此产生的时间延误与有关费用由乙方承担，验收期限相应顺延；</w:t>
      </w:r>
    </w:p>
    <w:p w14:paraId="42DC0EF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auto"/>
          <w:sz w:val="24"/>
          <w:szCs w:val="24"/>
          <w:highlight w:val="none"/>
        </w:rPr>
        <w:t>（3）如货物经乙方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次维修仍不能达到合同约定的质量标准，甲方有权退货，并视作乙方不能交付货物而须支付违</w:t>
      </w:r>
      <w:r>
        <w:rPr>
          <w:rFonts w:hint="eastAsia" w:ascii="仿宋" w:hAnsi="仿宋" w:eastAsia="仿宋" w:cs="仿宋"/>
          <w:color w:val="000000" w:themeColor="text1"/>
          <w:sz w:val="24"/>
          <w:szCs w:val="24"/>
          <w:highlight w:val="none"/>
          <w14:textFill>
            <w14:solidFill>
              <w14:schemeClr w14:val="tx1"/>
            </w14:solidFill>
          </w14:textFill>
        </w:rPr>
        <w:t>约赔偿金给甲方，甲方还可依法追究乙方的违约责任； </w:t>
      </w:r>
    </w:p>
    <w:p w14:paraId="015B88C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4）货物安装完成</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15</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日后，且具备验收条件，乙方提出验收，而甲方无故不进行验收工作并已使用货物的，视同为已安装调试完成并验收合格。</w:t>
      </w:r>
    </w:p>
    <w:p w14:paraId="1860B78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（5）乙方不能完整交付货物及本条第一款规定的单证和工具的，必须负责补齐，否则视为未按合同约定交货；</w:t>
      </w:r>
    </w:p>
    <w:p w14:paraId="3926525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（6）超出合理磅差的处理方法：按实际缺量由乙方在 3 个工作日内补足，产生的费用由乙方承担，验收期限顺延；</w:t>
      </w:r>
    </w:p>
    <w:p w14:paraId="2B3EFEE8">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（7）验收过程中，若发现设备存在轻微瑕疵但不影响正常使用的，乙方须在 3 个工作日内完成整改，整改完毕后重新申请验收；若发现设备存在重大质量问题或核心参数不达标的，直接判定验收不合格，乙方须在 7 个工作日内无条件更换合格设备，否则甲方有权解除合同并要求乙方承担违约责任；</w:t>
      </w:r>
    </w:p>
    <w:p w14:paraId="4D250BC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（8）验收过程中产生的检测费用由乙方承担，若因设备质量问题导致复验的，复验费用亦由乙方承担。</w:t>
      </w:r>
    </w:p>
    <w:p w14:paraId="02532AA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3" w:name="_Toc32307"/>
      <w:r>
        <w:rPr>
          <w:rFonts w:hint="eastAsia" w:ascii="仿宋" w:hAnsi="仿宋" w:eastAsia="仿宋" w:cs="仿宋"/>
          <w:b/>
          <w:color w:val="000000" w:themeColor="text1"/>
          <w:sz w:val="24"/>
          <w:szCs w:val="24"/>
          <w:highlight w:val="none"/>
          <w14:textFill>
            <w14:solidFill>
              <w14:schemeClr w14:val="tx1"/>
            </w14:solidFill>
          </w14:textFill>
        </w:rPr>
        <w:t>第</w:t>
      </w:r>
      <w:r>
        <w:rPr>
          <w:rFonts w:hint="eastAsia" w:ascii="仿宋" w:hAnsi="仿宋" w:eastAsia="仿宋" w:cs="仿宋"/>
          <w:b/>
          <w:color w:val="000000" w:themeColor="text1"/>
          <w:sz w:val="24"/>
          <w:szCs w:val="24"/>
          <w:highlight w:val="none"/>
          <w:lang w:val="en-US" w:eastAsia="zh-CN"/>
          <w14:textFill>
            <w14:solidFill>
              <w14:schemeClr w14:val="tx1"/>
            </w14:solidFill>
          </w14:textFill>
        </w:rPr>
        <w:t>十</w:t>
      </w:r>
      <w:r>
        <w:rPr>
          <w:rFonts w:hint="eastAsia" w:ascii="仿宋" w:hAnsi="仿宋" w:eastAsia="仿宋" w:cs="仿宋"/>
          <w:b/>
          <w:color w:val="000000" w:themeColor="text1"/>
          <w:sz w:val="24"/>
          <w:szCs w:val="24"/>
          <w:highlight w:val="none"/>
          <w14:textFill>
            <w14:solidFill>
              <w14:schemeClr w14:val="tx1"/>
            </w14:solidFill>
          </w14:textFill>
        </w:rPr>
        <w:t>条 售后服务</w:t>
      </w:r>
      <w:bookmarkEnd w:id="23"/>
    </w:p>
    <w:p w14:paraId="27B6521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乙方应按照国家有关法律法规和 “三包” 规定以及采购文件要求和投标文件的 “服务承诺” 提供服务，并提供</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2  </w:t>
      </w:r>
      <w:r>
        <w:rPr>
          <w:rFonts w:hint="eastAsia" w:ascii="仿宋" w:hAnsi="仿宋" w:eastAsia="仿宋" w:cs="仿宋"/>
          <w:color w:val="000000" w:themeColor="text1"/>
          <w:sz w:val="24"/>
          <w:szCs w:val="24"/>
          <w:highlight w:val="none"/>
          <w14:textFill>
            <w14:solidFill>
              <w14:schemeClr w14:val="tx1"/>
            </w14:solidFill>
          </w14:textFill>
        </w:rPr>
        <w:t>年（本项目整体免费质保期，不得少于 2 年）免费售后和维护服务，保修期自设备终验合格之日起计算。</w:t>
      </w:r>
    </w:p>
    <w:p w14:paraId="3AFF615C">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质保期内，乙方接到甲方报修通知后，须在24 小时内进行技术响应；市区内须在48 小时内派员到场维修，偏远地区须在72 小时内派员到场维修，维修费用（含配件、人工、交通等）全部由乙方承担。</w:t>
      </w:r>
    </w:p>
    <w:p w14:paraId="3495382C">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质保期内设备配件需更换的，乙方应免费更换同规格、同品质的全新配件，更换后配件的保修期自更换之日起重新计算。</w:t>
      </w:r>
    </w:p>
    <w:p w14:paraId="36911418">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b/>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乙方须建立完善的巡检维护与回访机制，质保期内每 6 个月对设备进行一次免费上门巡检维护，形成巡检报告并交由甲方签字确认。</w:t>
      </w:r>
    </w:p>
    <w:p w14:paraId="227F85E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24"/>
          <w:szCs w:val="24"/>
          <w:highlight w:val="none"/>
          <w14:textFill>
            <w14:solidFill>
              <w14:schemeClr w14:val="tx1"/>
            </w14:solidFill>
          </w14:textFill>
        </w:rPr>
      </w:pPr>
      <w:bookmarkStart w:id="24" w:name="_Toc11515"/>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一</w:t>
      </w:r>
      <w:r>
        <w:rPr>
          <w:rFonts w:hint="eastAsia" w:ascii="仿宋" w:hAnsi="仿宋" w:eastAsia="仿宋" w:cs="仿宋"/>
          <w:b/>
          <w:color w:val="000000" w:themeColor="text1"/>
          <w:sz w:val="24"/>
          <w:szCs w:val="24"/>
          <w:highlight w:val="none"/>
          <w14:textFill>
            <w14:solidFill>
              <w14:schemeClr w14:val="tx1"/>
            </w14:solidFill>
          </w14:textFill>
        </w:rPr>
        <w:t>条 违约责任</w:t>
      </w:r>
      <w:bookmarkEnd w:id="24"/>
    </w:p>
    <w:p w14:paraId="240CDB86">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1、甲方违约责任</w:t>
      </w:r>
    </w:p>
    <w:p w14:paraId="3EB2BA8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（1）甲方无正当理由拒收货物的，甲方应偿付合同总价</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5 </w:t>
      </w:r>
      <w:r>
        <w:rPr>
          <w:rFonts w:hint="eastAsia" w:ascii="仿宋" w:hAnsi="仿宋" w:eastAsia="仿宋" w:cs="仿宋"/>
          <w:color w:val="000000" w:themeColor="text1"/>
          <w:sz w:val="24"/>
          <w:szCs w:val="24"/>
          <w:highlight w:val="none"/>
          <w14:textFill>
            <w14:solidFill>
              <w14:schemeClr w14:val="tx1"/>
            </w14:solidFill>
          </w14:textFill>
        </w:rPr>
        <w:t>%的违约金；</w:t>
      </w:r>
    </w:p>
    <w:p w14:paraId="5733B7EC">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（2）甲方逾期支付合同总金额的，除应及时付足合同总金额外，应向乙方每天支付欠款总额</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0.5  </w:t>
      </w:r>
      <w:r>
        <w:rPr>
          <w:rFonts w:hint="eastAsia" w:ascii="仿宋" w:hAnsi="仿宋" w:eastAsia="仿宋" w:cs="仿宋"/>
          <w:color w:val="000000" w:themeColor="text1"/>
          <w:sz w:val="24"/>
          <w:szCs w:val="24"/>
          <w:highlight w:val="none"/>
          <w14:textFill>
            <w14:solidFill>
              <w14:schemeClr w14:val="tx1"/>
            </w14:solidFill>
          </w14:textFill>
        </w:rPr>
        <w:t>‰的滞纳金；但累计滞纳金总额不超过欠款总额的</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5  </w:t>
      </w:r>
      <w:r>
        <w:rPr>
          <w:rFonts w:hint="eastAsia" w:ascii="仿宋" w:hAnsi="仿宋" w:eastAsia="仿宋" w:cs="仿宋"/>
          <w:color w:val="000000" w:themeColor="text1"/>
          <w:sz w:val="24"/>
          <w:szCs w:val="24"/>
          <w:highlight w:val="none"/>
          <w14:textFill>
            <w14:solidFill>
              <w14:schemeClr w14:val="tx1"/>
            </w14:solidFill>
          </w14:textFill>
        </w:rPr>
        <w:t>%。</w:t>
      </w:r>
    </w:p>
    <w:p w14:paraId="60DE4F7C">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2、乙方违约责任</w:t>
      </w:r>
    </w:p>
    <w:p w14:paraId="688156D8">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（1）如乙方不能交付货物，乙方应向甲方支付</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合同</w:t>
      </w:r>
      <w:r>
        <w:rPr>
          <w:rFonts w:hint="eastAsia" w:ascii="仿宋" w:hAnsi="仿宋" w:eastAsia="仿宋" w:cs="仿宋"/>
          <w:color w:val="000000" w:themeColor="text1"/>
          <w:kern w:val="0"/>
          <w:sz w:val="24"/>
          <w:szCs w:val="24"/>
          <w:highlight w:val="none"/>
          <w14:textFill>
            <w14:solidFill>
              <w14:schemeClr w14:val="tx1"/>
            </w14:solidFill>
          </w14:textFill>
        </w:rPr>
        <w:t>总</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金</w:t>
      </w:r>
      <w:r>
        <w:rPr>
          <w:rFonts w:hint="eastAsia" w:ascii="仿宋" w:hAnsi="仿宋" w:eastAsia="仿宋" w:cs="仿宋"/>
          <w:color w:val="000000" w:themeColor="text1"/>
          <w:kern w:val="0"/>
          <w:sz w:val="24"/>
          <w:szCs w:val="24"/>
          <w:highlight w:val="none"/>
          <w14:textFill>
            <w14:solidFill>
              <w14:schemeClr w14:val="tx1"/>
            </w14:solidFill>
          </w14:textFill>
        </w:rPr>
        <w:t>额</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10 </w:t>
      </w:r>
      <w:r>
        <w:rPr>
          <w:rFonts w:hint="eastAsia" w:ascii="仿宋" w:hAnsi="仿宋" w:eastAsia="仿宋" w:cs="仿宋"/>
          <w:color w:val="000000" w:themeColor="text1"/>
          <w:kern w:val="0"/>
          <w:sz w:val="24"/>
          <w:szCs w:val="24"/>
          <w:highlight w:val="none"/>
          <w14:textFill>
            <w14:solidFill>
              <w14:schemeClr w14:val="tx1"/>
            </w14:solidFill>
          </w14:textFill>
        </w:rPr>
        <w:t>％的违约金；</w:t>
      </w:r>
    </w:p>
    <w:p w14:paraId="4F8F5747">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（2）乙方逾期交付货物的，每逾期1天，乙方向甲方偿付</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合同</w:t>
      </w:r>
      <w:r>
        <w:rPr>
          <w:rFonts w:hint="eastAsia" w:ascii="仿宋" w:hAnsi="仿宋" w:eastAsia="仿宋" w:cs="仿宋"/>
          <w:color w:val="000000" w:themeColor="text1"/>
          <w:kern w:val="0"/>
          <w:sz w:val="24"/>
          <w:szCs w:val="24"/>
          <w:highlight w:val="none"/>
          <w14:textFill>
            <w14:solidFill>
              <w14:schemeClr w14:val="tx1"/>
            </w14:solidFill>
          </w14:textFill>
        </w:rPr>
        <w:t>总</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金</w:t>
      </w:r>
      <w:r>
        <w:rPr>
          <w:rFonts w:hint="eastAsia" w:ascii="仿宋" w:hAnsi="仿宋" w:eastAsia="仿宋" w:cs="仿宋"/>
          <w:color w:val="000000" w:themeColor="text1"/>
          <w:kern w:val="0"/>
          <w:sz w:val="24"/>
          <w:szCs w:val="24"/>
          <w:highlight w:val="none"/>
          <w14:textFill>
            <w14:solidFill>
              <w14:schemeClr w14:val="tx1"/>
            </w14:solidFill>
          </w14:textFill>
        </w:rPr>
        <w:t>额的</w:t>
      </w:r>
      <w:r>
        <w:rPr>
          <w:rFonts w:hint="eastAsia" w:ascii="仿宋" w:hAnsi="仿宋" w:eastAsia="仿宋" w:cs="仿宋"/>
          <w:color w:val="000000" w:themeColor="text1"/>
          <w:kern w:val="0"/>
          <w:sz w:val="24"/>
          <w:szCs w:val="24"/>
          <w:highlight w:val="none"/>
          <w:u w:val="single"/>
          <w:lang w:val="en-US" w:eastAsia="zh-CN"/>
          <w14:textFill>
            <w14:solidFill>
              <w14:schemeClr w14:val="tx1"/>
            </w14:solidFill>
          </w14:textFill>
        </w:rPr>
        <w:t xml:space="preserve"> 0.5  </w:t>
      </w:r>
      <w:r>
        <w:rPr>
          <w:rFonts w:hint="eastAsia" w:ascii="仿宋" w:hAnsi="仿宋" w:eastAsia="仿宋" w:cs="仿宋"/>
          <w:color w:val="000000" w:themeColor="text1"/>
          <w:kern w:val="0"/>
          <w:sz w:val="24"/>
          <w:szCs w:val="24"/>
          <w:highlight w:val="none"/>
          <w14:textFill>
            <w14:solidFill>
              <w14:schemeClr w14:val="tx1"/>
            </w14:solidFill>
          </w14:textFill>
        </w:rPr>
        <w:t>‰的滞纳金。如乙方逾期交货达</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15 </w:t>
      </w:r>
      <w:r>
        <w:rPr>
          <w:rFonts w:hint="eastAsia" w:ascii="仿宋" w:hAnsi="仿宋" w:eastAsia="仿宋" w:cs="仿宋"/>
          <w:color w:val="000000" w:themeColor="text1"/>
          <w:kern w:val="0"/>
          <w:sz w:val="24"/>
          <w:szCs w:val="24"/>
          <w:highlight w:val="none"/>
          <w14:textFill>
            <w14:solidFill>
              <w14:schemeClr w14:val="tx1"/>
            </w14:solidFill>
          </w14:textFill>
        </w:rPr>
        <w:t xml:space="preserve">天，甲方有权解除合同，解除合同的通知自到达乙方时生效；但甲方书面同意延迟或因甲方原因导致延迟的，乙方不承担违约责任。 </w:t>
      </w:r>
    </w:p>
    <w:p w14:paraId="454773C8">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（3）乙方所交付的货物品种、型号、规格不符合合同规定的，甲方有权拒收。甲方拒收的，乙方应向甲方支付合同总金额</w:t>
      </w:r>
      <w:r>
        <w:rPr>
          <w:rFonts w:hint="eastAsia" w:ascii="仿宋" w:hAnsi="仿宋" w:eastAsia="仿宋" w:cs="仿宋"/>
          <w:color w:val="000000" w:themeColor="text1"/>
          <w:kern w:val="0"/>
          <w:sz w:val="24"/>
          <w:szCs w:val="24"/>
          <w:highlight w:val="none"/>
          <w:u w:val="single"/>
          <w:lang w:val="en-US" w:eastAsia="zh-CN"/>
          <w14:textFill>
            <w14:solidFill>
              <w14:schemeClr w14:val="tx1"/>
            </w14:solidFill>
          </w14:textFill>
        </w:rPr>
        <w:t xml:space="preserve"> 10 </w:t>
      </w:r>
      <w:r>
        <w:rPr>
          <w:rFonts w:hint="eastAsia" w:ascii="仿宋" w:hAnsi="仿宋" w:eastAsia="仿宋" w:cs="仿宋"/>
          <w:color w:val="000000" w:themeColor="text1"/>
          <w:kern w:val="0"/>
          <w:sz w:val="24"/>
          <w:szCs w:val="24"/>
          <w:highlight w:val="none"/>
          <w:u w:val="none"/>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的违约金；</w:t>
      </w:r>
    </w:p>
    <w:p w14:paraId="61CAB436">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（4）乙方货物质量不符合本合同规定标准的，则视为乙方没有按时交货而违约，乙方须在</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7</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天内无条件更换合格的货物，如逾期不能更换合格的货物，甲方有权终止本合同，乙方应另向甲方支付合同总金额</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10 </w:t>
      </w:r>
      <w:r>
        <w:rPr>
          <w:rFonts w:hint="eastAsia" w:ascii="仿宋" w:hAnsi="仿宋" w:eastAsia="仿宋" w:cs="仿宋"/>
          <w:color w:val="000000" w:themeColor="text1"/>
          <w:sz w:val="24"/>
          <w:szCs w:val="24"/>
          <w:highlight w:val="none"/>
          <w14:textFill>
            <w14:solidFill>
              <w14:schemeClr w14:val="tx1"/>
            </w14:solidFill>
          </w14:textFill>
        </w:rPr>
        <w:t>%的违约金；</w:t>
      </w:r>
    </w:p>
    <w:p w14:paraId="3B34404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（5）在乙方承诺的或国家规定的质量保证期内（取两者中最长的期限），如经乙方</w:t>
      </w:r>
      <w:r>
        <w:rPr>
          <w:rFonts w:hint="eastAsia" w:ascii="仿宋" w:hAnsi="仿宋" w:eastAsia="仿宋" w:cs="仿宋"/>
          <w:color w:val="auto"/>
          <w:kern w:val="0"/>
          <w:sz w:val="24"/>
          <w:szCs w:val="24"/>
          <w:highlight w:val="none"/>
          <w:u w:val="single"/>
          <w:lang w:val="en-US" w:eastAsia="zh-CN"/>
        </w:rPr>
        <w:t xml:space="preserve">  2  </w:t>
      </w:r>
      <w:r>
        <w:rPr>
          <w:rFonts w:hint="eastAsia" w:ascii="仿宋" w:hAnsi="仿宋" w:eastAsia="仿宋" w:cs="仿宋"/>
          <w:color w:val="auto"/>
          <w:kern w:val="0"/>
          <w:sz w:val="24"/>
          <w:szCs w:val="24"/>
          <w:highlight w:val="none"/>
        </w:rPr>
        <w:t>次维修或更换，货物仍不能达到合同约定的质量标准，甲方有权退货，乙方应退回全部货款，并按第3款处理，同时，乙方还须赔偿甲方因此遭受的损失；</w:t>
      </w:r>
    </w:p>
    <w:p w14:paraId="27274602">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rPr>
        <w:t>）乙方未按本合同的规定和“服务承诺”提供伴随服务/售后服务的，应按合同总金额的</w:t>
      </w:r>
      <w:r>
        <w:rPr>
          <w:rFonts w:hint="eastAsia" w:ascii="仿宋" w:hAnsi="仿宋" w:eastAsia="仿宋" w:cs="仿宋"/>
          <w:color w:val="auto"/>
          <w:kern w:val="0"/>
          <w:sz w:val="24"/>
          <w:szCs w:val="24"/>
          <w:highlight w:val="none"/>
          <w:u w:val="single"/>
        </w:rPr>
        <w:t xml:space="preserve"> 5 </w:t>
      </w:r>
      <w:r>
        <w:rPr>
          <w:rFonts w:hint="eastAsia" w:ascii="仿宋" w:hAnsi="仿宋" w:eastAsia="仿宋" w:cs="仿宋"/>
          <w:color w:val="auto"/>
          <w:kern w:val="0"/>
          <w:sz w:val="24"/>
          <w:szCs w:val="24"/>
          <w:highlight w:val="none"/>
        </w:rPr>
        <w:t>%向甲方承担违约责任；</w:t>
      </w:r>
    </w:p>
    <w:p w14:paraId="75F8FE2C">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7</w:t>
      </w:r>
      <w:r>
        <w:rPr>
          <w:rFonts w:hint="eastAsia" w:ascii="仿宋" w:hAnsi="仿宋" w:eastAsia="仿宋" w:cs="仿宋"/>
          <w:b w:val="0"/>
          <w:bCs w:val="0"/>
          <w:color w:val="auto"/>
          <w:sz w:val="24"/>
          <w:szCs w:val="24"/>
          <w:highlight w:val="none"/>
        </w:rPr>
        <w:t>）乙方违反本合同第六条第 6 款约定，未按时免费更换全新零部件的，每逾期 1 天向甲方支付该零部件对应</w:t>
      </w:r>
      <w:r>
        <w:rPr>
          <w:rFonts w:hint="eastAsia" w:ascii="仿宋" w:hAnsi="仿宋" w:eastAsia="仿宋" w:cs="仿宋"/>
          <w:b w:val="0"/>
          <w:bCs w:val="0"/>
          <w:color w:val="auto"/>
          <w:sz w:val="24"/>
          <w:szCs w:val="24"/>
          <w:highlight w:val="none"/>
          <w:lang w:eastAsia="zh-CN"/>
        </w:rPr>
        <w:t>合同总金额</w:t>
      </w:r>
      <w:r>
        <w:rPr>
          <w:rFonts w:hint="eastAsia" w:ascii="仿宋" w:hAnsi="仿宋" w:eastAsia="仿宋" w:cs="仿宋"/>
          <w:b w:val="0"/>
          <w:bCs w:val="0"/>
          <w:color w:val="auto"/>
          <w:sz w:val="24"/>
          <w:szCs w:val="24"/>
          <w:highlight w:val="none"/>
        </w:rPr>
        <w:t xml:space="preserve"> 1‰的违约金，逾期超过 7 天的，甲方有权自行委托第三方更换或处理，产生的全部费用由乙方承担，同时乙方还应向甲方支付该零部件对应</w:t>
      </w:r>
      <w:r>
        <w:rPr>
          <w:rFonts w:hint="eastAsia" w:ascii="仿宋" w:hAnsi="仿宋" w:eastAsia="仿宋" w:cs="仿宋"/>
          <w:b w:val="0"/>
          <w:bCs w:val="0"/>
          <w:color w:val="auto"/>
          <w:sz w:val="24"/>
          <w:szCs w:val="24"/>
          <w:highlight w:val="none"/>
          <w:lang w:eastAsia="zh-CN"/>
        </w:rPr>
        <w:t>合同总金额</w:t>
      </w:r>
      <w:r>
        <w:rPr>
          <w:rFonts w:hint="eastAsia" w:ascii="仿宋" w:hAnsi="仿宋" w:eastAsia="仿宋" w:cs="仿宋"/>
          <w:b w:val="0"/>
          <w:bCs w:val="0"/>
          <w:color w:val="auto"/>
          <w:sz w:val="24"/>
          <w:szCs w:val="24"/>
          <w:highlight w:val="none"/>
        </w:rPr>
        <w:t xml:space="preserve"> 20% 的违约金；</w:t>
      </w:r>
    </w:p>
    <w:p w14:paraId="0524973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）乙方违反本合同第六条第 7 款约定，未提供省级及以上法定计量技术机构溯源证书或提供虚假证书的，每次向甲方支付合同总金额 5% 的违约金，若因此导致货物无法正常使用的，乙方还应按本款第 4 项约定承担违约责任；</w:t>
      </w:r>
    </w:p>
    <w:p w14:paraId="3F562B27">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9</w:t>
      </w:r>
      <w:r>
        <w:rPr>
          <w:rFonts w:hint="eastAsia" w:ascii="仿宋" w:hAnsi="仿宋" w:eastAsia="仿宋" w:cs="仿宋"/>
          <w:color w:val="000000" w:themeColor="text1"/>
          <w:sz w:val="24"/>
          <w:szCs w:val="24"/>
          <w:highlight w:val="none"/>
          <w14:textFill>
            <w14:solidFill>
              <w14:schemeClr w14:val="tx1"/>
            </w14:solidFill>
          </w14:textFill>
        </w:rPr>
        <w:t>）乙方在承担上述 1-9 款一项或多项违约责任后，仍应继续履行合同规定的义务（甲方解除合同的除外）。甲方未能及时追究乙方的任何一项违约责任并不表明甲方放弃追究乙方该项或其他违约责任；</w:t>
      </w:r>
    </w:p>
    <w:p w14:paraId="015A367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w:t>
      </w:r>
      <w:r>
        <w:rPr>
          <w:rFonts w:hint="eastAsia" w:ascii="仿宋" w:hAnsi="仿宋" w:eastAsia="仿宋" w:cs="仿宋"/>
          <w:color w:val="000000" w:themeColor="text1"/>
          <w:sz w:val="24"/>
          <w:szCs w:val="24"/>
          <w:highlight w:val="none"/>
          <w:lang w:val="en-US" w:eastAsia="zh-CN"/>
          <w14:textFill>
            <w14:solidFill>
              <w14:schemeClr w14:val="tx1"/>
            </w14:solidFill>
          </w14:textFill>
        </w:rPr>
        <w:t>0</w:t>
      </w:r>
      <w:r>
        <w:rPr>
          <w:rFonts w:hint="eastAsia" w:ascii="仿宋" w:hAnsi="仿宋" w:eastAsia="仿宋" w:cs="仿宋"/>
          <w:color w:val="000000" w:themeColor="text1"/>
          <w:sz w:val="24"/>
          <w:szCs w:val="24"/>
          <w:highlight w:val="none"/>
          <w14:textFill>
            <w14:solidFill>
              <w14:schemeClr w14:val="tx1"/>
            </w14:solidFill>
          </w14:textFill>
        </w:rPr>
        <w:t>）乙方偿付的违约金不足以弥补甲方损失的，还应按甲方损失尚未弥补的部分，支付赔偿金给甲方。</w:t>
      </w:r>
    </w:p>
    <w:p w14:paraId="4273898E">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1" w:firstLineChars="100"/>
        <w:jc w:val="left"/>
        <w:outlineLvl w:val="1"/>
        <w:rPr>
          <w:rFonts w:hint="eastAsia" w:ascii="仿宋" w:hAnsi="仿宋" w:eastAsia="仿宋" w:cs="仿宋"/>
          <w:color w:val="000000" w:themeColor="text1"/>
          <w:kern w:val="0"/>
          <w:sz w:val="24"/>
          <w:szCs w:val="24"/>
          <w:highlight w:val="none"/>
          <w14:textFill>
            <w14:solidFill>
              <w14:schemeClr w14:val="tx1"/>
            </w14:solidFill>
          </w14:textFill>
        </w:rPr>
      </w:pPr>
      <w:bookmarkStart w:id="25" w:name="_Toc31609"/>
      <w:r>
        <w:rPr>
          <w:rFonts w:hint="eastAsia" w:ascii="仿宋" w:hAnsi="仿宋" w:eastAsia="仿宋" w:cs="仿宋"/>
          <w:b/>
          <w:color w:val="000000" w:themeColor="text1"/>
          <w:sz w:val="24"/>
          <w:szCs w:val="24"/>
          <w:highlight w:val="none"/>
          <w14:textFill>
            <w14:solidFill>
              <w14:schemeClr w14:val="tx1"/>
            </w14:solidFill>
          </w14:textFill>
        </w:rPr>
        <w:t xml:space="preserve">第十二条 </w:t>
      </w:r>
      <w:r>
        <w:rPr>
          <w:rFonts w:hint="eastAsia" w:ascii="仿宋" w:hAnsi="仿宋" w:eastAsia="仿宋" w:cs="仿宋"/>
          <w:b/>
          <w:color w:val="000000" w:themeColor="text1"/>
          <w:kern w:val="0"/>
          <w:sz w:val="24"/>
          <w:szCs w:val="24"/>
          <w:highlight w:val="none"/>
          <w14:textFill>
            <w14:solidFill>
              <w14:schemeClr w14:val="tx1"/>
            </w14:solidFill>
          </w14:textFill>
        </w:rPr>
        <w:t>合同的变更和终止</w:t>
      </w:r>
      <w:bookmarkEnd w:id="25"/>
    </w:p>
    <w:p w14:paraId="446B7C55">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除《中华人民共和国政府采购法》第49条、第50条第二款规定的情形外，本合同一经签订，甲乙双方不得擅自变更、中止或终止合同。</w:t>
      </w:r>
    </w:p>
    <w:p w14:paraId="3B50C8F6">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1" w:firstLineChars="100"/>
        <w:jc w:val="left"/>
        <w:outlineLvl w:val="1"/>
        <w:rPr>
          <w:rFonts w:hint="eastAsia" w:ascii="仿宋" w:hAnsi="仿宋" w:eastAsia="仿宋" w:cs="仿宋"/>
          <w:b/>
          <w:color w:val="000000" w:themeColor="text1"/>
          <w:kern w:val="0"/>
          <w:sz w:val="24"/>
          <w:szCs w:val="24"/>
          <w:highlight w:val="none"/>
          <w14:textFill>
            <w14:solidFill>
              <w14:schemeClr w14:val="tx1"/>
            </w14:solidFill>
          </w14:textFill>
        </w:rPr>
      </w:pPr>
      <w:bookmarkStart w:id="26" w:name="_Toc304"/>
      <w:r>
        <w:rPr>
          <w:rFonts w:hint="eastAsia" w:ascii="仿宋" w:hAnsi="仿宋" w:eastAsia="仿宋" w:cs="仿宋"/>
          <w:b/>
          <w:color w:val="000000" w:themeColor="text1"/>
          <w:kern w:val="0"/>
          <w:sz w:val="24"/>
          <w:szCs w:val="24"/>
          <w:highlight w:val="none"/>
          <w14:textFill>
            <w14:solidFill>
              <w14:schemeClr w14:val="tx1"/>
            </w14:solidFill>
          </w14:textFill>
        </w:rPr>
        <w:t>第十</w:t>
      </w:r>
      <w:r>
        <w:rPr>
          <w:rFonts w:hint="eastAsia" w:ascii="仿宋" w:hAnsi="仿宋" w:eastAsia="仿宋" w:cs="仿宋"/>
          <w:b/>
          <w:color w:val="000000" w:themeColor="text1"/>
          <w:kern w:val="0"/>
          <w:sz w:val="24"/>
          <w:szCs w:val="24"/>
          <w:highlight w:val="none"/>
          <w:lang w:val="en-US" w:eastAsia="zh-CN"/>
          <w14:textFill>
            <w14:solidFill>
              <w14:schemeClr w14:val="tx1"/>
            </w14:solidFill>
          </w14:textFill>
        </w:rPr>
        <w:t>三</w:t>
      </w:r>
      <w:r>
        <w:rPr>
          <w:rFonts w:hint="eastAsia" w:ascii="仿宋" w:hAnsi="仿宋" w:eastAsia="仿宋" w:cs="仿宋"/>
          <w:b/>
          <w:color w:val="000000" w:themeColor="text1"/>
          <w:kern w:val="0"/>
          <w:sz w:val="24"/>
          <w:szCs w:val="24"/>
          <w:highlight w:val="none"/>
          <w14:textFill>
            <w14:solidFill>
              <w14:schemeClr w14:val="tx1"/>
            </w14:solidFill>
          </w14:textFill>
        </w:rPr>
        <w:t>条 争议的解决</w:t>
      </w:r>
      <w:bookmarkEnd w:id="26"/>
    </w:p>
    <w:p w14:paraId="17B5A1A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1、因货物的质量问题发生争议，由质量技术监督部门或其指定的质量鉴定机构进行质量鉴定。货物符合标准的，鉴定费由甲方承担；货物不符合质量标准的，鉴定费由乙方承担。</w:t>
      </w:r>
    </w:p>
    <w:p w14:paraId="3FF61926">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2、因履行本合同引起的或与本合同有关的争议，甲、乙双方应首先通过友好协商解决，如果协商不成，则采取以下第</w:t>
      </w:r>
      <w:r>
        <w:rPr>
          <w:rFonts w:hint="eastAsia" w:ascii="仿宋" w:hAnsi="仿宋" w:eastAsia="仿宋" w:cs="仿宋"/>
          <w:color w:val="000000" w:themeColor="text1"/>
          <w:kern w:val="0"/>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szCs w:val="24"/>
          <w:highlight w:val="none"/>
          <w14:textFill>
            <w14:solidFill>
              <w14:schemeClr w14:val="tx1"/>
            </w14:solidFill>
          </w14:textFill>
        </w:rPr>
        <w:t>种方式解决争议：</w:t>
      </w:r>
    </w:p>
    <w:p w14:paraId="0A74725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（1）向甲方所在地有管辖权的人民法院提起诉讼；</w:t>
      </w:r>
    </w:p>
    <w:p w14:paraId="092F48F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（2）向</w:t>
      </w:r>
      <w:r>
        <w:rPr>
          <w:rFonts w:hint="eastAsia" w:ascii="仿宋" w:hAnsi="仿宋" w:eastAsia="仿宋" w:cs="仿宋"/>
          <w:color w:val="000000" w:themeColor="text1"/>
          <w:kern w:val="0"/>
          <w:sz w:val="24"/>
          <w:szCs w:val="24"/>
          <w:highlight w:val="none"/>
          <w:u w:val="single"/>
          <w:lang w:val="en-US" w:eastAsia="zh-CN"/>
          <w14:textFill>
            <w14:solidFill>
              <w14:schemeClr w14:val="tx1"/>
            </w14:solidFill>
          </w14:textFill>
        </w:rPr>
        <w:t xml:space="preserve"> 汉中 </w:t>
      </w:r>
      <w:r>
        <w:rPr>
          <w:rFonts w:hint="eastAsia" w:ascii="仿宋" w:hAnsi="仿宋" w:eastAsia="仿宋" w:cs="仿宋"/>
          <w:color w:val="000000" w:themeColor="text1"/>
          <w:kern w:val="0"/>
          <w:sz w:val="24"/>
          <w:szCs w:val="24"/>
          <w:highlight w:val="none"/>
          <w14:textFill>
            <w14:solidFill>
              <w14:schemeClr w14:val="tx1"/>
            </w14:solidFill>
          </w14:textFill>
        </w:rPr>
        <w:t>仲裁委员会按其仲裁规则申请仲裁。</w:t>
      </w:r>
    </w:p>
    <w:p w14:paraId="48B8FF72">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3、在仲裁期间，本合同应继续履行。</w:t>
      </w:r>
    </w:p>
    <w:p w14:paraId="452EC3F9">
      <w:pPr>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textAlignment w:val="baseline"/>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7" w:name="_Toc22373"/>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四</w:t>
      </w:r>
      <w:r>
        <w:rPr>
          <w:rFonts w:hint="eastAsia" w:ascii="仿宋" w:hAnsi="仿宋" w:eastAsia="仿宋" w:cs="仿宋"/>
          <w:b/>
          <w:color w:val="000000" w:themeColor="text1"/>
          <w:sz w:val="24"/>
          <w:szCs w:val="24"/>
          <w:highlight w:val="none"/>
          <w14:textFill>
            <w14:solidFill>
              <w14:schemeClr w14:val="tx1"/>
            </w14:solidFill>
          </w14:textFill>
        </w:rPr>
        <w:t>条</w:t>
      </w:r>
      <w:r>
        <w:rPr>
          <w:rFonts w:hint="eastAsia" w:ascii="仿宋" w:hAnsi="仿宋" w:eastAsia="仿宋" w:cs="仿宋"/>
          <w:b/>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color w:val="000000" w:themeColor="text1"/>
          <w:sz w:val="24"/>
          <w:szCs w:val="24"/>
          <w:highlight w:val="none"/>
          <w14:textFill>
            <w14:solidFill>
              <w14:schemeClr w14:val="tx1"/>
            </w14:solidFill>
          </w14:textFill>
        </w:rPr>
        <w:t>合同文件</w:t>
      </w:r>
      <w:bookmarkEnd w:id="27"/>
    </w:p>
    <w:p w14:paraId="39966F1D">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textAlignment w:val="baseline"/>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详细技术说明及其他有关合同项目的特定信息由合同附件予以说明，下列文件构成本合同的组成部分，应该认为是一个整体，彼此相互解释，相互补充。组成合同的多个文件的优先支配地位的次序如下：</w:t>
      </w:r>
    </w:p>
    <w:p w14:paraId="75BE7D83">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1、本合同书</w:t>
      </w:r>
    </w:p>
    <w:p w14:paraId="7EF77457">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2、中标通知书</w:t>
      </w:r>
      <w:r>
        <w:rPr>
          <w:rFonts w:hint="eastAsia" w:ascii="仿宋" w:hAnsi="仿宋" w:eastAsia="仿宋" w:cs="仿宋"/>
          <w:color w:val="000000" w:themeColor="text1"/>
          <w:sz w:val="24"/>
          <w:szCs w:val="24"/>
          <w:highlight w:val="none"/>
          <w14:textFill>
            <w14:solidFill>
              <w14:schemeClr w14:val="tx1"/>
            </w14:solidFill>
          </w14:textFill>
        </w:rPr>
        <w:tab/>
      </w:r>
    </w:p>
    <w:p w14:paraId="0B908932">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招标</w:t>
      </w:r>
      <w:r>
        <w:rPr>
          <w:rFonts w:hint="eastAsia" w:ascii="仿宋" w:hAnsi="仿宋" w:eastAsia="仿宋" w:cs="仿宋"/>
          <w:color w:val="000000" w:themeColor="text1"/>
          <w:sz w:val="24"/>
          <w:szCs w:val="24"/>
          <w:highlight w:val="none"/>
          <w14:textFill>
            <w14:solidFill>
              <w14:schemeClr w14:val="tx1"/>
            </w14:solidFill>
          </w14:textFill>
        </w:rPr>
        <w:t>文件(含澄清文件)</w:t>
      </w:r>
    </w:p>
    <w:p w14:paraId="7781F5CE">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、投标文件</w:t>
      </w:r>
    </w:p>
    <w:p w14:paraId="55983B63">
      <w:pPr>
        <w:pStyle w:val="7"/>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jc w:val="both"/>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、附件：安全责任协议（签订时合同时一并签订）</w:t>
      </w:r>
    </w:p>
    <w:p w14:paraId="6502E5E6">
      <w:pPr>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kern w:val="0"/>
          <w:sz w:val="24"/>
          <w:szCs w:val="24"/>
          <w:highlight w:val="none"/>
          <w14:textFill>
            <w14:solidFill>
              <w14:schemeClr w14:val="tx1"/>
            </w14:solidFill>
          </w14:textFill>
        </w:rPr>
      </w:pPr>
      <w:bookmarkStart w:id="28" w:name="_Toc11752"/>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五</w:t>
      </w:r>
      <w:r>
        <w:rPr>
          <w:rFonts w:hint="eastAsia" w:ascii="仿宋" w:hAnsi="仿宋" w:eastAsia="仿宋" w:cs="仿宋"/>
          <w:b/>
          <w:color w:val="000000" w:themeColor="text1"/>
          <w:sz w:val="24"/>
          <w:szCs w:val="24"/>
          <w:highlight w:val="none"/>
          <w14:textFill>
            <w14:solidFill>
              <w14:schemeClr w14:val="tx1"/>
            </w14:solidFill>
          </w14:textFill>
        </w:rPr>
        <w:t xml:space="preserve">条 </w:t>
      </w:r>
      <w:r>
        <w:rPr>
          <w:rFonts w:hint="eastAsia" w:ascii="仿宋" w:hAnsi="仿宋" w:eastAsia="仿宋" w:cs="仿宋"/>
          <w:b/>
          <w:color w:val="000000" w:themeColor="text1"/>
          <w:kern w:val="0"/>
          <w:sz w:val="24"/>
          <w:szCs w:val="24"/>
          <w:highlight w:val="none"/>
          <w14:textFill>
            <w14:solidFill>
              <w14:schemeClr w14:val="tx1"/>
            </w14:solidFill>
          </w14:textFill>
        </w:rPr>
        <w:t>合同生效及其他</w:t>
      </w:r>
      <w:bookmarkEnd w:id="28"/>
    </w:p>
    <w:p w14:paraId="6C54775F">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如有未尽事宜，由双方依法订立补充合同。</w:t>
      </w:r>
    </w:p>
    <w:p w14:paraId="42C69A4B">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2、本合同自签订之日起生效。</w:t>
      </w:r>
    </w:p>
    <w:p w14:paraId="0F67C77D">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3、本合同一式___份，具有同等法律效力，甲乙双方各执____份。</w:t>
      </w:r>
    </w:p>
    <w:p w14:paraId="66300731">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5D14074B">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7F08B1E3">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甲方：   （盖章）   </w:t>
      </w:r>
      <w:r>
        <w:rPr>
          <w:rFonts w:hint="eastAsia" w:ascii="仿宋" w:hAnsi="仿宋" w:eastAsia="仿宋" w:cs="仿宋"/>
          <w:color w:val="000000" w:themeColor="text1"/>
          <w:sz w:val="24"/>
          <w:szCs w:val="24"/>
          <w:highlight w:val="none"/>
          <w14:textFill>
            <w14:solidFill>
              <w14:schemeClr w14:val="tx1"/>
            </w14:solidFill>
          </w14:textFill>
        </w:rPr>
        <w:tab/>
      </w:r>
      <w:r>
        <w:rPr>
          <w:rFonts w:hint="eastAsia" w:ascii="仿宋" w:hAnsi="仿宋" w:eastAsia="仿宋" w:cs="仿宋"/>
          <w:color w:val="000000" w:themeColor="text1"/>
          <w:sz w:val="24"/>
          <w:szCs w:val="24"/>
          <w:highlight w:val="none"/>
          <w14:textFill>
            <w14:solidFill>
              <w14:schemeClr w14:val="tx1"/>
            </w14:solidFill>
          </w14:textFill>
        </w:rPr>
        <w:tab/>
      </w:r>
      <w:r>
        <w:rPr>
          <w:rFonts w:hint="eastAsia" w:ascii="仿宋" w:hAnsi="仿宋" w:eastAsia="仿宋" w:cs="仿宋"/>
          <w:color w:val="000000" w:themeColor="text1"/>
          <w:sz w:val="24"/>
          <w:szCs w:val="24"/>
          <w:highlight w:val="none"/>
          <w14:textFill>
            <w14:solidFill>
              <w14:schemeClr w14:val="tx1"/>
            </w14:solidFill>
          </w14:textFill>
        </w:rPr>
        <w:tab/>
      </w:r>
      <w:r>
        <w:rPr>
          <w:rFonts w:hint="eastAsia" w:ascii="仿宋" w:hAnsi="仿宋" w:eastAsia="仿宋" w:cs="仿宋"/>
          <w:color w:val="000000" w:themeColor="text1"/>
          <w:sz w:val="24"/>
          <w:szCs w:val="24"/>
          <w:highlight w:val="none"/>
          <w14:textFill>
            <w14:solidFill>
              <w14:schemeClr w14:val="tx1"/>
            </w14:solidFill>
          </w14:textFill>
        </w:rPr>
        <w:t xml:space="preserve">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乙方：   （盖章）</w:t>
      </w:r>
    </w:p>
    <w:p w14:paraId="35B000D7">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法定代表人/授权代表：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法定代表人/授权代表：</w:t>
      </w:r>
    </w:p>
    <w:p w14:paraId="57B14714">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地    址：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地    址：</w:t>
      </w:r>
    </w:p>
    <w:p w14:paraId="165A26F1">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开户银行：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开户银行：</w:t>
      </w:r>
    </w:p>
    <w:p w14:paraId="34653421">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账    号：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账    号：</w:t>
      </w:r>
    </w:p>
    <w:p w14:paraId="1ADA1E57">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电    话：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电    话：</w:t>
      </w:r>
    </w:p>
    <w:p w14:paraId="5F8BAF83">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传    真：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传    真：</w:t>
      </w:r>
    </w:p>
    <w:p w14:paraId="73334577">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 </w:t>
      </w:r>
    </w:p>
    <w:p w14:paraId="2169D7E6">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41EAA3DE">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0273E0C4">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签约日期：    年  月  日</w:t>
      </w:r>
    </w:p>
    <w:p w14:paraId="5AA1E3AF">
      <w:pPr>
        <w:rPr>
          <w:sz w:val="24"/>
          <w:szCs w:val="24"/>
        </w:rPr>
      </w:pPr>
    </w:p>
    <w:sectPr>
      <w:pgSz w:w="11906" w:h="16838"/>
      <w:pgMar w:top="1440" w:right="1706" w:bottom="1440" w:left="138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54274D"/>
    <w:rsid w:val="002E1F6F"/>
    <w:rsid w:val="00B20DF2"/>
    <w:rsid w:val="00B92181"/>
    <w:rsid w:val="00E60A9C"/>
    <w:rsid w:val="012E311C"/>
    <w:rsid w:val="02B96468"/>
    <w:rsid w:val="031418F0"/>
    <w:rsid w:val="03A72764"/>
    <w:rsid w:val="03F51722"/>
    <w:rsid w:val="04AB1DE0"/>
    <w:rsid w:val="04CE1F73"/>
    <w:rsid w:val="05025778"/>
    <w:rsid w:val="05A2535F"/>
    <w:rsid w:val="060379FA"/>
    <w:rsid w:val="060C2D53"/>
    <w:rsid w:val="065D35AE"/>
    <w:rsid w:val="076646E5"/>
    <w:rsid w:val="076D5A73"/>
    <w:rsid w:val="07EF46DA"/>
    <w:rsid w:val="082A5712"/>
    <w:rsid w:val="087D3A94"/>
    <w:rsid w:val="09962BD6"/>
    <w:rsid w:val="0A311903"/>
    <w:rsid w:val="0B7A3373"/>
    <w:rsid w:val="0BD65C62"/>
    <w:rsid w:val="0C0563D3"/>
    <w:rsid w:val="0C201306"/>
    <w:rsid w:val="0C767178"/>
    <w:rsid w:val="0CDD71F7"/>
    <w:rsid w:val="0ED463D8"/>
    <w:rsid w:val="10A342B4"/>
    <w:rsid w:val="10A971AF"/>
    <w:rsid w:val="111E393A"/>
    <w:rsid w:val="11D84431"/>
    <w:rsid w:val="12687563"/>
    <w:rsid w:val="12715EFE"/>
    <w:rsid w:val="13516249"/>
    <w:rsid w:val="13BE48B1"/>
    <w:rsid w:val="13C92283"/>
    <w:rsid w:val="141A39DB"/>
    <w:rsid w:val="146D70B2"/>
    <w:rsid w:val="15B036FB"/>
    <w:rsid w:val="15BB209F"/>
    <w:rsid w:val="15FF3D3A"/>
    <w:rsid w:val="161812A0"/>
    <w:rsid w:val="18455C50"/>
    <w:rsid w:val="19704789"/>
    <w:rsid w:val="1A383CBF"/>
    <w:rsid w:val="1BE0460E"/>
    <w:rsid w:val="1C093B64"/>
    <w:rsid w:val="1C311B1C"/>
    <w:rsid w:val="1C766D20"/>
    <w:rsid w:val="1D2624F4"/>
    <w:rsid w:val="1D291FE4"/>
    <w:rsid w:val="1D880AB9"/>
    <w:rsid w:val="1E2A6014"/>
    <w:rsid w:val="1E8E65A3"/>
    <w:rsid w:val="20943C19"/>
    <w:rsid w:val="20A26336"/>
    <w:rsid w:val="20EB1A8B"/>
    <w:rsid w:val="21521B0A"/>
    <w:rsid w:val="217A696B"/>
    <w:rsid w:val="21997739"/>
    <w:rsid w:val="226C6BFB"/>
    <w:rsid w:val="22743D02"/>
    <w:rsid w:val="22B10AB2"/>
    <w:rsid w:val="2318468D"/>
    <w:rsid w:val="232E2103"/>
    <w:rsid w:val="23D731A8"/>
    <w:rsid w:val="246758CC"/>
    <w:rsid w:val="246F3E35"/>
    <w:rsid w:val="247955FF"/>
    <w:rsid w:val="259326F1"/>
    <w:rsid w:val="26127ABA"/>
    <w:rsid w:val="265869B2"/>
    <w:rsid w:val="271B0BF0"/>
    <w:rsid w:val="27B70919"/>
    <w:rsid w:val="284D302B"/>
    <w:rsid w:val="290F6532"/>
    <w:rsid w:val="29D46E34"/>
    <w:rsid w:val="2A41096D"/>
    <w:rsid w:val="2A81520E"/>
    <w:rsid w:val="2A8D3BB3"/>
    <w:rsid w:val="2ADC0696"/>
    <w:rsid w:val="2AF92831"/>
    <w:rsid w:val="2B562E4F"/>
    <w:rsid w:val="2B5D6268"/>
    <w:rsid w:val="2BA70CA4"/>
    <w:rsid w:val="2BD001FB"/>
    <w:rsid w:val="2C736DD8"/>
    <w:rsid w:val="2CDA6E57"/>
    <w:rsid w:val="2D4D587B"/>
    <w:rsid w:val="2D746964"/>
    <w:rsid w:val="2DB5731E"/>
    <w:rsid w:val="2DEC0BF0"/>
    <w:rsid w:val="2E0C1292"/>
    <w:rsid w:val="2EA72D69"/>
    <w:rsid w:val="2F725125"/>
    <w:rsid w:val="2FAE458C"/>
    <w:rsid w:val="2FCA31B3"/>
    <w:rsid w:val="2FD162F0"/>
    <w:rsid w:val="30E402A4"/>
    <w:rsid w:val="31203028"/>
    <w:rsid w:val="315E1E05"/>
    <w:rsid w:val="317F1D7B"/>
    <w:rsid w:val="31EF6F01"/>
    <w:rsid w:val="324F1D4B"/>
    <w:rsid w:val="32990C1B"/>
    <w:rsid w:val="33466FF4"/>
    <w:rsid w:val="33BB2719"/>
    <w:rsid w:val="33E12879"/>
    <w:rsid w:val="33E74334"/>
    <w:rsid w:val="346C65E7"/>
    <w:rsid w:val="34BD6E42"/>
    <w:rsid w:val="34EB7E53"/>
    <w:rsid w:val="36891AAE"/>
    <w:rsid w:val="37375F10"/>
    <w:rsid w:val="373D070E"/>
    <w:rsid w:val="384004B6"/>
    <w:rsid w:val="38575800"/>
    <w:rsid w:val="39096AFA"/>
    <w:rsid w:val="390C65EA"/>
    <w:rsid w:val="395C1320"/>
    <w:rsid w:val="39AE76A2"/>
    <w:rsid w:val="39F94DC1"/>
    <w:rsid w:val="3B8E778B"/>
    <w:rsid w:val="3D87623F"/>
    <w:rsid w:val="3D960B78"/>
    <w:rsid w:val="3E2505B1"/>
    <w:rsid w:val="40175FA1"/>
    <w:rsid w:val="40442B0E"/>
    <w:rsid w:val="40803861"/>
    <w:rsid w:val="40AB493B"/>
    <w:rsid w:val="411C75E7"/>
    <w:rsid w:val="4154274D"/>
    <w:rsid w:val="41650F8E"/>
    <w:rsid w:val="41A35612"/>
    <w:rsid w:val="41F06AA9"/>
    <w:rsid w:val="4255690C"/>
    <w:rsid w:val="43EB1006"/>
    <w:rsid w:val="44004F9E"/>
    <w:rsid w:val="448E07FB"/>
    <w:rsid w:val="449F47B6"/>
    <w:rsid w:val="44C91833"/>
    <w:rsid w:val="450B59A8"/>
    <w:rsid w:val="45592BB7"/>
    <w:rsid w:val="47344472"/>
    <w:rsid w:val="47C3256A"/>
    <w:rsid w:val="48425B85"/>
    <w:rsid w:val="4A602A4F"/>
    <w:rsid w:val="4B38326F"/>
    <w:rsid w:val="4B8B7843"/>
    <w:rsid w:val="4C251A45"/>
    <w:rsid w:val="4CCF76EA"/>
    <w:rsid w:val="4CF5766A"/>
    <w:rsid w:val="4CF82CB6"/>
    <w:rsid w:val="4D3F6B37"/>
    <w:rsid w:val="4DA846DC"/>
    <w:rsid w:val="4E2B70BB"/>
    <w:rsid w:val="4EC02D8C"/>
    <w:rsid w:val="4EC15329"/>
    <w:rsid w:val="4ED54860"/>
    <w:rsid w:val="4FD33566"/>
    <w:rsid w:val="4FDF68CD"/>
    <w:rsid w:val="503404A9"/>
    <w:rsid w:val="50E7376D"/>
    <w:rsid w:val="50EC2B32"/>
    <w:rsid w:val="510065DD"/>
    <w:rsid w:val="512C5624"/>
    <w:rsid w:val="5164091A"/>
    <w:rsid w:val="517A638F"/>
    <w:rsid w:val="52E53CDC"/>
    <w:rsid w:val="53986FA1"/>
    <w:rsid w:val="53D37FD9"/>
    <w:rsid w:val="54420CBA"/>
    <w:rsid w:val="54662BFB"/>
    <w:rsid w:val="5563538C"/>
    <w:rsid w:val="561304D0"/>
    <w:rsid w:val="56AB6FEB"/>
    <w:rsid w:val="57160908"/>
    <w:rsid w:val="58935F89"/>
    <w:rsid w:val="5900361E"/>
    <w:rsid w:val="59303F5C"/>
    <w:rsid w:val="5A0C5FF2"/>
    <w:rsid w:val="5B48305A"/>
    <w:rsid w:val="5B6A2FD1"/>
    <w:rsid w:val="5C3E620B"/>
    <w:rsid w:val="5C5F68AD"/>
    <w:rsid w:val="5C9B365E"/>
    <w:rsid w:val="5CA6628A"/>
    <w:rsid w:val="5D1A27D4"/>
    <w:rsid w:val="5DD92690"/>
    <w:rsid w:val="5E023A27"/>
    <w:rsid w:val="5EAC1B52"/>
    <w:rsid w:val="5F3C2BC4"/>
    <w:rsid w:val="5FFE1F39"/>
    <w:rsid w:val="629D3C8C"/>
    <w:rsid w:val="630755A9"/>
    <w:rsid w:val="63161C90"/>
    <w:rsid w:val="631B72A6"/>
    <w:rsid w:val="656B62C3"/>
    <w:rsid w:val="66FE3167"/>
    <w:rsid w:val="67DF4D46"/>
    <w:rsid w:val="68030A35"/>
    <w:rsid w:val="68406D43"/>
    <w:rsid w:val="687547A2"/>
    <w:rsid w:val="688431F8"/>
    <w:rsid w:val="69117181"/>
    <w:rsid w:val="69CA7330"/>
    <w:rsid w:val="6A3273AF"/>
    <w:rsid w:val="6A883473"/>
    <w:rsid w:val="6AF40B09"/>
    <w:rsid w:val="6B1765A5"/>
    <w:rsid w:val="6B7D0AFE"/>
    <w:rsid w:val="6BF608B1"/>
    <w:rsid w:val="6C5C4BB7"/>
    <w:rsid w:val="6CAA73DF"/>
    <w:rsid w:val="6CD72490"/>
    <w:rsid w:val="6CE150BD"/>
    <w:rsid w:val="6EBE56B6"/>
    <w:rsid w:val="6F046E40"/>
    <w:rsid w:val="6FCF38F2"/>
    <w:rsid w:val="701D01BA"/>
    <w:rsid w:val="70974410"/>
    <w:rsid w:val="70E76397"/>
    <w:rsid w:val="716562BC"/>
    <w:rsid w:val="72750781"/>
    <w:rsid w:val="72BC40F5"/>
    <w:rsid w:val="72F21DD2"/>
    <w:rsid w:val="731D60D4"/>
    <w:rsid w:val="73440153"/>
    <w:rsid w:val="73DB0AB8"/>
    <w:rsid w:val="74000F3C"/>
    <w:rsid w:val="74EC0AA3"/>
    <w:rsid w:val="751C1388"/>
    <w:rsid w:val="76B61E1F"/>
    <w:rsid w:val="773A5AF5"/>
    <w:rsid w:val="799A6D1F"/>
    <w:rsid w:val="7B6B0973"/>
    <w:rsid w:val="7BF51C2A"/>
    <w:rsid w:val="7C8141C6"/>
    <w:rsid w:val="7DA0242A"/>
    <w:rsid w:val="7E1E7F1F"/>
    <w:rsid w:val="7E6D4A02"/>
    <w:rsid w:val="7EF40C80"/>
    <w:rsid w:val="7EFE1AFE"/>
    <w:rsid w:val="7F034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jc w:val="center"/>
      <w:outlineLvl w:val="0"/>
    </w:pPr>
    <w:rPr>
      <w:rFonts w:ascii="宋体" w:hAnsi="宋体"/>
      <w:sz w:val="36"/>
    </w:rPr>
  </w:style>
  <w:style w:type="paragraph" w:styleId="3">
    <w:name w:val="heading 2"/>
    <w:basedOn w:val="1"/>
    <w:next w:val="1"/>
    <w:qFormat/>
    <w:uiPriority w:val="0"/>
    <w:pPr>
      <w:spacing w:line="360" w:lineRule="auto"/>
      <w:jc w:val="center"/>
      <w:outlineLvl w:val="1"/>
    </w:pPr>
    <w:rPr>
      <w:rFonts w:ascii="Arial" w:hAnsi="Arial" w:eastAsia="黑体"/>
      <w:b/>
      <w:bCs/>
      <w:kern w:val="0"/>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adjustRightInd w:val="0"/>
      <w:spacing w:line="312" w:lineRule="atLeast"/>
      <w:ind w:firstLine="420"/>
      <w:textAlignment w:val="baseline"/>
    </w:pPr>
    <w:rPr>
      <w:rFonts w:ascii="宋体"/>
      <w:kern w:val="0"/>
    </w:rPr>
  </w:style>
  <w:style w:type="paragraph" w:styleId="5">
    <w:name w:val="Body Text First Indent 2"/>
    <w:basedOn w:val="6"/>
    <w:next w:val="1"/>
    <w:qFormat/>
    <w:uiPriority w:val="0"/>
    <w:pPr>
      <w:ind w:firstLine="420" w:firstLineChars="200"/>
    </w:pPr>
    <w:rPr>
      <w:sz w:val="21"/>
    </w:rPr>
  </w:style>
  <w:style w:type="paragraph" w:styleId="6">
    <w:name w:val="Body Text Indent"/>
    <w:basedOn w:val="1"/>
    <w:next w:val="1"/>
    <w:qFormat/>
    <w:uiPriority w:val="0"/>
    <w:pPr>
      <w:spacing w:after="120"/>
      <w:ind w:left="420" w:leftChars="200"/>
    </w:pPr>
    <w:rPr>
      <w:b/>
      <w:color w:val="000000"/>
      <w:kern w:val="0"/>
      <w:sz w:val="24"/>
      <w:szCs w:val="24"/>
    </w:rPr>
  </w:style>
  <w:style w:type="paragraph" w:styleId="7">
    <w:name w:val="Body Text"/>
    <w:basedOn w:val="1"/>
    <w:next w:val="1"/>
    <w:qFormat/>
    <w:uiPriority w:val="0"/>
    <w:pPr>
      <w:jc w:val="center"/>
    </w:pPr>
  </w:style>
  <w:style w:type="paragraph" w:styleId="8">
    <w:name w:val="footer"/>
    <w:basedOn w:val="1"/>
    <w:next w:val="7"/>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uiPriority w:val="0"/>
    <w:pPr>
      <w:spacing w:before="0" w:beforeAutospacing="1" w:after="0" w:afterAutospacing="1"/>
      <w:ind w:left="0" w:right="0"/>
      <w:jc w:val="left"/>
    </w:pPr>
    <w:rPr>
      <w:kern w:val="0"/>
      <w:sz w:val="24"/>
      <w:lang w:val="en-US" w:eastAsia="zh-CN" w:bidi="ar"/>
    </w:rPr>
  </w:style>
  <w:style w:type="character" w:styleId="13">
    <w:name w:val="Strong"/>
    <w:basedOn w:val="12"/>
    <w:qFormat/>
    <w:uiPriority w:val="0"/>
    <w:rPr>
      <w:b/>
    </w:rPr>
  </w:style>
  <w:style w:type="paragraph" w:customStyle="1" w:styleId="14">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4700</Words>
  <Characters>4749</Characters>
  <Lines>0</Lines>
  <Paragraphs>0</Paragraphs>
  <TotalTime>11</TotalTime>
  <ScaleCrop>false</ScaleCrop>
  <LinksUpToDate>false</LinksUpToDate>
  <CharactersWithSpaces>5124</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2026-01-15T06:49:00Z</dcterms:created>
  <dc:creator>pc-0001</dc:creator>
  <cp:lastModifiedBy>祁祁</cp:lastModifiedBy>
  <dcterms:modified xsi:type="dcterms:W3CDTF">2026-04-07T08:23:20Z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F56930ACD8EC411B949CF2C265693796_11</vt:lpwstr>
  </property>
  <property fmtid="{D5CDD505-2E9C-101B-9397-08002B2CF9AE}" pid="4" name="KSOTemplateDocerSaveRecord">
    <vt:lpwstr>eyJoZGlkIjoiODk3ODczYTNlMTI1MTUxYjA1Zjk4YjY4YzI4N2IzMWYiLCJ1c2VySWQiOiI2Mzc5MTQ1NDgifQ==</vt:lpwstr>
  </property>
</Properties>
</file>