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版本号：SCZD2026-ZB-0497-00120260428002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认知心理测评及康复系统采购项目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SCZD2026-ZB-0497-001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认知心理测评及康复系统采购项目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SCZD2026-ZB-0497-001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认知心理测评及康复系统采购项目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本项目采购认知心理测评及康复系统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采购包1（认知心理测评及康复系统采购项目）：属于专门面向中小企业采购。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2投标人在递交投标文件截止时间前被“信用中国”网站（www.creditchina.gov.cn）和中国政府采购网（www.ccgp.gov.cn）上被列入失信被执行人、重大税收违法失信主体、政府采购严重违法失信行为记录名单的，不得参加投标。3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5投标产品属于医疗器械管理范围的须提供医疗器械注册证。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王思瑞、雷鹏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银行账号：103662456936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 1980号）规定标准下浮20%收取，不足5000元按5000元收取。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认知心理测评及康复系统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认知心理测评及康复系统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标的名称：认知心理测评及康复系统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1.系统架构：</w:t>
            </w:r>
          </w:p>
          <w:p>
            <w:pPr>
              <w:pStyle w:val="null3"/>
            </w:pPr>
            <w:r>
              <w:rPr>
                <w:rFonts w:ascii="仿宋_GB2312" w:hAnsi="仿宋_GB2312" w:cs="仿宋_GB2312" w:eastAsia="仿宋_GB2312"/>
              </w:rPr>
              <w:t>1.1软件采用B/S架构体系，FAAS云平台架构搭建，公网云端部署，无需安装客户端，为用户保障系统使用及数据安全。</w:t>
            </w:r>
          </w:p>
          <w:p>
            <w:pPr>
              <w:pStyle w:val="null3"/>
            </w:pPr>
            <w:r>
              <w:rPr>
                <w:rFonts w:ascii="仿宋_GB2312" w:hAnsi="仿宋_GB2312" w:cs="仿宋_GB2312" w:eastAsia="仿宋_GB2312"/>
              </w:rPr>
              <w:t>▲1.2软件具有服务器监控模块，至少包含redis监控(图表+日志)、tomcat监控、服务器基本参数监控、JVM监控、请求追踪、磁盘监控(图表)。(需提供系统截图及相关源码)</w:t>
            </w:r>
          </w:p>
          <w:p>
            <w:pPr>
              <w:pStyle w:val="null3"/>
            </w:pPr>
            <w:r>
              <w:rPr>
                <w:rFonts w:ascii="仿宋_GB2312" w:hAnsi="仿宋_GB2312" w:cs="仿宋_GB2312" w:eastAsia="仿宋_GB2312"/>
              </w:rPr>
              <w:t>▲1.3医疗器械注册许可证适用范围或结构组成中含有量表预警功能。</w:t>
            </w:r>
          </w:p>
          <w:p>
            <w:pPr>
              <w:pStyle w:val="null3"/>
            </w:pPr>
            <w:r>
              <w:rPr>
                <w:rFonts w:ascii="仿宋_GB2312" w:hAnsi="仿宋_GB2312" w:cs="仿宋_GB2312" w:eastAsia="仿宋_GB2312"/>
              </w:rPr>
              <w:t>2.认知评估模块：</w:t>
            </w:r>
          </w:p>
          <w:p>
            <w:pPr>
              <w:pStyle w:val="null3"/>
            </w:pPr>
            <w:r>
              <w:rPr>
                <w:rFonts w:ascii="仿宋_GB2312" w:hAnsi="仿宋_GB2312" w:cs="仿宋_GB2312" w:eastAsia="仿宋_GB2312"/>
              </w:rPr>
              <w:t>▲2.1系统总量表数量≥500个，涵盖情绪、认知、日常生活能力等方面内容。量表需要包含：MMSE、MoCA、ADAS-cog、汉密尔顿焦虑抑郁量表、ADL、宗(Zung)氏抑郁自评量表(SDS)、宗(Zung)氏焦虑自评量表(SAS)、明尼苏达多项人格测试、帕金森氏病综合评分量表、Gesell发育量表(GDDS)、画钟测验(CDT)、数字广度测验(DST)、语言测试等。(需提供量表目录及相关量表界面截图)</w:t>
            </w:r>
          </w:p>
          <w:p>
            <w:pPr>
              <w:pStyle w:val="null3"/>
            </w:pPr>
            <w:r>
              <w:rPr>
                <w:rFonts w:ascii="仿宋_GB2312" w:hAnsi="仿宋_GB2312" w:cs="仿宋_GB2312" w:eastAsia="仿宋_GB2312"/>
              </w:rPr>
              <w:t>2.2导读选项：系统支持智能语音读题。</w:t>
            </w:r>
          </w:p>
          <w:p>
            <w:pPr>
              <w:pStyle w:val="null3"/>
            </w:pPr>
            <w:r>
              <w:rPr>
                <w:rFonts w:ascii="仿宋_GB2312" w:hAnsi="仿宋_GB2312" w:cs="仿宋_GB2312" w:eastAsia="仿宋_GB2312"/>
              </w:rPr>
              <w:t>▲2.3系统测评须支持查询患者所答每个题目的答案、分数与用时。同时可导出相关数据。并支持虚拟现实眼动评估，可以记录用户评估过程中的眼球运动轨迹路线，并显示在分析报告上。(提供每个板块的系统截图)</w:t>
            </w:r>
          </w:p>
          <w:p>
            <w:pPr>
              <w:pStyle w:val="null3"/>
            </w:pPr>
            <w:r>
              <w:rPr>
                <w:rFonts w:ascii="仿宋_GB2312" w:hAnsi="仿宋_GB2312" w:cs="仿宋_GB2312" w:eastAsia="仿宋_GB2312"/>
              </w:rPr>
              <w:t>2.4评估报告：系统提供多种版本的测查报告，报告采用图形、文字、图表相结合的模式,内容包括测评者基本人口学信息、各因子得分、折线图、诊断结果、分析建议等，具备风险预警提示功能。</w:t>
            </w:r>
          </w:p>
          <w:p>
            <w:pPr>
              <w:pStyle w:val="null3"/>
            </w:pPr>
            <w:r>
              <w:rPr>
                <w:rFonts w:ascii="仿宋_GB2312" w:hAnsi="仿宋_GB2312" w:cs="仿宋_GB2312" w:eastAsia="仿宋_GB2312"/>
              </w:rPr>
              <w:t>▲2.5特殊群体兼容：系统需提供色弱模式、支持智能语音读题，以兼容特殊群体有效答题。</w:t>
            </w:r>
          </w:p>
          <w:p>
            <w:pPr>
              <w:pStyle w:val="null3"/>
            </w:pPr>
            <w:r>
              <w:rPr>
                <w:rFonts w:ascii="仿宋_GB2312" w:hAnsi="仿宋_GB2312" w:cs="仿宋_GB2312" w:eastAsia="仿宋_GB2312"/>
              </w:rPr>
              <w:t>▲2.6评估报告可以实现全部内容和格式在线编辑，兼容特殊报告定制。</w:t>
            </w:r>
          </w:p>
          <w:p>
            <w:pPr>
              <w:pStyle w:val="null3"/>
            </w:pPr>
            <w:r>
              <w:rPr>
                <w:rFonts w:ascii="仿宋_GB2312" w:hAnsi="仿宋_GB2312" w:cs="仿宋_GB2312" w:eastAsia="仿宋_GB2312"/>
              </w:rPr>
              <w:t>3.认知训练模块：</w:t>
            </w:r>
          </w:p>
          <w:p>
            <w:pPr>
              <w:pStyle w:val="null3"/>
            </w:pPr>
            <w:r>
              <w:rPr>
                <w:rFonts w:ascii="仿宋_GB2312" w:hAnsi="仿宋_GB2312" w:cs="仿宋_GB2312" w:eastAsia="仿宋_GB2312"/>
              </w:rPr>
              <w:t>3.1初级认知训练：定向能力、专注能力、结构能力、计算能力、记忆能力、推理能力</w:t>
            </w:r>
          </w:p>
          <w:p>
            <w:pPr>
              <w:pStyle w:val="null3"/>
            </w:pPr>
            <w:r>
              <w:rPr>
                <w:rFonts w:ascii="仿宋_GB2312" w:hAnsi="仿宋_GB2312" w:cs="仿宋_GB2312" w:eastAsia="仿宋_GB2312"/>
              </w:rPr>
              <w:t>3.2中级认知训练：定向能力、专注能力、结构能力、计算能力、记忆能力、推理能力</w:t>
            </w:r>
          </w:p>
          <w:p>
            <w:pPr>
              <w:pStyle w:val="null3"/>
            </w:pPr>
            <w:r>
              <w:rPr>
                <w:rFonts w:ascii="仿宋_GB2312" w:hAnsi="仿宋_GB2312" w:cs="仿宋_GB2312" w:eastAsia="仿宋_GB2312"/>
              </w:rPr>
              <w:t>3.3高级认知训练：定向能力、专注能力、结构能力、计算能力、记忆能力、推理能力</w:t>
            </w:r>
          </w:p>
          <w:p>
            <w:pPr>
              <w:pStyle w:val="null3"/>
            </w:pPr>
            <w:r>
              <w:rPr>
                <w:rFonts w:ascii="仿宋_GB2312" w:hAnsi="仿宋_GB2312" w:cs="仿宋_GB2312" w:eastAsia="仿宋_GB2312"/>
              </w:rPr>
              <w:t>3.4训练系统与评定系统的检查分类相对应，训练包括注意障碍、记忆障碍、失算症、思维障碍以及知觉障碍康复训练模块。</w:t>
            </w:r>
          </w:p>
          <w:p>
            <w:pPr>
              <w:pStyle w:val="null3"/>
            </w:pPr>
            <w:r>
              <w:rPr>
                <w:rFonts w:ascii="仿宋_GB2312" w:hAnsi="仿宋_GB2312" w:cs="仿宋_GB2312" w:eastAsia="仿宋_GB2312"/>
              </w:rPr>
              <w:t>3.4.1注意障碍训练模块：应包括注意的广度、保持、转移、选择、分配训练以及与注意相关的ADL训练。</w:t>
            </w:r>
          </w:p>
          <w:p>
            <w:pPr>
              <w:pStyle w:val="null3"/>
            </w:pPr>
            <w:r>
              <w:rPr>
                <w:rFonts w:ascii="仿宋_GB2312" w:hAnsi="仿宋_GB2312" w:cs="仿宋_GB2312" w:eastAsia="仿宋_GB2312"/>
              </w:rPr>
              <w:t>3.4.2记忆障碍训练模块：应包括言语记忆、人物记忆、空间记忆、图形记忆、听觉记忆以及记忆相关的ADL训练。</w:t>
            </w:r>
          </w:p>
          <w:p>
            <w:pPr>
              <w:pStyle w:val="null3"/>
            </w:pPr>
            <w:r>
              <w:rPr>
                <w:rFonts w:ascii="仿宋_GB2312" w:hAnsi="仿宋_GB2312" w:cs="仿宋_GB2312" w:eastAsia="仿宋_GB2312"/>
              </w:rPr>
              <w:t>3.4.3失算症训练模块：应包括数字理解、运算规则、心算、估算、列式计算、各种与日常生活相关的实用计算训练。</w:t>
            </w:r>
          </w:p>
          <w:p>
            <w:pPr>
              <w:pStyle w:val="null3"/>
            </w:pPr>
            <w:r>
              <w:rPr>
                <w:rFonts w:ascii="仿宋_GB2312" w:hAnsi="仿宋_GB2312" w:cs="仿宋_GB2312" w:eastAsia="仿宋_GB2312"/>
              </w:rPr>
              <w:t>3.4.4思维障碍训练模块：应包括概念形成、分类、概括、逻辑推理、序列思维以及相关ADL能力训练。</w:t>
            </w:r>
          </w:p>
          <w:p>
            <w:pPr>
              <w:pStyle w:val="null3"/>
            </w:pPr>
            <w:r>
              <w:rPr>
                <w:rFonts w:ascii="仿宋_GB2312" w:hAnsi="仿宋_GB2312" w:cs="仿宋_GB2312" w:eastAsia="仿宋_GB2312"/>
              </w:rPr>
              <w:t>3.4.5知觉障碍训练模块：应包括追踪训练、图形背景分辨训练、失认症训练、空间关系训练、失用症训练以及辨时训练等；</w:t>
            </w:r>
          </w:p>
          <w:p>
            <w:pPr>
              <w:pStyle w:val="null3"/>
            </w:pPr>
            <w:r>
              <w:rPr>
                <w:rFonts w:ascii="仿宋_GB2312" w:hAnsi="仿宋_GB2312" w:cs="仿宋_GB2312" w:eastAsia="仿宋_GB2312"/>
              </w:rPr>
              <w:t>4.虚拟现实VR模块：</w:t>
            </w:r>
          </w:p>
          <w:p>
            <w:pPr>
              <w:pStyle w:val="null3"/>
            </w:pPr>
            <w:r>
              <w:rPr>
                <w:rFonts w:ascii="仿宋_GB2312" w:hAnsi="仿宋_GB2312" w:cs="仿宋_GB2312" w:eastAsia="仿宋_GB2312"/>
              </w:rPr>
              <w:t>▲4.1系统支持通过眼动追踪的形式进行认知功能评估，可在5分钟内实现认知功能评估。(需提供报告截图)</w:t>
            </w:r>
          </w:p>
          <w:p>
            <w:pPr>
              <w:pStyle w:val="null3"/>
            </w:pPr>
            <w:r>
              <w:rPr>
                <w:rFonts w:ascii="仿宋_GB2312" w:hAnsi="仿宋_GB2312" w:cs="仿宋_GB2312" w:eastAsia="仿宋_GB2312"/>
              </w:rPr>
              <w:t>▲4.2支持拓展VR端进行认知筛查与认知训练，认知训练须包含注意训练、记忆能力、思维能力、感知觉能力、数算能力等，须包含认知训练中国指南(2022版)中超市购物训练项目，最接近日常生活场景。(需提供系统截图)</w:t>
            </w:r>
          </w:p>
          <w:p>
            <w:pPr>
              <w:pStyle w:val="null3"/>
            </w:pPr>
            <w:r>
              <w:rPr>
                <w:rFonts w:ascii="仿宋_GB2312" w:hAnsi="仿宋_GB2312" w:cs="仿宋_GB2312" w:eastAsia="仿宋_GB2312"/>
              </w:rPr>
              <w:t>▲4.3系统后台界面支持VR设备操控，包括眼动筛查评估推送、训练方案组合、切换患者、停止训练、远程实时画面监控等</w:t>
            </w:r>
          </w:p>
          <w:p>
            <w:pPr>
              <w:pStyle w:val="null3"/>
            </w:pPr>
            <w:r>
              <w:rPr>
                <w:rFonts w:ascii="仿宋_GB2312" w:hAnsi="仿宋_GB2312" w:cs="仿宋_GB2312" w:eastAsia="仿宋_GB2312"/>
              </w:rPr>
              <w:t>4.4系统包含放松训练模块，包含且不限于森林、海洋、雪乡、草原等场景。</w:t>
            </w:r>
          </w:p>
          <w:p>
            <w:pPr>
              <w:pStyle w:val="null3"/>
              <w:spacing w:before="105"/>
              <w:ind w:left="10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全部安装、调试完成，初步验收合格交付使用后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一年后最终验收完成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交付使用后质保六年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6.汉中市政府采购供应商资格承诺函.docx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2投标人在递交投标文件截止时间前被“信用中国”网站（www.creditchina.gov.cn）和中国政府采购网（www.ccgp.gov.cn）上被列入失信被执行人、重大税收违法失信主体、政府采购严重违法失信行为记录名单的，不得参加投标。3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5投标产品属于医疗器械管理范围的须提供医疗器械注册证。6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 7.特定资格证明文件.docx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本项目专门面向中小企业采购，供应商应按要求提供中小企业声明函或残疾人福利性单位声明函或监狱企业证明函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10.投标分项报价表.docx 14.技术证明材料.docx 12.商务条款偏离表.docx 15.投标方案或技术方案.docx 13.技术偏离表.docx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10.投标分项报价表.docx 14.技术证明材料.docx 开标一览表 关于符合本国产品标准的声明函.docx 12.商务条款偏离表.docx 15.投标方案或技术方案.docx 中小企业声明函 6.汉中市政府采购供应商资格承诺函.docx 16.业绩一览表.docx 13.技术偏离表.docx 11.投标保证金支付凭证或保函.docx 节能产品、环境标志产品明细表.docx 7.特定资格证明文件.docx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10.投标分项报价表.docx 14.技术证明材料.docx 开标一览表 关于符合本国产品标准的声明函.docx 12.商务条款偏离表.docx 15.投标方案或技术方案.docx 中小企业声明函 6.汉中市政府采购供应商资格承诺函.docx 16.业绩一览表.docx 13.技术偏离表.docx 11.投标保证金支付凭证或保函.docx 节能产品、环境标志产品明细表.docx 7.特定资格证明文件.docx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技术评审</w:t>
            </w:r>
          </w:p>
        </w:tc>
        <w:tc>
          <w:tcPr>
            <w:tcW w:type="dxa" w:w="2492"/>
          </w:tcPr>
          <w:p>
            <w:pPr>
              <w:pStyle w:val="null3"/>
            </w:pPr>
            <w:r>
              <w:rPr>
                <w:rFonts w:ascii="仿宋_GB2312" w:hAnsi="仿宋_GB2312" w:cs="仿宋_GB2312" w:eastAsia="仿宋_GB2312"/>
              </w:rPr>
              <w:t>投标产品的技术指标评审：完全响应得34分。“▲”号技术参数一项不满足扣2分，非“▲”号技术指标参数一项不满足扣1分，扣完为止。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所投产品技术先进、可靠性强、成熟度高，满足用户需求，得5分；所投产品技术成熟、性能稳定，基本满足用户需求，得3分；所投产品技术成熟、性能满足、影响用户使用效果，得1分。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产品设计方案</w:t>
            </w:r>
          </w:p>
        </w:tc>
        <w:tc>
          <w:tcPr>
            <w:tcW w:type="dxa" w:w="2492"/>
          </w:tcPr>
          <w:p>
            <w:pPr>
              <w:pStyle w:val="null3"/>
            </w:pPr>
            <w:r>
              <w:rPr>
                <w:rFonts w:ascii="仿宋_GB2312" w:hAnsi="仿宋_GB2312" w:cs="仿宋_GB2312" w:eastAsia="仿宋_GB2312"/>
              </w:rPr>
              <w:t>投标产品认知心理测评及康复设计方案，包括不限于需求分析、系统架构设计、功能设计及循证依据、评估结果可靠性及安全性等方面：思路清晰、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投标供应商提供完整、全面、条理清晰、可行性强的实施方案：内容完整、可实施、且有针对性得3分；内容完整、可实施得2分；方案基本完整得1分；未提供不得分。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投标供应商提供完整、全面、条理清晰、可行性强的安装调试方案：内容完整、可实施、且有针对性得3分；内容完整、可实施得2分；方案基本完整得1分；未提供不得分。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投标供应商提供完整、全面、条理清晰、可行性强的验收方案：内容完整、可实施、且有针对性得3分；内容完整、可实施得2分；方案基本完整得1分；未提供不得分。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供应商提供的售后服务方案，包括但不限于售后服务、维修的响应时间，排除故障时间等：内容完整、可实施、且有针对性得3分；内容完整、可实施得2分；方案基本完整得1分；未提供不得分。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投标供应商提供完整、全面、条理清晰、可行性强的故障处理及补救措施方案：内容完整、可实施、且有针对性得3分；内容完整、可实施得2分；方案基本完整得1分；未提供不得分。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产品培训方案</w:t>
            </w:r>
          </w:p>
        </w:tc>
        <w:tc>
          <w:tcPr>
            <w:tcW w:type="dxa" w:w="2492"/>
          </w:tcPr>
          <w:p>
            <w:pPr>
              <w:pStyle w:val="null3"/>
            </w:pPr>
            <w:r>
              <w:rPr>
                <w:rFonts w:ascii="仿宋_GB2312" w:hAnsi="仿宋_GB2312" w:cs="仿宋_GB2312" w:eastAsia="仿宋_GB2312"/>
              </w:rPr>
              <w:t>供应商提供培训方案，包括但不限于培训的具体内容及方式、培训时长和培训次数等内容：内容完整、可实施、且有针对性得3分；内容完整、可实施得2分；方案基本完整得1分；未提供不得分。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提供2023年1月1日至投标截止之日(以合同签订时间为准）的所投产品业绩，每提供一份得2分，最高得6分。提供合同复印件，未提供不得分。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小微企业、监狱企业或残疾人福利性单位用投标报价扣除后的价格参加评审。专门面向中小企业采购的项目不进行价格扣除。）（货物采购项目，供应商对其提供的产品出具《关于符合本国产品标准的声明函》或财政部会同有关部门规定的有关证明文件，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详见附件：6.汉中市政府采购供应商资格承诺函.docx</w:t>
      </w:r>
    </w:p>
    <w:p>
      <w:pPr>
        <w:pStyle w:val="null3"/>
        <w:ind w:firstLine="960"/>
      </w:pPr>
      <w:r>
        <w:rPr>
          <w:rFonts w:ascii="仿宋_GB2312" w:hAnsi="仿宋_GB2312" w:cs="仿宋_GB2312" w:eastAsia="仿宋_GB2312"/>
        </w:rPr>
        <w:t>详见附件：7.特定资格证明文件.docx</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