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43937">
      <w:pPr>
        <w:rPr>
          <w:rFonts w:hint="eastAsia" w:hAnsi="宋体" w:eastAsia="宋体" w:cs="宋体"/>
          <w:b/>
          <w:sz w:val="36"/>
          <w:highlight w:val="none"/>
          <w:lang w:eastAsia="zh-CN"/>
        </w:rPr>
      </w:pPr>
      <w:r>
        <w:rPr>
          <w:rFonts w:hint="eastAsia" w:hAnsi="宋体" w:cs="宋体"/>
          <w:b/>
          <w:bCs/>
          <w:kern w:val="2"/>
          <w:sz w:val="32"/>
          <w:szCs w:val="32"/>
          <w:highlight w:val="none"/>
        </w:rPr>
        <w:t>项目编号:</w:t>
      </w:r>
      <w:r>
        <w:rPr>
          <w:rFonts w:hint="eastAsia" w:hAnsi="宋体" w:cs="宋体"/>
          <w:b/>
          <w:bCs/>
          <w:kern w:val="2"/>
          <w:sz w:val="32"/>
          <w:szCs w:val="32"/>
          <w:highlight w:val="none"/>
          <w:lang w:eastAsia="zh-CN"/>
        </w:rPr>
        <w:t>SXZCZB2024-ZCGK-1212</w:t>
      </w:r>
    </w:p>
    <w:p w14:paraId="1CC642C7">
      <w:pPr>
        <w:rPr>
          <w:rFonts w:hAnsi="宋体" w:cs="宋体"/>
          <w:b/>
          <w:sz w:val="36"/>
          <w:highlight w:val="none"/>
        </w:rPr>
      </w:pPr>
    </w:p>
    <w:p w14:paraId="41D1B4FB">
      <w:pPr>
        <w:tabs>
          <w:tab w:val="left" w:pos="3375"/>
        </w:tabs>
        <w:rPr>
          <w:rFonts w:hAnsi="宋体" w:cs="宋体"/>
          <w:highlight w:val="none"/>
        </w:rPr>
      </w:pPr>
      <w:r>
        <w:rPr>
          <w:rFonts w:hint="eastAsia" w:hAnsi="宋体" w:cs="宋体"/>
          <w:highlight w:val="none"/>
        </w:rPr>
        <w:tab/>
      </w:r>
    </w:p>
    <w:p w14:paraId="1A367557">
      <w:pPr>
        <w:jc w:val="center"/>
        <w:rPr>
          <w:rFonts w:asciiTheme="minorEastAsia" w:hAnsiTheme="minorEastAsia" w:eastAsiaTheme="minorEastAsia" w:cstheme="minorEastAsia"/>
          <w:b/>
          <w:sz w:val="36"/>
          <w:highlight w:val="none"/>
        </w:rPr>
      </w:pPr>
    </w:p>
    <w:p w14:paraId="6A462CD6">
      <w:pPr>
        <w:jc w:val="center"/>
        <w:rPr>
          <w:rFonts w:asciiTheme="minorEastAsia" w:hAnsiTheme="minorEastAsia" w:eastAsiaTheme="minorEastAsia" w:cstheme="minorEastAsia"/>
          <w:b/>
          <w:sz w:val="44"/>
          <w:szCs w:val="44"/>
          <w:highlight w:val="none"/>
        </w:rPr>
      </w:pPr>
    </w:p>
    <w:p w14:paraId="66C5A032">
      <w:pPr>
        <w:spacing w:line="780" w:lineRule="auto"/>
        <w:jc w:val="center"/>
        <w:rPr>
          <w:rFonts w:hint="eastAsia" w:asciiTheme="minorEastAsia" w:hAnsiTheme="minorEastAsia" w:eastAsiaTheme="minorEastAsia" w:cstheme="minorEastAsia"/>
          <w:b/>
          <w:sz w:val="72"/>
          <w:szCs w:val="72"/>
          <w:highlight w:val="none"/>
          <w:lang w:eastAsia="zh-CN"/>
        </w:rPr>
      </w:pPr>
      <w:r>
        <w:rPr>
          <w:rFonts w:hint="eastAsia" w:asciiTheme="minorEastAsia" w:hAnsiTheme="minorEastAsia" w:eastAsiaTheme="minorEastAsia" w:cstheme="minorEastAsia"/>
          <w:b/>
          <w:sz w:val="56"/>
          <w:szCs w:val="56"/>
          <w:highlight w:val="none"/>
          <w:lang w:eastAsia="zh-CN"/>
        </w:rPr>
        <w:t>互联网二期升级改造（银医合作）采购项目</w:t>
      </w:r>
    </w:p>
    <w:p w14:paraId="700EB461">
      <w:pPr>
        <w:pStyle w:val="2"/>
        <w:rPr>
          <w:rFonts w:asciiTheme="minorEastAsia" w:hAnsiTheme="minorEastAsia" w:eastAsiaTheme="minorEastAsia" w:cstheme="minorEastAsia"/>
          <w:sz w:val="72"/>
          <w:szCs w:val="72"/>
          <w:highlight w:val="none"/>
        </w:rPr>
      </w:pPr>
    </w:p>
    <w:p w14:paraId="77BCBB9D">
      <w:pPr>
        <w:rPr>
          <w:highlight w:val="none"/>
        </w:rPr>
      </w:pPr>
    </w:p>
    <w:p w14:paraId="7A3D7C1B">
      <w:pPr>
        <w:spacing w:line="780" w:lineRule="auto"/>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招标文件</w:t>
      </w:r>
    </w:p>
    <w:p w14:paraId="59A2B5F2">
      <w:pPr>
        <w:rPr>
          <w:rFonts w:asciiTheme="minorEastAsia" w:hAnsiTheme="minorEastAsia" w:eastAsiaTheme="minorEastAsia" w:cstheme="minorEastAsia"/>
          <w:highlight w:val="none"/>
        </w:rPr>
      </w:pPr>
      <w:bookmarkStart w:id="0" w:name="_Toc363463325"/>
    </w:p>
    <w:p w14:paraId="231508BC">
      <w:pPr>
        <w:rPr>
          <w:rFonts w:asciiTheme="minorEastAsia" w:hAnsiTheme="minorEastAsia" w:eastAsiaTheme="minorEastAsia" w:cstheme="minorEastAsia"/>
          <w:highlight w:val="none"/>
        </w:rPr>
      </w:pPr>
    </w:p>
    <w:bookmarkEnd w:id="0"/>
    <w:p w14:paraId="37D0572B">
      <w:pPr>
        <w:jc w:val="center"/>
        <w:rPr>
          <w:rFonts w:asciiTheme="minorEastAsia" w:hAnsiTheme="minorEastAsia" w:eastAsiaTheme="minorEastAsia" w:cstheme="minorEastAsia"/>
          <w:b/>
          <w:sz w:val="36"/>
          <w:szCs w:val="36"/>
          <w:highlight w:val="none"/>
        </w:rPr>
      </w:pPr>
    </w:p>
    <w:p w14:paraId="78113288">
      <w:pPr>
        <w:rPr>
          <w:rFonts w:asciiTheme="minorEastAsia" w:hAnsiTheme="minorEastAsia" w:eastAsiaTheme="minorEastAsia" w:cstheme="minorEastAsia"/>
          <w:sz w:val="36"/>
          <w:szCs w:val="36"/>
          <w:highlight w:val="none"/>
        </w:rPr>
      </w:pPr>
    </w:p>
    <w:p w14:paraId="442B601F">
      <w:pPr>
        <w:jc w:val="center"/>
        <w:rPr>
          <w:rFonts w:asciiTheme="minorEastAsia" w:hAnsiTheme="minorEastAsia" w:eastAsiaTheme="minorEastAsia" w:cstheme="minorEastAsia"/>
          <w:sz w:val="36"/>
          <w:szCs w:val="36"/>
          <w:highlight w:val="none"/>
        </w:rPr>
      </w:pPr>
    </w:p>
    <w:p w14:paraId="2EB20577">
      <w:pPr>
        <w:jc w:val="center"/>
        <w:rPr>
          <w:rFonts w:asciiTheme="minorEastAsia" w:hAnsiTheme="minorEastAsia" w:eastAsiaTheme="minorEastAsia" w:cstheme="minorEastAsia"/>
          <w:sz w:val="36"/>
          <w:szCs w:val="36"/>
          <w:highlight w:val="none"/>
        </w:rPr>
      </w:pPr>
    </w:p>
    <w:p w14:paraId="56A0435E">
      <w:pPr>
        <w:rPr>
          <w:rFonts w:asciiTheme="minorEastAsia" w:hAnsiTheme="minorEastAsia" w:eastAsiaTheme="minorEastAsia" w:cstheme="minorEastAsia"/>
          <w:sz w:val="18"/>
          <w:szCs w:val="18"/>
          <w:highlight w:val="none"/>
        </w:rPr>
      </w:pPr>
    </w:p>
    <w:p w14:paraId="511F22F4">
      <w:pPr>
        <w:rPr>
          <w:rFonts w:asciiTheme="minorEastAsia" w:hAnsiTheme="minorEastAsia" w:eastAsiaTheme="minorEastAsia" w:cstheme="minorEastAsia"/>
          <w:sz w:val="18"/>
          <w:szCs w:val="18"/>
          <w:highlight w:val="none"/>
        </w:rPr>
      </w:pPr>
    </w:p>
    <w:p w14:paraId="525A890A">
      <w:pPr>
        <w:tabs>
          <w:tab w:val="left" w:pos="525"/>
        </w:tabs>
        <w:ind w:left="-2" w:leftChars="-1" w:firstLine="1"/>
        <w:jc w:val="center"/>
        <w:rPr>
          <w:rFonts w:asciiTheme="minorEastAsia" w:hAnsiTheme="minorEastAsia" w:eastAsiaTheme="minorEastAsia" w:cstheme="minorEastAsia"/>
          <w:b/>
          <w:bCs/>
          <w:sz w:val="32"/>
          <w:szCs w:val="32"/>
          <w:highlight w:val="none"/>
        </w:rPr>
      </w:pPr>
    </w:p>
    <w:p w14:paraId="0CB92295">
      <w:pPr>
        <w:tabs>
          <w:tab w:val="left" w:pos="525"/>
        </w:tabs>
        <w:ind w:left="-2" w:leftChars="-1" w:firstLine="1"/>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 xml:space="preserve">陕西至诚项目管理集团有限公司 </w:t>
      </w:r>
    </w:p>
    <w:p w14:paraId="6FF10105">
      <w:pPr>
        <w:tabs>
          <w:tab w:val="left" w:pos="525"/>
        </w:tabs>
        <w:ind w:left="-2" w:leftChars="-1" w:firstLine="1"/>
        <w:jc w:val="center"/>
        <w:rPr>
          <w:rFonts w:asciiTheme="minorEastAsia" w:hAnsiTheme="minorEastAsia" w:eastAsiaTheme="minorEastAsia" w:cstheme="minorEastAsia"/>
          <w:b/>
          <w:sz w:val="44"/>
          <w:szCs w:val="44"/>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r>
        <w:rPr>
          <w:rFonts w:hint="eastAsia" w:asciiTheme="minorEastAsia" w:hAnsiTheme="minorEastAsia" w:eastAsiaTheme="minorEastAsia" w:cstheme="minorEastAsia"/>
          <w:b/>
          <w:bCs/>
          <w:sz w:val="32"/>
          <w:szCs w:val="32"/>
          <w:highlight w:val="none"/>
        </w:rPr>
        <w:t>二〇二四年</w:t>
      </w:r>
      <w:r>
        <w:rPr>
          <w:rFonts w:hint="eastAsia" w:asciiTheme="minorEastAsia" w:hAnsiTheme="minorEastAsia" w:eastAsiaTheme="minorEastAsia" w:cstheme="minorEastAsia"/>
          <w:b/>
          <w:bCs/>
          <w:sz w:val="32"/>
          <w:szCs w:val="32"/>
          <w:highlight w:val="none"/>
          <w:lang w:val="en-US" w:eastAsia="zh-CN"/>
        </w:rPr>
        <w:t>十二</w:t>
      </w:r>
      <w:r>
        <w:rPr>
          <w:rFonts w:hint="eastAsia" w:asciiTheme="minorEastAsia" w:hAnsiTheme="minorEastAsia" w:eastAsiaTheme="minorEastAsia" w:cstheme="minorEastAsia"/>
          <w:b/>
          <w:bCs/>
          <w:sz w:val="32"/>
          <w:szCs w:val="32"/>
          <w:highlight w:val="none"/>
        </w:rPr>
        <w:t>月</w:t>
      </w:r>
    </w:p>
    <w:p w14:paraId="42F2E477">
      <w:pPr>
        <w:spacing w:before="166" w:beforeLines="50" w:line="360" w:lineRule="auto"/>
        <w:jc w:val="center"/>
        <w:rPr>
          <w:rFonts w:hAnsi="宋体" w:cs="宋体"/>
          <w:b/>
          <w:sz w:val="44"/>
          <w:szCs w:val="44"/>
          <w:highlight w:val="none"/>
        </w:rPr>
      </w:pPr>
      <w:r>
        <w:rPr>
          <w:rFonts w:hint="eastAsia" w:hAnsi="宋体" w:cs="宋体"/>
          <w:b/>
          <w:sz w:val="44"/>
          <w:szCs w:val="44"/>
          <w:highlight w:val="none"/>
        </w:rPr>
        <w:t>目   录</w:t>
      </w:r>
    </w:p>
    <w:p w14:paraId="0FD47179">
      <w:pPr>
        <w:pStyle w:val="18"/>
        <w:tabs>
          <w:tab w:val="right" w:leader="dot" w:pos="9072"/>
          <w:tab w:val="clear" w:pos="1418"/>
          <w:tab w:val="clear" w:pos="8302"/>
        </w:tabs>
        <w:spacing w:line="360" w:lineRule="auto"/>
        <w:rPr>
          <w:rFonts w:hAnsi="宋体" w:cs="宋体"/>
          <w:sz w:val="28"/>
          <w:szCs w:val="28"/>
          <w:highlight w:val="none"/>
        </w:rPr>
      </w:pPr>
      <w:bookmarkStart w:id="1" w:name="_Toc20858"/>
      <w:bookmarkStart w:id="2" w:name="_Toc21518"/>
      <w:bookmarkStart w:id="3" w:name="_Toc19886"/>
      <w:bookmarkStart w:id="4" w:name="_Toc16218"/>
      <w:bookmarkStart w:id="5" w:name="_Toc389582033"/>
      <w:bookmarkStart w:id="6" w:name="_Toc5293"/>
      <w:bookmarkStart w:id="7" w:name="_Toc20652"/>
      <w:bookmarkStart w:id="8" w:name="_Toc426457691"/>
      <w:bookmarkStart w:id="9" w:name="_Toc363474016"/>
      <w:bookmarkStart w:id="10" w:name="_Toc363473971"/>
      <w:bookmarkStart w:id="11" w:name="_Toc403077638"/>
      <w:r>
        <w:rPr>
          <w:rFonts w:hint="eastAsia" w:hAnsi="宋体" w:cs="宋体"/>
          <w:sz w:val="28"/>
          <w:szCs w:val="28"/>
          <w:highlight w:val="none"/>
        </w:rPr>
        <w:fldChar w:fldCharType="begin"/>
      </w:r>
      <w:r>
        <w:rPr>
          <w:rFonts w:hint="eastAsia" w:hAnsi="宋体" w:cs="宋体"/>
          <w:sz w:val="28"/>
          <w:szCs w:val="28"/>
          <w:highlight w:val="none"/>
        </w:rPr>
        <w:instrText xml:space="preserve">TOC \o "1-4" \h \u </w:instrText>
      </w:r>
      <w:r>
        <w:rPr>
          <w:rFonts w:hint="eastAsia" w:hAnsi="宋体" w:cs="宋体"/>
          <w:sz w:val="28"/>
          <w:szCs w:val="28"/>
          <w:highlight w:val="none"/>
        </w:rPr>
        <w:fldChar w:fldCharType="separate"/>
      </w:r>
      <w:r>
        <w:rPr>
          <w:highlight w:val="none"/>
        </w:rPr>
        <w:fldChar w:fldCharType="begin"/>
      </w:r>
      <w:r>
        <w:rPr>
          <w:highlight w:val="none"/>
        </w:rPr>
        <w:instrText xml:space="preserve"> HYPERLINK \l "_Toc18199" </w:instrText>
      </w:r>
      <w:r>
        <w:rPr>
          <w:highlight w:val="none"/>
        </w:rPr>
        <w:fldChar w:fldCharType="separate"/>
      </w:r>
      <w:r>
        <w:rPr>
          <w:rFonts w:hint="eastAsia" w:hAnsi="宋体" w:cs="宋体"/>
          <w:sz w:val="28"/>
          <w:szCs w:val="28"/>
          <w:highlight w:val="none"/>
        </w:rPr>
        <w:t>第一章  招标公告</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_Toc18199 \h </w:instrText>
      </w:r>
      <w:r>
        <w:rPr>
          <w:rFonts w:hint="eastAsia" w:hAnsi="宋体" w:cs="宋体"/>
          <w:sz w:val="28"/>
          <w:szCs w:val="28"/>
          <w:highlight w:val="none"/>
        </w:rPr>
        <w:fldChar w:fldCharType="separate"/>
      </w:r>
      <w:r>
        <w:rPr>
          <w:rFonts w:hint="eastAsia" w:hAnsi="宋体" w:cs="宋体"/>
          <w:sz w:val="28"/>
          <w:szCs w:val="28"/>
          <w:highlight w:val="none"/>
        </w:rPr>
        <w:t>2</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2672CB1C">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"_Toc30529" </w:instrText>
      </w:r>
      <w:r>
        <w:rPr>
          <w:highlight w:val="none"/>
        </w:rPr>
        <w:fldChar w:fldCharType="separate"/>
      </w:r>
      <w:r>
        <w:rPr>
          <w:rFonts w:hint="eastAsia" w:hAnsi="宋体" w:cs="宋体"/>
          <w:sz w:val="28"/>
          <w:szCs w:val="28"/>
          <w:highlight w:val="none"/>
        </w:rPr>
        <w:t>第二章  投标人须知</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_Toc30529 \h </w:instrText>
      </w:r>
      <w:r>
        <w:rPr>
          <w:rFonts w:hint="eastAsia" w:hAnsi="宋体" w:cs="宋体"/>
          <w:sz w:val="28"/>
          <w:szCs w:val="28"/>
          <w:highlight w:val="none"/>
        </w:rPr>
        <w:fldChar w:fldCharType="separate"/>
      </w:r>
      <w:r>
        <w:rPr>
          <w:rFonts w:hint="eastAsia" w:hAnsi="宋体" w:cs="宋体"/>
          <w:sz w:val="28"/>
          <w:szCs w:val="28"/>
          <w:highlight w:val="none"/>
        </w:rPr>
        <w:t>7</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30993376">
      <w:pPr>
        <w:pStyle w:val="19"/>
        <w:tabs>
          <w:tab w:val="right" w:leader="dot" w:pos="9072"/>
          <w:tab w:val="clear" w:pos="8302"/>
        </w:tabs>
        <w:spacing w:line="360" w:lineRule="auto"/>
        <w:ind w:left="480"/>
        <w:rPr>
          <w:rFonts w:hAnsi="宋体" w:cs="宋体"/>
          <w:sz w:val="28"/>
          <w:szCs w:val="28"/>
          <w:highlight w:val="none"/>
        </w:rPr>
      </w:pPr>
      <w:r>
        <w:rPr>
          <w:highlight w:val="none"/>
        </w:rPr>
        <w:fldChar w:fldCharType="begin"/>
      </w:r>
      <w:r>
        <w:rPr>
          <w:highlight w:val="none"/>
        </w:rPr>
        <w:instrText xml:space="preserve"> HYPERLINK \l "_Toc22787" </w:instrText>
      </w:r>
      <w:r>
        <w:rPr>
          <w:highlight w:val="none"/>
        </w:rPr>
        <w:fldChar w:fldCharType="separate"/>
      </w:r>
      <w:r>
        <w:rPr>
          <w:rFonts w:hint="eastAsia" w:hAnsi="宋体" w:cs="宋体"/>
          <w:sz w:val="28"/>
          <w:szCs w:val="28"/>
          <w:highlight w:val="none"/>
        </w:rPr>
        <w:t>投标人须知前附表</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_Toc22787 \h </w:instrText>
      </w:r>
      <w:r>
        <w:rPr>
          <w:rFonts w:hint="eastAsia" w:hAnsi="宋体" w:cs="宋体"/>
          <w:sz w:val="28"/>
          <w:szCs w:val="28"/>
          <w:highlight w:val="none"/>
        </w:rPr>
        <w:fldChar w:fldCharType="separate"/>
      </w:r>
      <w:r>
        <w:rPr>
          <w:rFonts w:hint="eastAsia" w:hAnsi="宋体" w:cs="宋体"/>
          <w:sz w:val="28"/>
          <w:szCs w:val="28"/>
          <w:highlight w:val="none"/>
        </w:rPr>
        <w:t>7</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53AC4A25">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"_Toc29164" </w:instrText>
      </w:r>
      <w:r>
        <w:rPr>
          <w:highlight w:val="none"/>
        </w:rPr>
        <w:fldChar w:fldCharType="separate"/>
      </w:r>
      <w:r>
        <w:rPr>
          <w:rFonts w:hint="eastAsia" w:hAnsi="宋体" w:cs="宋体"/>
          <w:sz w:val="28"/>
          <w:szCs w:val="28"/>
          <w:highlight w:val="none"/>
        </w:rPr>
        <w:t>第三章  合同条款及格式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_Toc29164 \h </w:instrText>
      </w:r>
      <w:r>
        <w:rPr>
          <w:rFonts w:hint="eastAsia" w:hAnsi="宋体" w:cs="宋体"/>
          <w:sz w:val="28"/>
          <w:szCs w:val="28"/>
          <w:highlight w:val="none"/>
        </w:rPr>
        <w:fldChar w:fldCharType="separate"/>
      </w:r>
      <w:r>
        <w:rPr>
          <w:rFonts w:hint="eastAsia" w:hAnsi="宋体" w:cs="宋体"/>
          <w:sz w:val="28"/>
          <w:szCs w:val="28"/>
          <w:highlight w:val="none"/>
        </w:rPr>
        <w:t>28</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482A9C13">
      <w:pPr>
        <w:pStyle w:val="19"/>
        <w:tabs>
          <w:tab w:val="right" w:leader="dot" w:pos="9072"/>
          <w:tab w:val="clear" w:pos="8302"/>
        </w:tabs>
        <w:spacing w:line="360" w:lineRule="auto"/>
        <w:ind w:left="480"/>
        <w:rPr>
          <w:rFonts w:hAnsi="宋体" w:cs="宋体"/>
          <w:sz w:val="28"/>
          <w:szCs w:val="28"/>
          <w:highlight w:val="none"/>
        </w:rPr>
      </w:pPr>
      <w:r>
        <w:rPr>
          <w:highlight w:val="none"/>
        </w:rPr>
        <w:fldChar w:fldCharType="begin"/>
      </w:r>
      <w:r>
        <w:rPr>
          <w:highlight w:val="none"/>
        </w:rPr>
        <w:instrText xml:space="preserve"> HYPERLINK \l "_Toc28117" </w:instrText>
      </w:r>
      <w:r>
        <w:rPr>
          <w:highlight w:val="none"/>
        </w:rPr>
        <w:fldChar w:fldCharType="separate"/>
      </w:r>
      <w:r>
        <w:rPr>
          <w:rFonts w:hint="eastAsia" w:hAnsi="宋体" w:cs="宋体"/>
          <w:sz w:val="28"/>
          <w:szCs w:val="28"/>
          <w:highlight w:val="none"/>
        </w:rPr>
        <w:t>合同条款及格式前附表</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_Toc28117 \h </w:instrText>
      </w:r>
      <w:r>
        <w:rPr>
          <w:rFonts w:hint="eastAsia" w:hAnsi="宋体" w:cs="宋体"/>
          <w:sz w:val="28"/>
          <w:szCs w:val="28"/>
          <w:highlight w:val="none"/>
        </w:rPr>
        <w:fldChar w:fldCharType="separate"/>
      </w:r>
      <w:r>
        <w:rPr>
          <w:rFonts w:hint="eastAsia" w:hAnsi="宋体" w:cs="宋体"/>
          <w:sz w:val="28"/>
          <w:szCs w:val="28"/>
          <w:highlight w:val="none"/>
        </w:rPr>
        <w:t>28</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31424336">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"_Toc25246" </w:instrText>
      </w:r>
      <w:r>
        <w:rPr>
          <w:highlight w:val="none"/>
        </w:rPr>
        <w:fldChar w:fldCharType="separate"/>
      </w:r>
      <w:r>
        <w:rPr>
          <w:rFonts w:hint="eastAsia" w:hAnsi="宋体" w:cs="宋体"/>
          <w:sz w:val="28"/>
          <w:szCs w:val="28"/>
          <w:highlight w:val="none"/>
        </w:rPr>
        <w:t>第四章  采购内容及技术要求</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_Toc25246 \h </w:instrText>
      </w:r>
      <w:r>
        <w:rPr>
          <w:rFonts w:hint="eastAsia" w:hAnsi="宋体" w:cs="宋体"/>
          <w:sz w:val="28"/>
          <w:szCs w:val="28"/>
          <w:highlight w:val="none"/>
        </w:rPr>
        <w:fldChar w:fldCharType="separate"/>
      </w:r>
      <w:r>
        <w:rPr>
          <w:rFonts w:hint="eastAsia" w:hAnsi="宋体" w:cs="宋体"/>
          <w:sz w:val="28"/>
          <w:szCs w:val="28"/>
          <w:highlight w:val="none"/>
        </w:rPr>
        <w:t>38</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247CFB49">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"_Toc10625" </w:instrText>
      </w:r>
      <w:r>
        <w:rPr>
          <w:highlight w:val="none"/>
        </w:rPr>
        <w:fldChar w:fldCharType="separate"/>
      </w:r>
      <w:r>
        <w:rPr>
          <w:rFonts w:hint="eastAsia" w:hAnsi="宋体" w:cs="宋体"/>
          <w:sz w:val="28"/>
          <w:szCs w:val="28"/>
          <w:highlight w:val="none"/>
        </w:rPr>
        <w:t>第五章  评标方法</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_Toc10625 \h </w:instrText>
      </w:r>
      <w:r>
        <w:rPr>
          <w:rFonts w:hint="eastAsia" w:hAnsi="宋体" w:cs="宋体"/>
          <w:sz w:val="28"/>
          <w:szCs w:val="28"/>
          <w:highlight w:val="none"/>
        </w:rPr>
        <w:fldChar w:fldCharType="separate"/>
      </w:r>
      <w:r>
        <w:rPr>
          <w:rFonts w:hint="eastAsia" w:hAnsi="宋体" w:cs="宋体"/>
          <w:sz w:val="28"/>
          <w:szCs w:val="28"/>
          <w:highlight w:val="none"/>
        </w:rPr>
        <w:t>38</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031F79A5">
      <w:pPr>
        <w:pStyle w:val="18"/>
        <w:tabs>
          <w:tab w:val="right" w:leader="dot" w:pos="9072"/>
          <w:tab w:val="clear" w:pos="1418"/>
          <w:tab w:val="clear" w:pos="8302"/>
        </w:tabs>
        <w:spacing w:line="360" w:lineRule="auto"/>
        <w:rPr>
          <w:rFonts w:hAnsi="宋体" w:cs="宋体"/>
          <w:sz w:val="28"/>
          <w:szCs w:val="28"/>
          <w:highlight w:val="none"/>
        </w:rPr>
      </w:pPr>
      <w:r>
        <w:rPr>
          <w:highlight w:val="none"/>
        </w:rPr>
        <w:fldChar w:fldCharType="begin"/>
      </w:r>
      <w:r>
        <w:rPr>
          <w:highlight w:val="none"/>
        </w:rPr>
        <w:instrText xml:space="preserve"> HYPERLINK \l "_Toc2042" </w:instrText>
      </w:r>
      <w:r>
        <w:rPr>
          <w:highlight w:val="none"/>
        </w:rPr>
        <w:fldChar w:fldCharType="separate"/>
      </w:r>
      <w:r>
        <w:rPr>
          <w:rFonts w:hint="eastAsia" w:hAnsi="宋体" w:cs="宋体"/>
          <w:bCs/>
          <w:sz w:val="28"/>
          <w:szCs w:val="28"/>
          <w:highlight w:val="none"/>
        </w:rPr>
        <w:t>第六章  投标文件构成及格式</w:t>
      </w:r>
      <w:r>
        <w:rPr>
          <w:rFonts w:hint="eastAsia" w:hAnsi="宋体" w:cs="宋体"/>
          <w:sz w:val="28"/>
          <w:szCs w:val="28"/>
          <w:highlight w:val="none"/>
        </w:rPr>
        <w:tab/>
      </w:r>
      <w:r>
        <w:rPr>
          <w:rFonts w:hint="eastAsia" w:hAnsi="宋体" w:cs="宋体"/>
          <w:sz w:val="28"/>
          <w:szCs w:val="28"/>
          <w:highlight w:val="none"/>
        </w:rPr>
        <w:fldChar w:fldCharType="begin"/>
      </w:r>
      <w:r>
        <w:rPr>
          <w:rFonts w:hint="eastAsia" w:hAnsi="宋体" w:cs="宋体"/>
          <w:sz w:val="28"/>
          <w:szCs w:val="28"/>
          <w:highlight w:val="none"/>
        </w:rPr>
        <w:instrText xml:space="preserve"> PAGEREF _Toc2042 \h </w:instrText>
      </w:r>
      <w:r>
        <w:rPr>
          <w:rFonts w:hint="eastAsia" w:hAnsi="宋体" w:cs="宋体"/>
          <w:sz w:val="28"/>
          <w:szCs w:val="28"/>
          <w:highlight w:val="none"/>
        </w:rPr>
        <w:fldChar w:fldCharType="separate"/>
      </w:r>
      <w:r>
        <w:rPr>
          <w:rFonts w:hint="eastAsia" w:hAnsi="宋体" w:cs="宋体"/>
          <w:sz w:val="28"/>
          <w:szCs w:val="28"/>
          <w:highlight w:val="none"/>
        </w:rPr>
        <w:t>58</w:t>
      </w:r>
      <w:r>
        <w:rPr>
          <w:rFonts w:hint="eastAsia" w:hAnsi="宋体" w:cs="宋体"/>
          <w:sz w:val="28"/>
          <w:szCs w:val="28"/>
          <w:highlight w:val="none"/>
        </w:rPr>
        <w:fldChar w:fldCharType="end"/>
      </w:r>
      <w:r>
        <w:rPr>
          <w:rFonts w:hint="eastAsia" w:hAnsi="宋体" w:cs="宋体"/>
          <w:sz w:val="28"/>
          <w:szCs w:val="28"/>
          <w:highlight w:val="none"/>
        </w:rPr>
        <w:fldChar w:fldCharType="end"/>
      </w:r>
    </w:p>
    <w:p w14:paraId="1A6F621D">
      <w:pPr>
        <w:pStyle w:val="18"/>
        <w:spacing w:line="360" w:lineRule="auto"/>
        <w:rPr>
          <w:rFonts w:hAnsi="宋体" w:cs="宋体"/>
          <w:sz w:val="21"/>
          <w:szCs w:val="21"/>
          <w:highlight w:val="none"/>
        </w:rPr>
        <w:sectPr>
          <w:headerReference r:id="rId7" w:type="first"/>
          <w:footerReference r:id="rId9" w:type="first"/>
          <w:headerReference r:id="rId6" w:type="default"/>
          <w:footerReference r:id="rId8" w:type="default"/>
          <w:pgSz w:w="11906" w:h="16838"/>
          <w:pgMar w:top="1361" w:right="1417" w:bottom="1361" w:left="1417" w:header="1134" w:footer="992" w:gutter="0"/>
          <w:pgNumType w:fmt="decimal" w:start="1"/>
          <w:cols w:space="720" w:num="1"/>
          <w:titlePg/>
          <w:docGrid w:type="lines" w:linePitch="333" w:charSpace="0"/>
        </w:sectPr>
      </w:pPr>
      <w:r>
        <w:rPr>
          <w:rFonts w:hint="eastAsia" w:hAnsi="宋体" w:cs="宋体"/>
          <w:sz w:val="28"/>
          <w:szCs w:val="28"/>
          <w:highlight w:val="none"/>
        </w:rPr>
        <w:fldChar w:fldCharType="end"/>
      </w:r>
    </w:p>
    <w:p w14:paraId="43B3058F">
      <w:pPr>
        <w:pStyle w:val="2"/>
        <w:spacing w:after="333" w:afterLines="100" w:line="500" w:lineRule="exact"/>
        <w:jc w:val="center"/>
        <w:rPr>
          <w:rFonts w:ascii="宋体" w:eastAsia="宋体" w:cs="宋体"/>
          <w:sz w:val="36"/>
          <w:szCs w:val="36"/>
          <w:highlight w:val="none"/>
        </w:rPr>
      </w:pPr>
      <w:bookmarkStart w:id="12" w:name="_Toc23576"/>
      <w:bookmarkStart w:id="13" w:name="_Toc18199"/>
      <w:bookmarkStart w:id="14" w:name="_Toc26849"/>
      <w:bookmarkStart w:id="15" w:name="_Toc28504"/>
      <w:bookmarkStart w:id="16" w:name="_Toc31289"/>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bookmarkEnd w:id="16"/>
    </w:p>
    <w:p w14:paraId="5698FA8C">
      <w:pPr>
        <w:pStyle w:val="6"/>
        <w:widowControl/>
        <w:spacing w:before="150" w:beforeAutospacing="0" w:after="150" w:afterAutospacing="0" w:line="30" w:lineRule="atLeast"/>
        <w:textAlignment w:val="baseline"/>
        <w:rPr>
          <w:rFonts w:hint="default" w:cs="宋体"/>
          <w:b w:val="0"/>
          <w:bCs w:val="0"/>
          <w:sz w:val="24"/>
          <w:szCs w:val="24"/>
          <w:highlight w:val="none"/>
        </w:rPr>
      </w:pPr>
      <w:r>
        <w:rPr>
          <w:rStyle w:val="26"/>
          <w:rFonts w:cs="宋体"/>
          <w:b/>
          <w:bCs/>
          <w:color w:val="333333"/>
          <w:sz w:val="24"/>
          <w:szCs w:val="24"/>
          <w:highlight w:val="none"/>
          <w:shd w:val="clear" w:color="auto" w:fill="FFFFFF"/>
        </w:rPr>
        <w:t>项目概况</w:t>
      </w:r>
    </w:p>
    <w:p w14:paraId="4CEB2712">
      <w:pPr>
        <w:pStyle w:val="21"/>
        <w:spacing w:before="150" w:beforeAutospacing="0" w:after="150" w:afterAutospacing="0" w:line="480" w:lineRule="atLeast"/>
        <w:ind w:firstLine="480"/>
        <w:jc w:val="both"/>
        <w:textAlignment w:val="baseline"/>
        <w:rPr>
          <w:rFonts w:cs="宋体"/>
          <w:highlight w:val="none"/>
        </w:rPr>
      </w:pPr>
      <w:r>
        <w:rPr>
          <w:rFonts w:hint="eastAsia" w:cs="宋体"/>
          <w:color w:val="333333"/>
          <w:highlight w:val="none"/>
          <w:shd w:val="clear" w:color="auto" w:fill="FFFFFF"/>
          <w:lang w:eastAsia="zh-CN"/>
        </w:rPr>
        <w:t>汉中市人民医院互联网二期升级改造（银医合作）采购项目</w:t>
      </w:r>
      <w:r>
        <w:rPr>
          <w:rFonts w:hint="eastAsia" w:cs="宋体"/>
          <w:color w:val="333333"/>
          <w:highlight w:val="none"/>
          <w:shd w:val="clear" w:color="auto" w:fill="FFFFFF"/>
        </w:rPr>
        <w:t>采购项目的潜在供应商应在陕西省西安市未央区未央路171-1号银池道拉斯财富中心21楼获取采购文件，并于 202</w:t>
      </w:r>
      <w:r>
        <w:rPr>
          <w:rFonts w:hint="eastAsia" w:cs="宋体"/>
          <w:color w:val="333333"/>
          <w:highlight w:val="none"/>
          <w:shd w:val="clear" w:color="auto" w:fill="FFFFFF"/>
          <w:lang w:val="en-US" w:eastAsia="zh-CN"/>
        </w:rPr>
        <w:t>5</w:t>
      </w:r>
      <w:r>
        <w:rPr>
          <w:rFonts w:hint="eastAsia" w:cs="宋体"/>
          <w:color w:val="333333"/>
          <w:highlight w:val="none"/>
          <w:shd w:val="clear" w:color="auto" w:fill="FFFFFF"/>
        </w:rPr>
        <w:t>年</w:t>
      </w:r>
      <w:r>
        <w:rPr>
          <w:rFonts w:hint="eastAsia" w:cs="宋体"/>
          <w:color w:val="333333"/>
          <w:highlight w:val="none"/>
          <w:shd w:val="clear" w:color="auto" w:fill="FFFFFF"/>
          <w:lang w:val="en-US" w:eastAsia="zh-CN"/>
        </w:rPr>
        <w:t>01</w:t>
      </w:r>
      <w:r>
        <w:rPr>
          <w:rFonts w:hint="eastAsia" w:cs="宋体"/>
          <w:color w:val="333333"/>
          <w:highlight w:val="none"/>
          <w:shd w:val="clear" w:color="auto" w:fill="FFFFFF"/>
        </w:rPr>
        <w:t>月</w:t>
      </w:r>
      <w:r>
        <w:rPr>
          <w:rFonts w:hint="eastAsia" w:cs="宋体"/>
          <w:color w:val="333333"/>
          <w:highlight w:val="none"/>
          <w:shd w:val="clear" w:color="auto" w:fill="FFFFFF"/>
          <w:lang w:val="en-US" w:eastAsia="zh-CN"/>
        </w:rPr>
        <w:t>03</w:t>
      </w:r>
      <w:r>
        <w:rPr>
          <w:rFonts w:hint="eastAsia" w:cs="宋体"/>
          <w:color w:val="333333"/>
          <w:highlight w:val="none"/>
          <w:shd w:val="clear" w:color="auto" w:fill="FFFFFF"/>
        </w:rPr>
        <w:t>日 14时</w:t>
      </w:r>
      <w:r>
        <w:rPr>
          <w:rFonts w:hint="eastAsia" w:cs="宋体"/>
          <w:color w:val="333333"/>
          <w:highlight w:val="none"/>
          <w:shd w:val="clear" w:color="auto" w:fill="FFFFFF"/>
          <w:lang w:val="en-US" w:eastAsia="zh-CN"/>
        </w:rPr>
        <w:t>00</w:t>
      </w:r>
      <w:r>
        <w:rPr>
          <w:rFonts w:hint="eastAsia" w:cs="宋体"/>
          <w:color w:val="333333"/>
          <w:highlight w:val="none"/>
          <w:shd w:val="clear" w:color="auto" w:fill="FFFFFF"/>
        </w:rPr>
        <w:t>分00秒（北京时间）前提交投标文件。</w:t>
      </w:r>
    </w:p>
    <w:p w14:paraId="150C3EB7">
      <w:pPr>
        <w:pStyle w:val="5"/>
        <w:keepNext w:val="0"/>
        <w:keepLines w:val="0"/>
        <w:shd w:val="clear" w:color="auto" w:fill="FFFFFF"/>
        <w:tabs>
          <w:tab w:val="left" w:pos="864"/>
        </w:tabs>
        <w:spacing w:before="150" w:after="0" w:line="750" w:lineRule="atLeast"/>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一、项目基本情况</w:t>
      </w:r>
    </w:p>
    <w:p w14:paraId="6CB3A255">
      <w:pPr>
        <w:pStyle w:val="21"/>
        <w:shd w:val="clear" w:color="auto" w:fill="FFFFFF"/>
        <w:spacing w:before="0" w:beforeAutospacing="0" w:after="0" w:afterAutospacing="0" w:line="480" w:lineRule="atLeast"/>
        <w:ind w:firstLine="480"/>
        <w:jc w:val="both"/>
        <w:textAlignment w:val="baseline"/>
        <w:rPr>
          <w:rFonts w:hint="eastAsia" w:eastAsia="宋体" w:cs="宋体"/>
          <w:color w:val="333333"/>
          <w:highlight w:val="none"/>
          <w:lang w:eastAsia="zh-CN"/>
        </w:rPr>
      </w:pPr>
      <w:r>
        <w:rPr>
          <w:rFonts w:hint="eastAsia" w:cs="宋体"/>
          <w:color w:val="333333"/>
          <w:highlight w:val="none"/>
          <w:shd w:val="clear" w:color="auto" w:fill="FFFFFF"/>
        </w:rPr>
        <w:t>项目编号：</w:t>
      </w:r>
      <w:r>
        <w:rPr>
          <w:rFonts w:hint="eastAsia" w:cs="宋体"/>
          <w:color w:val="333333"/>
          <w:highlight w:val="none"/>
          <w:shd w:val="clear" w:color="auto" w:fill="FFFFFF"/>
          <w:lang w:eastAsia="zh-CN"/>
        </w:rPr>
        <w:t>SXZCZB2024-ZCGK-1212</w:t>
      </w:r>
    </w:p>
    <w:p w14:paraId="04391869">
      <w:pPr>
        <w:pStyle w:val="21"/>
        <w:shd w:val="clear" w:color="auto" w:fill="FFFFFF"/>
        <w:spacing w:before="0" w:beforeAutospacing="0" w:after="0" w:afterAutospacing="0" w:line="480" w:lineRule="atLeast"/>
        <w:ind w:firstLine="480"/>
        <w:jc w:val="both"/>
        <w:textAlignment w:val="baseline"/>
        <w:rPr>
          <w:rFonts w:hint="eastAsia" w:cs="宋体"/>
          <w:color w:val="333333"/>
          <w:highlight w:val="none"/>
          <w:shd w:val="clear" w:color="auto" w:fill="FFFFFF"/>
          <w:lang w:eastAsia="zh-CN"/>
        </w:rPr>
      </w:pPr>
      <w:r>
        <w:rPr>
          <w:rFonts w:hint="eastAsia" w:cs="宋体"/>
          <w:color w:val="333333"/>
          <w:highlight w:val="none"/>
          <w:shd w:val="clear" w:color="auto" w:fill="FFFFFF"/>
        </w:rPr>
        <w:t>项目名称：</w:t>
      </w:r>
      <w:r>
        <w:rPr>
          <w:rFonts w:hint="eastAsia" w:cs="宋体"/>
          <w:color w:val="333333"/>
          <w:highlight w:val="none"/>
          <w:shd w:val="clear" w:color="auto" w:fill="FFFFFF"/>
          <w:lang w:eastAsia="zh-CN"/>
        </w:rPr>
        <w:t>汉中市人民医院互联网二期升级改造（银医合作）采购项目</w:t>
      </w:r>
    </w:p>
    <w:p w14:paraId="5A17352A">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采购方式：公开招标</w:t>
      </w:r>
    </w:p>
    <w:p w14:paraId="45AA8145">
      <w:pPr>
        <w:pStyle w:val="21"/>
        <w:shd w:val="clear" w:color="auto" w:fill="FFFFFF"/>
        <w:spacing w:before="0" w:beforeAutospacing="0" w:after="0" w:afterAutospacing="0" w:line="480" w:lineRule="atLeast"/>
        <w:ind w:firstLine="480"/>
        <w:jc w:val="both"/>
        <w:textAlignment w:val="baseline"/>
        <w:rPr>
          <w:rFonts w:cs="宋体"/>
          <w:color w:val="333333"/>
          <w:highlight w:val="none"/>
          <w:shd w:val="clear" w:color="auto" w:fill="FFFFFF"/>
        </w:rPr>
      </w:pPr>
      <w:r>
        <w:rPr>
          <w:rFonts w:hint="eastAsia" w:cs="宋体"/>
          <w:color w:val="333333"/>
          <w:highlight w:val="none"/>
          <w:shd w:val="clear" w:color="auto" w:fill="FFFFFF"/>
        </w:rPr>
        <w:t>预算金额：</w:t>
      </w:r>
      <w:r>
        <w:rPr>
          <w:rFonts w:hint="eastAsia" w:cs="宋体"/>
          <w:color w:val="333333"/>
          <w:highlight w:val="none"/>
          <w:shd w:val="clear" w:color="auto" w:fill="FFFFFF"/>
          <w:lang w:val="en-US" w:eastAsia="zh-CN"/>
        </w:rPr>
        <w:t>200</w:t>
      </w:r>
      <w:r>
        <w:rPr>
          <w:rFonts w:hint="eastAsia" w:cs="宋体"/>
          <w:color w:val="333333"/>
          <w:highlight w:val="none"/>
          <w:shd w:val="clear" w:color="auto" w:fill="FFFFFF"/>
        </w:rPr>
        <w:t>0000.00元</w:t>
      </w:r>
    </w:p>
    <w:p w14:paraId="7EEA2B2B">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采购需求：</w:t>
      </w:r>
    </w:p>
    <w:p w14:paraId="5BBB6153">
      <w:pPr>
        <w:pStyle w:val="21"/>
        <w:spacing w:before="0" w:beforeAutospacing="0" w:after="0" w:afterAutospacing="0" w:line="480" w:lineRule="atLeast"/>
        <w:ind w:firstLine="480"/>
        <w:jc w:val="both"/>
        <w:textAlignment w:val="baseline"/>
        <w:rPr>
          <w:rFonts w:cs="宋体"/>
          <w:highlight w:val="none"/>
        </w:rPr>
      </w:pPr>
      <w:r>
        <w:rPr>
          <w:rFonts w:hint="eastAsia" w:cs="宋体"/>
          <w:color w:val="333333"/>
          <w:highlight w:val="none"/>
          <w:shd w:val="clear" w:color="auto" w:fill="FFFFFF"/>
        </w:rPr>
        <w:t>合同包1(</w:t>
      </w:r>
      <w:r>
        <w:rPr>
          <w:rFonts w:hint="eastAsia" w:cs="宋体"/>
          <w:color w:val="333333"/>
          <w:highlight w:val="none"/>
          <w:shd w:val="clear" w:color="auto" w:fill="FFFFFF"/>
          <w:lang w:eastAsia="zh-CN"/>
        </w:rPr>
        <w:t>汉中市人民医院互联网二期升级改造（银医合作）采购项目</w:t>
      </w:r>
      <w:r>
        <w:rPr>
          <w:rFonts w:hint="eastAsia" w:cs="宋体"/>
          <w:color w:val="333333"/>
          <w:highlight w:val="none"/>
          <w:shd w:val="clear" w:color="auto" w:fill="FFFFFF"/>
        </w:rPr>
        <w:t>):</w:t>
      </w:r>
    </w:p>
    <w:p w14:paraId="6463E9FD">
      <w:pPr>
        <w:pStyle w:val="21"/>
        <w:shd w:val="clear" w:color="auto" w:fill="FFFFFF"/>
        <w:spacing w:before="0" w:beforeAutospacing="0" w:after="0" w:afterAutospacing="0" w:line="480" w:lineRule="atLeast"/>
        <w:ind w:firstLine="480"/>
        <w:jc w:val="both"/>
        <w:textAlignment w:val="baseline"/>
        <w:rPr>
          <w:rFonts w:cs="宋体"/>
          <w:color w:val="333333"/>
          <w:highlight w:val="none"/>
          <w:shd w:val="clear" w:color="auto" w:fill="FFFFFF"/>
        </w:rPr>
      </w:pPr>
      <w:r>
        <w:rPr>
          <w:rFonts w:hint="eastAsia" w:cs="宋体"/>
          <w:color w:val="333333"/>
          <w:highlight w:val="none"/>
          <w:shd w:val="clear" w:color="auto" w:fill="FFFFFF"/>
        </w:rPr>
        <w:t>合同包预算金额：</w:t>
      </w:r>
      <w:r>
        <w:rPr>
          <w:rFonts w:hint="eastAsia" w:cs="宋体"/>
          <w:color w:val="333333"/>
          <w:highlight w:val="none"/>
          <w:shd w:val="clear" w:color="auto" w:fill="FFFFFF"/>
          <w:lang w:eastAsia="zh-CN"/>
        </w:rPr>
        <w:t>2000000.00</w:t>
      </w:r>
      <w:r>
        <w:rPr>
          <w:rFonts w:hint="eastAsia" w:cs="宋体"/>
          <w:color w:val="333333"/>
          <w:highlight w:val="none"/>
          <w:shd w:val="clear" w:color="auto" w:fill="FFFFFF"/>
        </w:rPr>
        <w:t>元</w:t>
      </w:r>
    </w:p>
    <w:p w14:paraId="11C258CF">
      <w:pPr>
        <w:pStyle w:val="21"/>
        <w:shd w:val="clear" w:color="auto" w:fill="FFFFFF"/>
        <w:spacing w:before="0" w:beforeAutospacing="0" w:after="0" w:afterAutospacing="0" w:line="480" w:lineRule="atLeast"/>
        <w:ind w:firstLine="480"/>
        <w:jc w:val="both"/>
        <w:textAlignment w:val="baseline"/>
        <w:rPr>
          <w:rFonts w:cs="宋体"/>
          <w:color w:val="333333"/>
          <w:highlight w:val="none"/>
          <w:shd w:val="clear" w:color="auto" w:fill="FFFFFF"/>
        </w:rPr>
      </w:pPr>
      <w:r>
        <w:rPr>
          <w:rFonts w:hint="eastAsia" w:cs="宋体"/>
          <w:color w:val="333333"/>
          <w:highlight w:val="none"/>
          <w:shd w:val="clear" w:color="auto" w:fill="FFFFFF"/>
        </w:rPr>
        <w:t>合同包最高限价：</w:t>
      </w:r>
      <w:r>
        <w:rPr>
          <w:rFonts w:hint="eastAsia" w:cs="宋体"/>
          <w:color w:val="333333"/>
          <w:highlight w:val="none"/>
          <w:shd w:val="clear" w:color="auto" w:fill="FFFFFF"/>
          <w:lang w:val="en-US" w:eastAsia="zh-CN"/>
        </w:rPr>
        <w:t>98</w:t>
      </w:r>
      <w:r>
        <w:rPr>
          <w:rFonts w:hint="eastAsia" w:cs="宋体"/>
          <w:color w:val="333333"/>
          <w:highlight w:val="none"/>
          <w:shd w:val="clear" w:color="auto" w:fill="FFFFFF"/>
          <w:lang w:eastAsia="zh-CN"/>
        </w:rPr>
        <w:t>0000.00</w:t>
      </w:r>
      <w:r>
        <w:rPr>
          <w:rFonts w:hint="eastAsia" w:cs="宋体"/>
          <w:color w:val="333333"/>
          <w:highlight w:val="none"/>
          <w:shd w:val="clear" w:color="auto" w:fill="FFFFFF"/>
        </w:rPr>
        <w:t>元</w:t>
      </w:r>
    </w:p>
    <w:tbl>
      <w:tblPr>
        <w:tblStyle w:val="23"/>
        <w:tblW w:w="0" w:type="auto"/>
        <w:tblInd w:w="0" w:type="dxa"/>
        <w:tblLayout w:type="autofit"/>
        <w:tblCellMar>
          <w:top w:w="0" w:type="dxa"/>
          <w:left w:w="0" w:type="dxa"/>
          <w:bottom w:w="0" w:type="dxa"/>
          <w:right w:w="0" w:type="dxa"/>
        </w:tblCellMar>
      </w:tblPr>
      <w:tblGrid>
        <w:gridCol w:w="620"/>
        <w:gridCol w:w="1102"/>
        <w:gridCol w:w="2377"/>
        <w:gridCol w:w="999"/>
        <w:gridCol w:w="1277"/>
        <w:gridCol w:w="1511"/>
        <w:gridCol w:w="1426"/>
      </w:tblGrid>
      <w:tr w14:paraId="256FFEF7">
        <w:tblPrEx>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5FC1BD">
            <w:pPr>
              <w:widowControl/>
              <w:wordWrap w:val="0"/>
              <w:spacing w:line="360" w:lineRule="atLeast"/>
              <w:jc w:val="center"/>
              <w:textAlignment w:val="center"/>
              <w:rPr>
                <w:rFonts w:hAnsi="宋体" w:cs="宋体"/>
                <w:b/>
                <w:bCs/>
                <w:szCs w:val="24"/>
                <w:highlight w:val="none"/>
              </w:rPr>
            </w:pPr>
            <w:r>
              <w:rPr>
                <w:rFonts w:hint="eastAsia" w:hAnsi="宋体" w:cs="宋体"/>
                <w:b/>
                <w:bCs/>
                <w:szCs w:val="24"/>
                <w:highlight w:val="none"/>
                <w:lang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D36AA8">
            <w:pPr>
              <w:widowControl/>
              <w:wordWrap w:val="0"/>
              <w:spacing w:line="360" w:lineRule="atLeast"/>
              <w:jc w:val="center"/>
              <w:textAlignment w:val="center"/>
              <w:rPr>
                <w:rFonts w:hAnsi="宋体" w:cs="宋体"/>
                <w:b/>
                <w:bCs/>
                <w:szCs w:val="24"/>
                <w:highlight w:val="none"/>
              </w:rPr>
            </w:pPr>
            <w:r>
              <w:rPr>
                <w:rFonts w:hint="eastAsia" w:hAnsi="宋体" w:cs="宋体"/>
                <w:b/>
                <w:bCs/>
                <w:szCs w:val="24"/>
                <w:highlight w:val="none"/>
                <w:lang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005679">
            <w:pPr>
              <w:widowControl/>
              <w:wordWrap w:val="0"/>
              <w:spacing w:line="360" w:lineRule="atLeast"/>
              <w:jc w:val="center"/>
              <w:textAlignment w:val="center"/>
              <w:rPr>
                <w:rFonts w:hAnsi="宋体" w:cs="宋体"/>
                <w:b/>
                <w:bCs/>
                <w:szCs w:val="24"/>
                <w:highlight w:val="none"/>
              </w:rPr>
            </w:pPr>
            <w:r>
              <w:rPr>
                <w:rFonts w:hint="eastAsia" w:hAnsi="宋体" w:cs="宋体"/>
                <w:b/>
                <w:bCs/>
                <w:szCs w:val="24"/>
                <w:highlight w:val="none"/>
                <w:lang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4C5686">
            <w:pPr>
              <w:widowControl/>
              <w:wordWrap w:val="0"/>
              <w:spacing w:line="360" w:lineRule="atLeast"/>
              <w:jc w:val="center"/>
              <w:textAlignment w:val="center"/>
              <w:rPr>
                <w:rFonts w:hAnsi="宋体" w:cs="宋体"/>
                <w:b/>
                <w:bCs/>
                <w:szCs w:val="24"/>
                <w:highlight w:val="none"/>
              </w:rPr>
            </w:pPr>
            <w:r>
              <w:rPr>
                <w:rFonts w:hint="eastAsia" w:hAnsi="宋体" w:cs="宋体"/>
                <w:b/>
                <w:bCs/>
                <w:szCs w:val="24"/>
                <w:highlight w:val="none"/>
                <w:lang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201046">
            <w:pPr>
              <w:widowControl/>
              <w:wordWrap w:val="0"/>
              <w:spacing w:line="360" w:lineRule="atLeast"/>
              <w:jc w:val="center"/>
              <w:textAlignment w:val="center"/>
              <w:rPr>
                <w:rFonts w:hAnsi="宋体" w:cs="宋体"/>
                <w:b/>
                <w:bCs/>
                <w:szCs w:val="24"/>
                <w:highlight w:val="none"/>
              </w:rPr>
            </w:pPr>
            <w:r>
              <w:rPr>
                <w:rFonts w:hint="eastAsia" w:hAnsi="宋体" w:cs="宋体"/>
                <w:b/>
                <w:bCs/>
                <w:szCs w:val="24"/>
                <w:highlight w:val="none"/>
                <w:lang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5834E">
            <w:pPr>
              <w:widowControl/>
              <w:wordWrap w:val="0"/>
              <w:spacing w:line="360" w:lineRule="atLeast"/>
              <w:jc w:val="center"/>
              <w:textAlignment w:val="center"/>
              <w:rPr>
                <w:rFonts w:hAnsi="宋体" w:cs="宋体"/>
                <w:b/>
                <w:bCs/>
                <w:szCs w:val="24"/>
                <w:highlight w:val="none"/>
              </w:rPr>
            </w:pPr>
            <w:r>
              <w:rPr>
                <w:rFonts w:hint="eastAsia" w:hAnsi="宋体" w:cs="宋体"/>
                <w:b/>
                <w:bCs/>
                <w:szCs w:val="24"/>
                <w:highlight w:val="none"/>
                <w:lang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9E6DC3">
            <w:pPr>
              <w:widowControl/>
              <w:wordWrap w:val="0"/>
              <w:spacing w:line="360" w:lineRule="atLeast"/>
              <w:jc w:val="center"/>
              <w:textAlignment w:val="center"/>
              <w:rPr>
                <w:rFonts w:hAnsi="宋体" w:cs="宋体"/>
                <w:b/>
                <w:bCs/>
                <w:szCs w:val="24"/>
                <w:highlight w:val="none"/>
              </w:rPr>
            </w:pPr>
            <w:r>
              <w:rPr>
                <w:rFonts w:hint="eastAsia" w:hAnsi="宋体" w:cs="宋体"/>
                <w:b/>
                <w:bCs/>
                <w:szCs w:val="24"/>
                <w:highlight w:val="none"/>
                <w:lang w:bidi="ar"/>
              </w:rPr>
              <w:t>最高限价(元)</w:t>
            </w:r>
          </w:p>
        </w:tc>
      </w:tr>
      <w:tr w14:paraId="5F383311">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9E30B7">
            <w:pPr>
              <w:widowControl/>
              <w:wordWrap w:val="0"/>
              <w:spacing w:line="360" w:lineRule="atLeast"/>
              <w:jc w:val="center"/>
              <w:textAlignment w:val="center"/>
              <w:rPr>
                <w:rFonts w:hAnsi="宋体" w:cs="宋体"/>
                <w:szCs w:val="24"/>
                <w:highlight w:val="none"/>
              </w:rPr>
            </w:pPr>
            <w:r>
              <w:rPr>
                <w:rFonts w:hint="eastAsia" w:hAnsi="宋体" w:cs="宋体"/>
                <w:szCs w:val="24"/>
                <w:highlight w:val="none"/>
                <w:lang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EA97A">
            <w:pPr>
              <w:widowControl/>
              <w:wordWrap w:val="0"/>
              <w:spacing w:line="360" w:lineRule="atLeast"/>
              <w:jc w:val="center"/>
              <w:textAlignment w:val="center"/>
              <w:rPr>
                <w:rFonts w:hAnsi="宋体" w:cs="宋体"/>
                <w:szCs w:val="24"/>
                <w:highlight w:val="none"/>
              </w:rPr>
            </w:pPr>
            <w:r>
              <w:rPr>
                <w:rFonts w:hAnsi="宋体" w:cs="宋体"/>
                <w:szCs w:val="24"/>
                <w:highlight w:val="none"/>
              </w:rPr>
              <w:t>行业应用软件开发服务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A54C8A">
            <w:pPr>
              <w:widowControl/>
              <w:wordWrap w:val="0"/>
              <w:spacing w:line="360" w:lineRule="atLeast"/>
              <w:jc w:val="center"/>
              <w:textAlignment w:val="center"/>
              <w:rPr>
                <w:rFonts w:hint="eastAsia" w:hAnsi="宋体" w:eastAsia="宋体" w:cs="宋体"/>
                <w:szCs w:val="24"/>
                <w:highlight w:val="none"/>
                <w:lang w:eastAsia="zh-CN"/>
              </w:rPr>
            </w:pPr>
            <w:r>
              <w:rPr>
                <w:rFonts w:hint="eastAsia" w:hAnsi="宋体" w:cs="宋体"/>
                <w:szCs w:val="24"/>
                <w:highlight w:val="none"/>
                <w:lang w:eastAsia="zh-CN" w:bidi="ar"/>
              </w:rPr>
              <w:t>汉中市人民医院互联网二期升级改造（银医合作）采购项目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3BE497">
            <w:pPr>
              <w:widowControl/>
              <w:wordWrap w:val="0"/>
              <w:spacing w:line="360" w:lineRule="atLeast"/>
              <w:jc w:val="center"/>
              <w:textAlignment w:val="center"/>
              <w:rPr>
                <w:rFonts w:hAnsi="宋体" w:cs="宋体"/>
                <w:szCs w:val="24"/>
                <w:highlight w:val="none"/>
              </w:rPr>
            </w:pPr>
            <w:r>
              <w:rPr>
                <w:rFonts w:hint="eastAsia" w:hAnsi="宋体" w:cs="宋体"/>
                <w:szCs w:val="24"/>
                <w:highlight w:val="none"/>
                <w:lang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6CA66F">
            <w:pPr>
              <w:widowControl/>
              <w:wordWrap w:val="0"/>
              <w:spacing w:line="360" w:lineRule="atLeast"/>
              <w:jc w:val="center"/>
              <w:textAlignment w:val="center"/>
              <w:rPr>
                <w:rFonts w:hAnsi="宋体" w:cs="宋体"/>
                <w:szCs w:val="24"/>
                <w:highlight w:val="none"/>
              </w:rPr>
            </w:pPr>
            <w:r>
              <w:rPr>
                <w:rFonts w:hint="eastAsia" w:hAnsi="宋体" w:cs="宋体"/>
                <w:szCs w:val="24"/>
                <w:highlight w:val="none"/>
                <w:lang w:bidi="ar"/>
              </w:rPr>
              <w:t>详见招标文件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39CC87">
            <w:pPr>
              <w:widowControl/>
              <w:spacing w:line="360" w:lineRule="atLeast"/>
              <w:jc w:val="right"/>
              <w:textAlignment w:val="center"/>
              <w:rPr>
                <w:rFonts w:hint="eastAsia" w:hAnsi="宋体" w:eastAsia="宋体" w:cs="宋体"/>
                <w:szCs w:val="24"/>
                <w:highlight w:val="none"/>
                <w:lang w:eastAsia="zh-CN"/>
              </w:rPr>
            </w:pPr>
            <w:r>
              <w:rPr>
                <w:rFonts w:hint="eastAsia" w:hAnsi="宋体" w:cs="宋体"/>
                <w:color w:val="333333"/>
                <w:szCs w:val="24"/>
                <w:highlight w:val="none"/>
                <w:shd w:val="clear" w:color="auto" w:fill="FFFFFF"/>
                <w:lang w:eastAsia="zh-CN"/>
              </w:rPr>
              <w:t>2000000.00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EC5792">
            <w:pPr>
              <w:widowControl/>
              <w:spacing w:line="360" w:lineRule="atLeast"/>
              <w:jc w:val="right"/>
              <w:textAlignment w:val="center"/>
              <w:rPr>
                <w:rFonts w:hint="eastAsia" w:hAnsi="宋体" w:eastAsia="宋体" w:cs="宋体"/>
                <w:szCs w:val="24"/>
                <w:highlight w:val="none"/>
                <w:lang w:eastAsia="zh-CN"/>
              </w:rPr>
            </w:pPr>
            <w:r>
              <w:rPr>
                <w:rFonts w:hint="eastAsia" w:hAnsi="宋体" w:cs="宋体"/>
                <w:color w:val="333333"/>
                <w:szCs w:val="24"/>
                <w:highlight w:val="none"/>
                <w:shd w:val="clear" w:color="auto" w:fill="FFFFFF"/>
                <w:lang w:val="en-US" w:eastAsia="zh-CN"/>
              </w:rPr>
              <w:t>98</w:t>
            </w:r>
            <w:r>
              <w:rPr>
                <w:rFonts w:hint="eastAsia" w:hAnsi="宋体" w:cs="宋体"/>
                <w:color w:val="333333"/>
                <w:szCs w:val="24"/>
                <w:highlight w:val="none"/>
                <w:shd w:val="clear" w:color="auto" w:fill="FFFFFF"/>
                <w:lang w:eastAsia="zh-CN"/>
              </w:rPr>
              <w:t>0000.00</w:t>
            </w:r>
          </w:p>
        </w:tc>
      </w:tr>
    </w:tbl>
    <w:p w14:paraId="382B9372">
      <w:pPr>
        <w:pStyle w:val="21"/>
        <w:spacing w:before="0" w:beforeAutospacing="0" w:after="0" w:afterAutospacing="0" w:line="480" w:lineRule="atLeast"/>
        <w:ind w:firstLine="630"/>
        <w:jc w:val="both"/>
        <w:textAlignment w:val="baseline"/>
        <w:rPr>
          <w:rFonts w:cs="宋体"/>
          <w:highlight w:val="none"/>
        </w:rPr>
      </w:pPr>
      <w:r>
        <w:rPr>
          <w:rFonts w:hint="eastAsia" w:cs="宋体"/>
          <w:color w:val="333333"/>
          <w:highlight w:val="none"/>
          <w:shd w:val="clear" w:color="auto" w:fill="FFFFFF"/>
        </w:rPr>
        <w:t>本合同包不接受联合体投标</w:t>
      </w:r>
    </w:p>
    <w:p w14:paraId="2763C329">
      <w:pPr>
        <w:pStyle w:val="21"/>
        <w:spacing w:before="0" w:beforeAutospacing="0" w:after="0" w:afterAutospacing="0" w:line="480" w:lineRule="atLeast"/>
        <w:ind w:firstLine="630"/>
        <w:jc w:val="both"/>
        <w:textAlignment w:val="baseline"/>
        <w:rPr>
          <w:rFonts w:cs="宋体"/>
          <w:color w:val="333333"/>
          <w:highlight w:val="none"/>
          <w:shd w:val="clear" w:color="auto" w:fill="FFFFFF"/>
        </w:rPr>
      </w:pPr>
      <w:r>
        <w:rPr>
          <w:rFonts w:hint="eastAsia" w:cs="宋体"/>
          <w:color w:val="333333"/>
          <w:highlight w:val="none"/>
          <w:shd w:val="clear" w:color="auto" w:fill="FFFFFF"/>
        </w:rPr>
        <w:t>合同履行期限：无</w:t>
      </w:r>
    </w:p>
    <w:p w14:paraId="6AE21B48">
      <w:pPr>
        <w:pStyle w:val="5"/>
        <w:keepNext w:val="0"/>
        <w:keepLines w:val="0"/>
        <w:shd w:val="clear" w:color="auto" w:fill="FFFFFF"/>
        <w:tabs>
          <w:tab w:val="left" w:pos="864"/>
        </w:tabs>
        <w:spacing w:before="150" w:after="0" w:line="750" w:lineRule="atLeast"/>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二、申请人的资格要求：</w:t>
      </w:r>
    </w:p>
    <w:p w14:paraId="564DC7F9">
      <w:pPr>
        <w:pStyle w:val="21"/>
        <w:spacing w:before="0" w:beforeAutospacing="0" w:after="0" w:afterAutospacing="0" w:line="480" w:lineRule="atLeast"/>
        <w:ind w:firstLine="480"/>
        <w:jc w:val="both"/>
        <w:textAlignment w:val="baseline"/>
        <w:rPr>
          <w:rFonts w:cs="宋体"/>
          <w:highlight w:val="none"/>
        </w:rPr>
      </w:pPr>
      <w:r>
        <w:rPr>
          <w:rFonts w:hint="eastAsia" w:cs="宋体"/>
          <w:color w:val="333333"/>
          <w:highlight w:val="none"/>
          <w:shd w:val="clear" w:color="auto" w:fill="FFFFFF"/>
        </w:rPr>
        <w:t>1.满足《中华人民共和国政府采购法》第二十二条规定;</w:t>
      </w:r>
    </w:p>
    <w:p w14:paraId="58CD8002">
      <w:pPr>
        <w:pStyle w:val="21"/>
        <w:spacing w:before="0" w:beforeAutospacing="0" w:after="0" w:afterAutospacing="0" w:line="480" w:lineRule="atLeast"/>
        <w:ind w:firstLine="480"/>
        <w:jc w:val="both"/>
        <w:textAlignment w:val="baseline"/>
        <w:rPr>
          <w:rFonts w:cs="宋体"/>
          <w:highlight w:val="none"/>
        </w:rPr>
      </w:pPr>
      <w:r>
        <w:rPr>
          <w:rFonts w:hint="eastAsia" w:cs="宋体"/>
          <w:color w:val="333333"/>
          <w:highlight w:val="none"/>
          <w:shd w:val="clear" w:color="auto" w:fill="FFFFFF"/>
        </w:rPr>
        <w:t>2.落实政府采购政策需满足的资格要求：</w:t>
      </w:r>
    </w:p>
    <w:p w14:paraId="37348831">
      <w:pPr>
        <w:pStyle w:val="21"/>
        <w:spacing w:before="0" w:beforeAutospacing="0" w:after="0" w:afterAutospacing="0" w:line="480" w:lineRule="atLeast"/>
        <w:ind w:firstLine="480"/>
        <w:jc w:val="both"/>
        <w:textAlignment w:val="baseline"/>
        <w:rPr>
          <w:rFonts w:cs="宋体"/>
          <w:highlight w:val="none"/>
        </w:rPr>
      </w:pPr>
      <w:r>
        <w:rPr>
          <w:rFonts w:hint="eastAsia" w:cs="宋体"/>
          <w:color w:val="333333"/>
          <w:highlight w:val="none"/>
          <w:shd w:val="clear" w:color="auto" w:fill="FFFFFF"/>
        </w:rPr>
        <w:t>合同包1(</w:t>
      </w:r>
      <w:r>
        <w:rPr>
          <w:rFonts w:hint="eastAsia" w:cs="宋体"/>
          <w:color w:val="333333"/>
          <w:highlight w:val="none"/>
          <w:shd w:val="clear" w:color="auto" w:fill="FFFFFF"/>
          <w:lang w:eastAsia="zh-CN"/>
        </w:rPr>
        <w:t>汉中市人民医院互联网二期升级改造（银医合作）采购项目</w:t>
      </w:r>
      <w:r>
        <w:rPr>
          <w:rFonts w:hint="eastAsia" w:cs="宋体"/>
          <w:color w:val="333333"/>
          <w:highlight w:val="none"/>
          <w:shd w:val="clear" w:color="auto" w:fill="FFFFFF"/>
        </w:rPr>
        <w:t>)落实政府采购政策需满足的资格要求如下:</w:t>
      </w:r>
    </w:p>
    <w:p w14:paraId="7612C431">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  （1）《政府采购促进中小企业发展管理办法》（财库〔2020〕46号）；</w:t>
      </w:r>
    </w:p>
    <w:p w14:paraId="04CF78B8">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（2）《财政部司法部关于政府采购支持监狱企业发展有关问题的通知》（财库〔2014〕68号）；</w:t>
      </w:r>
    </w:p>
    <w:p w14:paraId="760A10FF">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（3）《关于促进残疾人就业政府采购政策的通知》（财库〔2017〕141号）；</w:t>
      </w:r>
    </w:p>
    <w:p w14:paraId="5174D28F">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（4）《节能产品政府采购实施意见》（财库〔2004〕185号）；</w:t>
      </w:r>
    </w:p>
    <w:p w14:paraId="7EDF66F6">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（5）《环境标志产品政府采购实施的意见》（财库〔2006〕90号）；</w:t>
      </w:r>
    </w:p>
    <w:p w14:paraId="64F7E07C">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（6）《国务院办公厅关于建立政府强制采购节能产品制度的通知》（国办发〔2007〕51号）；</w:t>
      </w:r>
    </w:p>
    <w:p w14:paraId="103F1945">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（7）财政部发展改革委生态环境部市场监管总局关于调整优化节能产品、环境标志产品政府采购执行机制的通知（财库〔2019〕9号）；</w:t>
      </w:r>
    </w:p>
    <w:p w14:paraId="0922FF26">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（8）《关于印发环境标志产品政府采购品目清单的通知》（财库〔2019〕18号）；</w:t>
      </w:r>
    </w:p>
    <w:p w14:paraId="4F720817">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（9）《关于印发节能产品政府采购品目清单的通知》（财库〔2019〕19号）；</w:t>
      </w:r>
    </w:p>
    <w:p w14:paraId="568BCC23">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（10）《市场监督总局关于发布参与实施政府采购节能产品、环境标志产品认证机构名录的公告》（2019年第16号）；</w:t>
      </w:r>
    </w:p>
    <w:p w14:paraId="0A59C019">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（11）《关于运用政府采购政策支持乡村产业振兴的通知》（财库〔2021〕19号）；</w:t>
      </w:r>
    </w:p>
    <w:p w14:paraId="2FD4EFD4">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（12）陕西省财政厅关于印发《陕西省中小企业政府采购信用融资办法》（陕财办采〔2018〕23号），相关政策、业务流程、办理平台（详见http://www.ccgp-shaanxi.gov.cn/zcdservice/zcd/shanxi/）；</w:t>
      </w:r>
    </w:p>
    <w:p w14:paraId="437BB720">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（13）《陕西省财政厅关于加快推进我省中小企业政府采购信用融资工作的通知》（陕财办采〔2020〕15号）；</w:t>
      </w:r>
    </w:p>
    <w:p w14:paraId="79FEAEBF">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（14）《关于进一步加强政府绿色采购有关问题的通知》（陕财办采〔2021〕29号）；</w:t>
      </w:r>
    </w:p>
    <w:p w14:paraId="7BFFBF2E">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（15）《陕西省财政厅陕西省工业和信息化厅关于运用政府采购政策支持首台（套）及创新产品有关事项的通知》（陕财办采〔2021〕17号）；</w:t>
      </w:r>
    </w:p>
    <w:p w14:paraId="045F0D8D">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（16）《关于进一步加大政府采购支持中小企业力度的通知》（财库〔2022〕19号）、《关于落实政府采购支持中小企业政策有关事项的通知》（陕财办采函〔2022〕10号）；</w:t>
      </w:r>
    </w:p>
    <w:p w14:paraId="24DDAC01">
      <w:pPr>
        <w:spacing w:line="360" w:lineRule="auto"/>
        <w:ind w:firstLine="480" w:firstLineChars="200"/>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（17）其他需要落实的政府采购政策。</w:t>
      </w:r>
    </w:p>
    <w:p w14:paraId="0A6B3CDE">
      <w:pPr>
        <w:pStyle w:val="21"/>
        <w:spacing w:before="0" w:beforeAutospacing="0" w:after="0" w:afterAutospacing="0" w:line="480" w:lineRule="atLeast"/>
        <w:ind w:firstLine="480"/>
        <w:jc w:val="both"/>
        <w:textAlignment w:val="baseline"/>
        <w:rPr>
          <w:rFonts w:cs="宋体"/>
          <w:highlight w:val="none"/>
        </w:rPr>
      </w:pPr>
      <w:r>
        <w:rPr>
          <w:rFonts w:hint="eastAsia" w:cs="宋体"/>
          <w:color w:val="333333"/>
          <w:highlight w:val="none"/>
          <w:shd w:val="clear" w:color="auto" w:fill="FFFFFF"/>
        </w:rPr>
        <w:t>3.本项目的特定资格要求：</w:t>
      </w:r>
    </w:p>
    <w:p w14:paraId="1388C88F">
      <w:pPr>
        <w:pStyle w:val="21"/>
        <w:spacing w:before="0" w:beforeAutospacing="0" w:after="0" w:afterAutospacing="0" w:line="480" w:lineRule="atLeast"/>
        <w:ind w:firstLine="480"/>
        <w:jc w:val="both"/>
        <w:textAlignment w:val="baseline"/>
        <w:rPr>
          <w:rFonts w:cs="宋体"/>
          <w:highlight w:val="none"/>
        </w:rPr>
      </w:pPr>
      <w:r>
        <w:rPr>
          <w:rFonts w:hint="eastAsia" w:cs="宋体"/>
          <w:color w:val="333333"/>
          <w:highlight w:val="none"/>
          <w:shd w:val="clear" w:color="auto" w:fill="FFFFFF"/>
        </w:rPr>
        <w:t>合同包1(</w:t>
      </w:r>
      <w:r>
        <w:rPr>
          <w:rFonts w:hint="eastAsia" w:cs="宋体"/>
          <w:color w:val="333333"/>
          <w:highlight w:val="none"/>
          <w:shd w:val="clear" w:color="auto" w:fill="FFFFFF"/>
          <w:lang w:eastAsia="zh-CN"/>
        </w:rPr>
        <w:t>汉中市人民医院互联网二期升级改造（银医合作）采购项目</w:t>
      </w:r>
      <w:r>
        <w:rPr>
          <w:rFonts w:hint="eastAsia" w:cs="宋体"/>
          <w:color w:val="333333"/>
          <w:highlight w:val="none"/>
          <w:shd w:val="clear" w:color="auto" w:fill="FFFFFF"/>
        </w:rPr>
        <w:t>)特定资格要求如下:</w:t>
      </w:r>
    </w:p>
    <w:p w14:paraId="2371D9FF">
      <w:pPr>
        <w:pStyle w:val="21"/>
        <w:numPr>
          <w:ilvl w:val="0"/>
          <w:numId w:val="1"/>
        </w:numPr>
        <w:spacing w:before="0" w:beforeAutospacing="0" w:after="0" w:afterAutospacing="0" w:line="480" w:lineRule="atLeast"/>
        <w:ind w:left="480"/>
        <w:jc w:val="both"/>
        <w:textAlignment w:val="baseline"/>
        <w:rPr>
          <w:rFonts w:cs="宋体"/>
          <w:color w:val="333333"/>
          <w:highlight w:val="none"/>
          <w:shd w:val="clear" w:color="auto" w:fill="FFFFFF"/>
        </w:rPr>
      </w:pPr>
      <w:r>
        <w:rPr>
          <w:rFonts w:hint="eastAsia" w:cs="宋体"/>
          <w:color w:val="333333"/>
          <w:highlight w:val="none"/>
          <w:shd w:val="clear" w:color="auto" w:fill="FFFFFF"/>
        </w:rPr>
        <w:t>提供合格有效的法人或者其他组织的营业执照等证明文件，自然人的身份证明；</w:t>
      </w:r>
    </w:p>
    <w:p w14:paraId="12EE4109">
      <w:pPr>
        <w:pStyle w:val="21"/>
        <w:numPr>
          <w:ilvl w:val="0"/>
          <w:numId w:val="0"/>
        </w:numPr>
        <w:spacing w:before="0" w:beforeAutospacing="0" w:after="0" w:afterAutospacing="0" w:line="480" w:lineRule="atLeast"/>
        <w:ind w:firstLine="480" w:firstLineChars="200"/>
        <w:jc w:val="both"/>
        <w:textAlignment w:val="baseline"/>
        <w:rPr>
          <w:rFonts w:cs="宋体"/>
          <w:color w:val="333333"/>
          <w:highlight w:val="none"/>
          <w:shd w:val="clear" w:color="auto" w:fill="FFFFFF"/>
        </w:rPr>
      </w:pPr>
      <w:r>
        <w:rPr>
          <w:rFonts w:hint="eastAsia" w:cs="宋体"/>
          <w:color w:val="333333"/>
          <w:highlight w:val="none"/>
          <w:shd w:val="clear" w:color="auto" w:fill="FFFFFF"/>
        </w:rPr>
        <w:t>（2）提供法定代表人授权书（附法定代表人、被授权人身份证复印件），法定代表人直接参加投标，须提供法定代表人身份证明（附法定代表人身份证复印件）；</w:t>
      </w:r>
    </w:p>
    <w:p w14:paraId="1AB0F625">
      <w:pPr>
        <w:pStyle w:val="21"/>
        <w:numPr>
          <w:ilvl w:val="0"/>
          <w:numId w:val="0"/>
        </w:numPr>
        <w:spacing w:before="0" w:beforeAutospacing="0" w:after="0" w:afterAutospacing="0" w:line="480" w:lineRule="atLeast"/>
        <w:ind w:firstLine="480" w:firstLineChars="200"/>
        <w:jc w:val="both"/>
        <w:textAlignment w:val="baseline"/>
        <w:rPr>
          <w:rFonts w:cs="宋体"/>
          <w:color w:val="333333"/>
          <w:highlight w:val="none"/>
          <w:shd w:val="clear" w:color="auto" w:fill="FFFFFF"/>
        </w:rPr>
      </w:pPr>
      <w:r>
        <w:rPr>
          <w:rFonts w:hint="eastAsia" w:cs="宋体"/>
          <w:color w:val="333333"/>
          <w:highlight w:val="none"/>
          <w:shd w:val="clear" w:color="auto" w:fill="FFFFFF"/>
        </w:rPr>
        <w:t>（3）财务状况报告：提供2023年度的财务审计报告（至少包括资产负债表和利润表，成立时间至提交投标文件截止时间不足一年的可提供成立后任意时段的资产负债表），或开标时间前六个月内银行出具的资信证明；</w:t>
      </w:r>
    </w:p>
    <w:p w14:paraId="1BDF73AD">
      <w:pPr>
        <w:pStyle w:val="21"/>
        <w:numPr>
          <w:ilvl w:val="0"/>
          <w:numId w:val="0"/>
        </w:numPr>
        <w:spacing w:before="0" w:beforeAutospacing="0" w:after="0" w:afterAutospacing="0" w:line="480" w:lineRule="atLeast"/>
        <w:ind w:firstLine="480" w:firstLineChars="200"/>
        <w:jc w:val="both"/>
        <w:textAlignment w:val="baseline"/>
        <w:rPr>
          <w:rFonts w:cs="宋体"/>
          <w:color w:val="333333"/>
          <w:highlight w:val="none"/>
          <w:shd w:val="clear" w:color="auto" w:fill="FFFFFF"/>
        </w:rPr>
      </w:pPr>
      <w:r>
        <w:rPr>
          <w:rFonts w:hint="eastAsia" w:cs="宋体"/>
          <w:color w:val="333333"/>
          <w:highlight w:val="none"/>
          <w:shd w:val="clear" w:color="auto" w:fill="FFFFFF"/>
        </w:rPr>
        <w:t>（4）税收缴纳证明：提供投标截止日前一年内已缴纳的至少一个月的纳税证明或完税证明（任意税种），依法免税的单位应提供相关证明材料;</w:t>
      </w:r>
    </w:p>
    <w:p w14:paraId="528BD914">
      <w:pPr>
        <w:pStyle w:val="21"/>
        <w:numPr>
          <w:ilvl w:val="0"/>
          <w:numId w:val="0"/>
        </w:numPr>
        <w:spacing w:before="0" w:beforeAutospacing="0" w:after="0" w:afterAutospacing="0" w:line="480" w:lineRule="atLeast"/>
        <w:ind w:firstLine="480" w:firstLineChars="200"/>
        <w:jc w:val="both"/>
        <w:textAlignment w:val="baseline"/>
        <w:rPr>
          <w:rFonts w:cs="宋体"/>
          <w:color w:val="333333"/>
          <w:highlight w:val="none"/>
          <w:shd w:val="clear" w:color="auto" w:fill="FFFFFF"/>
        </w:rPr>
      </w:pPr>
      <w:r>
        <w:rPr>
          <w:rFonts w:hint="eastAsia" w:cs="宋体"/>
          <w:color w:val="333333"/>
          <w:highlight w:val="none"/>
          <w:shd w:val="clear" w:color="auto" w:fill="FFFFFF"/>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14:paraId="2C3DA3F3">
      <w:pPr>
        <w:pStyle w:val="21"/>
        <w:numPr>
          <w:ilvl w:val="0"/>
          <w:numId w:val="0"/>
        </w:numPr>
        <w:spacing w:before="0" w:beforeAutospacing="0" w:after="0" w:afterAutospacing="0" w:line="480" w:lineRule="atLeast"/>
        <w:ind w:firstLine="480" w:firstLineChars="200"/>
        <w:jc w:val="both"/>
        <w:textAlignment w:val="baseline"/>
        <w:rPr>
          <w:rFonts w:cs="宋体"/>
          <w:color w:val="333333"/>
          <w:highlight w:val="none"/>
          <w:shd w:val="clear" w:color="auto" w:fill="FFFFFF"/>
        </w:rPr>
      </w:pPr>
      <w:r>
        <w:rPr>
          <w:rFonts w:hint="eastAsia" w:cs="宋体"/>
          <w:color w:val="333333"/>
          <w:highlight w:val="none"/>
          <w:shd w:val="clear" w:color="auto" w:fill="FFFFFF"/>
        </w:rPr>
        <w:t>（6）提供具有履行本合同所必需的设备和专业技术能力的说明及承诺书；</w:t>
      </w:r>
    </w:p>
    <w:p w14:paraId="2C9B21E8">
      <w:pPr>
        <w:pStyle w:val="21"/>
        <w:numPr>
          <w:ilvl w:val="0"/>
          <w:numId w:val="0"/>
        </w:numPr>
        <w:spacing w:before="0" w:beforeAutospacing="0" w:after="0" w:afterAutospacing="0" w:line="480" w:lineRule="atLeast"/>
        <w:ind w:firstLine="480" w:firstLineChars="200"/>
        <w:jc w:val="both"/>
        <w:textAlignment w:val="baseline"/>
        <w:rPr>
          <w:rFonts w:cs="宋体"/>
          <w:color w:val="333333"/>
          <w:highlight w:val="none"/>
          <w:shd w:val="clear" w:color="auto" w:fill="FFFFFF"/>
        </w:rPr>
      </w:pPr>
      <w:r>
        <w:rPr>
          <w:rFonts w:hint="eastAsia" w:cs="宋体"/>
          <w:color w:val="333333"/>
          <w:highlight w:val="none"/>
          <w:shd w:val="clear" w:color="auto" w:fill="FFFFFF"/>
        </w:rPr>
        <w:t>（7）供应商应通过“信用中国”网站(www.creditchina.gov.cn)、中国政府采购网(www.ccgp.gov.cn)查询相关主体信用记录；</w:t>
      </w:r>
    </w:p>
    <w:p w14:paraId="7D93A26F">
      <w:pPr>
        <w:pStyle w:val="21"/>
        <w:numPr>
          <w:ilvl w:val="0"/>
          <w:numId w:val="0"/>
        </w:numPr>
        <w:spacing w:before="0" w:beforeAutospacing="0" w:after="0" w:afterAutospacing="0" w:line="480" w:lineRule="atLeast"/>
        <w:ind w:firstLine="480" w:firstLineChars="200"/>
        <w:jc w:val="both"/>
        <w:textAlignment w:val="baseline"/>
        <w:rPr>
          <w:rFonts w:cs="宋体"/>
          <w:color w:val="333333"/>
          <w:highlight w:val="none"/>
          <w:shd w:val="clear" w:color="auto" w:fill="FFFFFF"/>
        </w:rPr>
      </w:pPr>
      <w:r>
        <w:rPr>
          <w:rFonts w:hint="eastAsia" w:cs="宋体"/>
          <w:color w:val="333333"/>
          <w:highlight w:val="none"/>
          <w:shd w:val="clear" w:color="auto" w:fill="FFFFFF"/>
        </w:rPr>
        <w:t>（8）参加政府采购活动前3年内，在经营活动中没有重大违法记录的书面声明</w:t>
      </w:r>
    </w:p>
    <w:p w14:paraId="7B8223A7">
      <w:pPr>
        <w:pStyle w:val="21"/>
        <w:spacing w:before="0" w:beforeAutospacing="0" w:after="0" w:afterAutospacing="0" w:line="480" w:lineRule="atLeast"/>
        <w:ind w:left="480"/>
        <w:jc w:val="both"/>
        <w:textAlignment w:val="baseline"/>
        <w:rPr>
          <w:rFonts w:cs="宋体"/>
          <w:color w:val="333333"/>
          <w:highlight w:val="none"/>
          <w:shd w:val="clear" w:color="auto" w:fill="FFFFFF"/>
        </w:rPr>
      </w:pPr>
      <w:r>
        <w:rPr>
          <w:rFonts w:hint="eastAsia" w:cs="宋体"/>
          <w:color w:val="333333"/>
          <w:highlight w:val="none"/>
          <w:shd w:val="clear" w:color="auto" w:fill="FFFFFF"/>
        </w:rPr>
        <w:t>（9）本项目不接受联合体投标（提供承诺书）。</w:t>
      </w:r>
    </w:p>
    <w:p w14:paraId="580BF9CC">
      <w:pPr>
        <w:pStyle w:val="5"/>
        <w:keepNext w:val="0"/>
        <w:keepLines w:val="0"/>
        <w:shd w:val="clear" w:color="auto" w:fill="FFFFFF"/>
        <w:tabs>
          <w:tab w:val="left" w:pos="864"/>
        </w:tabs>
        <w:spacing w:before="150" w:after="0" w:line="750" w:lineRule="atLeast"/>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三、获取招标文件</w:t>
      </w:r>
    </w:p>
    <w:p w14:paraId="7A37B4FA">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时间：2024年</w:t>
      </w:r>
      <w:r>
        <w:rPr>
          <w:rFonts w:hint="eastAsia" w:cs="宋体"/>
          <w:color w:val="333333"/>
          <w:highlight w:val="none"/>
          <w:shd w:val="clear" w:color="auto" w:fill="FFFFFF"/>
          <w:lang w:val="en-US" w:eastAsia="zh-CN"/>
        </w:rPr>
        <w:t>12</w:t>
      </w:r>
      <w:r>
        <w:rPr>
          <w:rFonts w:hint="eastAsia" w:cs="宋体"/>
          <w:color w:val="333333"/>
          <w:highlight w:val="none"/>
          <w:shd w:val="clear" w:color="auto" w:fill="FFFFFF"/>
        </w:rPr>
        <w:t>月</w:t>
      </w:r>
      <w:r>
        <w:rPr>
          <w:rFonts w:hint="eastAsia" w:cs="宋体"/>
          <w:color w:val="333333"/>
          <w:highlight w:val="none"/>
          <w:shd w:val="clear" w:color="auto" w:fill="FFFFFF"/>
          <w:lang w:val="en-US" w:eastAsia="zh-CN"/>
        </w:rPr>
        <w:t>11</w:t>
      </w:r>
      <w:r>
        <w:rPr>
          <w:rFonts w:hint="eastAsia" w:cs="宋体"/>
          <w:color w:val="333333"/>
          <w:highlight w:val="none"/>
          <w:shd w:val="clear" w:color="auto" w:fill="FFFFFF"/>
        </w:rPr>
        <w:t>日至2024年</w:t>
      </w:r>
      <w:r>
        <w:rPr>
          <w:rFonts w:hint="eastAsia" w:cs="宋体"/>
          <w:color w:val="333333"/>
          <w:highlight w:val="none"/>
          <w:shd w:val="clear" w:color="auto" w:fill="FFFFFF"/>
          <w:lang w:val="en-US" w:eastAsia="zh-CN"/>
        </w:rPr>
        <w:t>12</w:t>
      </w:r>
      <w:r>
        <w:rPr>
          <w:rFonts w:hint="eastAsia" w:cs="宋体"/>
          <w:color w:val="333333"/>
          <w:highlight w:val="none"/>
          <w:shd w:val="clear" w:color="auto" w:fill="FFFFFF"/>
        </w:rPr>
        <w:t>月</w:t>
      </w:r>
      <w:r>
        <w:rPr>
          <w:rFonts w:hint="eastAsia" w:cs="宋体"/>
          <w:color w:val="333333"/>
          <w:highlight w:val="none"/>
          <w:shd w:val="clear" w:color="auto" w:fill="FFFFFF"/>
          <w:lang w:val="en-US" w:eastAsia="zh-CN"/>
        </w:rPr>
        <w:t>17</w:t>
      </w:r>
      <w:r>
        <w:rPr>
          <w:rFonts w:hint="eastAsia" w:cs="宋体"/>
          <w:color w:val="333333"/>
          <w:highlight w:val="none"/>
          <w:shd w:val="clear" w:color="auto" w:fill="FFFFFF"/>
        </w:rPr>
        <w:t>日，每天上午 09:00:00 至 12:00:00 ，下午 14:00:00 至 17:00:00 （北京时间）</w:t>
      </w:r>
    </w:p>
    <w:p w14:paraId="67B23945">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途径：</w:t>
      </w:r>
      <w:r>
        <w:rPr>
          <w:rFonts w:hint="eastAsia" w:cs="宋体"/>
          <w:color w:val="333333"/>
          <w:highlight w:val="none"/>
          <w:shd w:val="clear" w:color="auto" w:fill="FFFFFF"/>
          <w:lang w:eastAsia="zh-CN"/>
        </w:rPr>
        <w:t>陕西省西安市经济技术开发区未央路171-1号银池道拉斯财富中心21楼</w:t>
      </w:r>
      <w:r>
        <w:rPr>
          <w:rFonts w:hint="eastAsia" w:cs="宋体"/>
          <w:color w:val="333333"/>
          <w:highlight w:val="none"/>
          <w:shd w:val="clear" w:color="auto" w:fill="FFFFFF"/>
        </w:rPr>
        <w:t>方式：现场获取</w:t>
      </w:r>
    </w:p>
    <w:p w14:paraId="7D98D331">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售价：</w:t>
      </w:r>
      <w:r>
        <w:rPr>
          <w:rFonts w:hint="eastAsia" w:cs="宋体"/>
          <w:color w:val="333333"/>
          <w:highlight w:val="none"/>
          <w:shd w:val="clear" w:color="auto" w:fill="FFFFFF"/>
          <w:lang w:val="en-US" w:eastAsia="zh-CN"/>
        </w:rPr>
        <w:t>500</w:t>
      </w:r>
      <w:r>
        <w:rPr>
          <w:rFonts w:hint="eastAsia" w:cs="宋体"/>
          <w:color w:val="333333"/>
          <w:highlight w:val="none"/>
          <w:shd w:val="clear" w:color="auto" w:fill="FFFFFF"/>
        </w:rPr>
        <w:t>元</w:t>
      </w:r>
    </w:p>
    <w:p w14:paraId="624EFCCC">
      <w:pPr>
        <w:pStyle w:val="5"/>
        <w:keepNext w:val="0"/>
        <w:keepLines w:val="0"/>
        <w:shd w:val="clear" w:color="auto" w:fill="FFFFFF"/>
        <w:tabs>
          <w:tab w:val="left" w:pos="864"/>
        </w:tabs>
        <w:spacing w:before="150" w:after="0" w:line="750" w:lineRule="atLeast"/>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四、响应文件提交</w:t>
      </w:r>
    </w:p>
    <w:p w14:paraId="5D0D2E11">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截止时间：202</w:t>
      </w:r>
      <w:r>
        <w:rPr>
          <w:rFonts w:hint="eastAsia" w:cs="宋体"/>
          <w:color w:val="333333"/>
          <w:highlight w:val="none"/>
          <w:shd w:val="clear" w:color="auto" w:fill="FFFFFF"/>
          <w:lang w:val="en-US" w:eastAsia="zh-CN"/>
        </w:rPr>
        <w:t>5</w:t>
      </w:r>
      <w:r>
        <w:rPr>
          <w:rFonts w:hint="eastAsia" w:cs="宋体"/>
          <w:color w:val="333333"/>
          <w:highlight w:val="none"/>
          <w:shd w:val="clear" w:color="auto" w:fill="FFFFFF"/>
        </w:rPr>
        <w:t>年</w:t>
      </w:r>
      <w:r>
        <w:rPr>
          <w:rFonts w:hint="eastAsia" w:cs="宋体"/>
          <w:color w:val="333333"/>
          <w:highlight w:val="none"/>
          <w:shd w:val="clear" w:color="auto" w:fill="FFFFFF"/>
          <w:lang w:val="en-US" w:eastAsia="zh-CN"/>
        </w:rPr>
        <w:t>01</w:t>
      </w:r>
      <w:r>
        <w:rPr>
          <w:rFonts w:hint="eastAsia" w:cs="宋体"/>
          <w:color w:val="333333"/>
          <w:highlight w:val="none"/>
          <w:shd w:val="clear" w:color="auto" w:fill="FFFFFF"/>
        </w:rPr>
        <w:t>月</w:t>
      </w:r>
      <w:r>
        <w:rPr>
          <w:rFonts w:hint="eastAsia" w:cs="宋体"/>
          <w:color w:val="333333"/>
          <w:highlight w:val="none"/>
          <w:shd w:val="clear" w:color="auto" w:fill="FFFFFF"/>
          <w:lang w:val="en-US" w:eastAsia="zh-CN"/>
        </w:rPr>
        <w:t>03</w:t>
      </w:r>
      <w:r>
        <w:rPr>
          <w:rFonts w:hint="eastAsia" w:cs="宋体"/>
          <w:color w:val="333333"/>
          <w:highlight w:val="none"/>
          <w:shd w:val="clear" w:color="auto" w:fill="FFFFFF"/>
        </w:rPr>
        <w:t>日 14时</w:t>
      </w:r>
      <w:r>
        <w:rPr>
          <w:rFonts w:hint="eastAsia" w:cs="宋体"/>
          <w:color w:val="333333"/>
          <w:highlight w:val="none"/>
          <w:shd w:val="clear" w:color="auto" w:fill="FFFFFF"/>
          <w:lang w:val="en-US" w:eastAsia="zh-CN"/>
        </w:rPr>
        <w:t>00</w:t>
      </w:r>
      <w:r>
        <w:rPr>
          <w:rFonts w:hint="eastAsia" w:cs="宋体"/>
          <w:color w:val="333333"/>
          <w:highlight w:val="none"/>
          <w:shd w:val="clear" w:color="auto" w:fill="FFFFFF"/>
        </w:rPr>
        <w:t>分00秒 （北京时间）</w:t>
      </w:r>
    </w:p>
    <w:p w14:paraId="48CBDDFD">
      <w:pPr>
        <w:pStyle w:val="5"/>
        <w:keepNext w:val="0"/>
        <w:keepLines w:val="0"/>
        <w:shd w:val="clear" w:color="auto" w:fill="FFFFFF"/>
        <w:tabs>
          <w:tab w:val="left" w:pos="864"/>
        </w:tabs>
        <w:spacing w:before="150" w:after="0" w:line="750" w:lineRule="atLeast"/>
        <w:textAlignment w:val="baseline"/>
        <w:rPr>
          <w:rFonts w:hint="eastAsia" w:ascii="宋体" w:hAnsi="宋体" w:eastAsia="宋体" w:cs="宋体"/>
          <w:b w:val="0"/>
          <w:bCs w:val="0"/>
          <w:color w:val="333333"/>
          <w:sz w:val="24"/>
          <w:szCs w:val="24"/>
          <w:highlight w:val="none"/>
          <w:shd w:val="clear" w:color="auto" w:fill="FFFFFF"/>
          <w:lang w:val="en-US" w:eastAsia="zh-CN" w:bidi="ar-SA"/>
        </w:rPr>
      </w:pPr>
      <w:r>
        <w:rPr>
          <w:rFonts w:hint="eastAsia" w:ascii="宋体" w:hAnsi="宋体" w:eastAsia="宋体" w:cs="宋体"/>
          <w:b w:val="0"/>
          <w:bCs w:val="0"/>
          <w:color w:val="333333"/>
          <w:sz w:val="24"/>
          <w:szCs w:val="24"/>
          <w:highlight w:val="none"/>
          <w:shd w:val="clear" w:color="auto" w:fill="FFFFFF"/>
          <w:lang w:val="en-US" w:eastAsia="zh-CN" w:bidi="ar-SA"/>
        </w:rPr>
        <w:t>地点：陕西省西安市经济技术开发区未央路171-1号银池道拉斯财富中心21楼</w:t>
      </w:r>
    </w:p>
    <w:p w14:paraId="2C95CBC6">
      <w:pPr>
        <w:pStyle w:val="5"/>
        <w:keepNext w:val="0"/>
        <w:keepLines w:val="0"/>
        <w:shd w:val="clear" w:color="auto" w:fill="FFFFFF"/>
        <w:tabs>
          <w:tab w:val="left" w:pos="864"/>
        </w:tabs>
        <w:spacing w:before="150" w:after="0" w:line="750" w:lineRule="atLeast"/>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五、开启</w:t>
      </w:r>
    </w:p>
    <w:p w14:paraId="0B327581">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时间：202</w:t>
      </w:r>
      <w:r>
        <w:rPr>
          <w:rFonts w:hint="eastAsia" w:cs="宋体"/>
          <w:color w:val="333333"/>
          <w:highlight w:val="none"/>
          <w:shd w:val="clear" w:color="auto" w:fill="FFFFFF"/>
          <w:lang w:val="en-US" w:eastAsia="zh-CN"/>
        </w:rPr>
        <w:t>5</w:t>
      </w:r>
      <w:r>
        <w:rPr>
          <w:rFonts w:hint="eastAsia" w:cs="宋体"/>
          <w:color w:val="333333"/>
          <w:highlight w:val="none"/>
          <w:shd w:val="clear" w:color="auto" w:fill="FFFFFF"/>
        </w:rPr>
        <w:t>年</w:t>
      </w:r>
      <w:r>
        <w:rPr>
          <w:rFonts w:hint="eastAsia" w:cs="宋体"/>
          <w:color w:val="333333"/>
          <w:highlight w:val="none"/>
          <w:shd w:val="clear" w:color="auto" w:fill="FFFFFF"/>
          <w:lang w:val="en-US" w:eastAsia="zh-CN"/>
        </w:rPr>
        <w:t>01</w:t>
      </w:r>
      <w:r>
        <w:rPr>
          <w:rFonts w:hint="eastAsia" w:cs="宋体"/>
          <w:color w:val="333333"/>
          <w:highlight w:val="none"/>
          <w:shd w:val="clear" w:color="auto" w:fill="FFFFFF"/>
        </w:rPr>
        <w:t>月</w:t>
      </w:r>
      <w:r>
        <w:rPr>
          <w:rFonts w:hint="eastAsia" w:cs="宋体"/>
          <w:color w:val="333333"/>
          <w:highlight w:val="none"/>
          <w:shd w:val="clear" w:color="auto" w:fill="FFFFFF"/>
          <w:lang w:val="en-US" w:eastAsia="zh-CN"/>
        </w:rPr>
        <w:t>03</w:t>
      </w:r>
      <w:r>
        <w:rPr>
          <w:rFonts w:hint="eastAsia" w:cs="宋体"/>
          <w:color w:val="333333"/>
          <w:highlight w:val="none"/>
          <w:shd w:val="clear" w:color="auto" w:fill="FFFFFF"/>
        </w:rPr>
        <w:t>日 14时</w:t>
      </w:r>
      <w:r>
        <w:rPr>
          <w:rFonts w:hint="eastAsia" w:cs="宋体"/>
          <w:color w:val="333333"/>
          <w:highlight w:val="none"/>
          <w:shd w:val="clear" w:color="auto" w:fill="FFFFFF"/>
          <w:lang w:val="en-US" w:eastAsia="zh-CN"/>
        </w:rPr>
        <w:t>00</w:t>
      </w:r>
      <w:r>
        <w:rPr>
          <w:rFonts w:hint="eastAsia" w:cs="宋体"/>
          <w:color w:val="333333"/>
          <w:highlight w:val="none"/>
          <w:shd w:val="clear" w:color="auto" w:fill="FFFFFF"/>
        </w:rPr>
        <w:t>分00秒（北京时间）</w:t>
      </w:r>
    </w:p>
    <w:p w14:paraId="1784055C">
      <w:pPr>
        <w:pStyle w:val="21"/>
        <w:shd w:val="clear" w:color="auto" w:fill="FFFFFF"/>
        <w:spacing w:before="0" w:beforeAutospacing="0" w:after="0" w:afterAutospacing="0" w:line="480" w:lineRule="atLeast"/>
        <w:ind w:firstLine="480"/>
        <w:jc w:val="both"/>
        <w:textAlignment w:val="baseline"/>
        <w:rPr>
          <w:rFonts w:hint="eastAsia" w:cs="宋体"/>
          <w:color w:val="333333"/>
          <w:highlight w:val="none"/>
          <w:shd w:val="clear" w:color="auto" w:fill="FFFFFF"/>
          <w:lang w:val="en-US" w:eastAsia="zh-CN"/>
        </w:rPr>
      </w:pPr>
      <w:r>
        <w:rPr>
          <w:rFonts w:hint="eastAsia" w:cs="宋体"/>
          <w:color w:val="333333"/>
          <w:highlight w:val="none"/>
          <w:shd w:val="clear" w:color="auto" w:fill="FFFFFF"/>
          <w:lang w:val="en-US" w:eastAsia="zh-CN"/>
        </w:rPr>
        <w:t>地点：陕西省西安市经济技术开发区未央路171-1号银池道拉斯财富中心21楼</w:t>
      </w:r>
    </w:p>
    <w:p w14:paraId="62A34FBE">
      <w:pPr>
        <w:pStyle w:val="5"/>
        <w:keepNext w:val="0"/>
        <w:keepLines w:val="0"/>
        <w:shd w:val="clear" w:color="auto" w:fill="FFFFFF"/>
        <w:tabs>
          <w:tab w:val="left" w:pos="864"/>
        </w:tabs>
        <w:spacing w:before="150" w:after="0" w:line="750" w:lineRule="atLeast"/>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六、公告期限</w:t>
      </w:r>
    </w:p>
    <w:p w14:paraId="0941A826">
      <w:pPr>
        <w:pStyle w:val="21"/>
        <w:shd w:val="clear" w:color="auto" w:fill="FFFFFF"/>
        <w:spacing w:before="0" w:beforeAutospacing="0" w:after="0" w:afterAutospacing="0" w:line="480" w:lineRule="atLeast"/>
        <w:ind w:firstLine="480"/>
        <w:jc w:val="both"/>
        <w:textAlignment w:val="baseline"/>
        <w:rPr>
          <w:rFonts w:cs="宋体"/>
          <w:color w:val="333333"/>
          <w:highlight w:val="none"/>
        </w:rPr>
      </w:pPr>
      <w:r>
        <w:rPr>
          <w:rFonts w:hint="eastAsia" w:cs="宋体"/>
          <w:color w:val="333333"/>
          <w:highlight w:val="none"/>
          <w:shd w:val="clear" w:color="auto" w:fill="FFFFFF"/>
        </w:rPr>
        <w:t>自本公告发布之日起3个工作日。</w:t>
      </w:r>
    </w:p>
    <w:p w14:paraId="67E59DC1">
      <w:pPr>
        <w:pStyle w:val="5"/>
        <w:keepNext w:val="0"/>
        <w:keepLines w:val="0"/>
        <w:shd w:val="clear" w:color="auto" w:fill="FFFFFF"/>
        <w:tabs>
          <w:tab w:val="left" w:pos="864"/>
        </w:tabs>
        <w:spacing w:before="150" w:after="0" w:line="750" w:lineRule="atLeast"/>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七、其他补充事宜</w:t>
      </w:r>
    </w:p>
    <w:p w14:paraId="3458F29D">
      <w:pPr>
        <w:pStyle w:val="21"/>
        <w:spacing w:before="0" w:beforeAutospacing="0" w:after="0" w:afterAutospacing="0" w:line="480" w:lineRule="atLeast"/>
        <w:ind w:firstLine="240"/>
        <w:jc w:val="both"/>
        <w:textAlignment w:val="baseline"/>
        <w:rPr>
          <w:rFonts w:cs="宋体"/>
          <w:b/>
          <w:bCs/>
          <w:highlight w:val="none"/>
        </w:rPr>
      </w:pPr>
      <w:r>
        <w:rPr>
          <w:rFonts w:hint="eastAsia" w:cs="宋体"/>
          <w:color w:val="333333"/>
          <w:highlight w:val="none"/>
          <w:shd w:val="clear" w:color="auto" w:fill="FFFFFF"/>
          <w:lang w:bidi="ar"/>
        </w:rPr>
        <w:t>   </w:t>
      </w:r>
      <w:r>
        <w:rPr>
          <w:rFonts w:hint="eastAsia" w:cs="宋体"/>
          <w:b/>
          <w:bCs/>
          <w:color w:val="333333"/>
          <w:highlight w:val="none"/>
          <w:shd w:val="clear" w:color="auto" w:fill="FFFFFF"/>
          <w:lang w:bidi="ar"/>
        </w:rPr>
        <w:t>（1）供应商领取招标文件时，请携带单位介绍信及经办人身份证原件及复印件加盖公章；</w:t>
      </w:r>
    </w:p>
    <w:p w14:paraId="1EFB0AF0">
      <w:pPr>
        <w:pStyle w:val="21"/>
        <w:spacing w:before="0" w:beforeAutospacing="0" w:after="0" w:afterAutospacing="0" w:line="480" w:lineRule="atLeast"/>
        <w:ind w:firstLine="480"/>
        <w:jc w:val="both"/>
        <w:textAlignment w:val="baseline"/>
        <w:rPr>
          <w:rFonts w:cs="宋体"/>
          <w:b/>
          <w:bCs/>
          <w:highlight w:val="none"/>
        </w:rPr>
      </w:pPr>
      <w:r>
        <w:rPr>
          <w:rFonts w:hint="eastAsia" w:cs="宋体"/>
          <w:b/>
          <w:bCs/>
          <w:color w:val="333333"/>
          <w:highlight w:val="none"/>
          <w:shd w:val="clear" w:color="auto" w:fill="FFFFFF"/>
        </w:rPr>
        <w:t>  （2）请投标人按照《陕西省财政厅关于政府采购供应商注册登记有关事项的通知》中的要求，通过陕西省政府采购网（http://www.ccgp-shaanxi.gov.cn/）注册登记加入陕西省政府采购供应商库；</w:t>
      </w:r>
    </w:p>
    <w:p w14:paraId="17B4B8E3">
      <w:pPr>
        <w:pStyle w:val="21"/>
        <w:spacing w:before="0" w:beforeAutospacing="0" w:after="0" w:afterAutospacing="0" w:line="480" w:lineRule="atLeast"/>
        <w:ind w:firstLine="790" w:firstLineChars="328"/>
        <w:jc w:val="both"/>
        <w:textAlignment w:val="baseline"/>
        <w:rPr>
          <w:rFonts w:cs="宋体"/>
          <w:b/>
          <w:bCs/>
          <w:highlight w:val="none"/>
        </w:rPr>
      </w:pPr>
      <w:r>
        <w:rPr>
          <w:rFonts w:hint="eastAsia" w:cs="宋体"/>
          <w:b/>
          <w:bCs/>
          <w:color w:val="333333"/>
          <w:highlight w:val="none"/>
          <w:shd w:val="clear" w:color="auto" w:fill="FFFFFF"/>
        </w:rPr>
        <w:t>（</w:t>
      </w:r>
      <w:r>
        <w:rPr>
          <w:rFonts w:hint="eastAsia" w:cs="宋体"/>
          <w:b/>
          <w:bCs/>
          <w:color w:val="333333"/>
          <w:highlight w:val="none"/>
          <w:shd w:val="clear" w:color="auto" w:fill="FFFFFF"/>
          <w:lang w:val="en-US" w:eastAsia="zh-CN"/>
        </w:rPr>
        <w:t>3</w:t>
      </w:r>
      <w:r>
        <w:rPr>
          <w:rFonts w:hint="eastAsia" w:cs="宋体"/>
          <w:b/>
          <w:bCs/>
          <w:color w:val="333333"/>
          <w:highlight w:val="none"/>
          <w:shd w:val="clear" w:color="auto" w:fill="FFFFFF"/>
        </w:rPr>
        <w:t>）本项目</w:t>
      </w:r>
      <w:r>
        <w:rPr>
          <w:rFonts w:hint="eastAsia" w:cs="宋体"/>
          <w:b/>
          <w:bCs/>
          <w:color w:val="333333"/>
          <w:highlight w:val="none"/>
          <w:shd w:val="clear" w:color="auto" w:fill="FFFFFF"/>
          <w:lang w:val="en-US" w:eastAsia="zh-CN"/>
        </w:rPr>
        <w:t>非</w:t>
      </w:r>
      <w:r>
        <w:rPr>
          <w:rFonts w:hint="eastAsia" w:cs="宋体"/>
          <w:b/>
          <w:bCs/>
          <w:color w:val="333333"/>
          <w:highlight w:val="none"/>
          <w:shd w:val="clear" w:color="auto" w:fill="FFFFFF"/>
        </w:rPr>
        <w:t>专门面向中小企业。</w:t>
      </w:r>
    </w:p>
    <w:p w14:paraId="184B7DEC">
      <w:pPr>
        <w:pStyle w:val="5"/>
        <w:keepNext w:val="0"/>
        <w:keepLines w:val="0"/>
        <w:shd w:val="clear" w:color="auto" w:fill="FFFFFF"/>
        <w:tabs>
          <w:tab w:val="left" w:pos="864"/>
        </w:tabs>
        <w:spacing w:before="150" w:after="0" w:line="480" w:lineRule="auto"/>
        <w:textAlignment w:val="baseline"/>
        <w:rPr>
          <w:rFonts w:ascii="宋体" w:hAnsi="宋体" w:eastAsia="宋体" w:cs="宋体"/>
          <w:b w:val="0"/>
          <w:bCs w:val="0"/>
          <w:color w:val="333333"/>
          <w:sz w:val="24"/>
          <w:szCs w:val="24"/>
          <w:highlight w:val="none"/>
        </w:rPr>
      </w:pPr>
      <w:r>
        <w:rPr>
          <w:rStyle w:val="26"/>
          <w:rFonts w:hint="eastAsia" w:ascii="宋体" w:hAnsi="宋体" w:eastAsia="宋体" w:cs="宋体"/>
          <w:b/>
          <w:bCs/>
          <w:color w:val="333333"/>
          <w:sz w:val="24"/>
          <w:szCs w:val="24"/>
          <w:highlight w:val="none"/>
          <w:shd w:val="clear" w:color="auto" w:fill="FFFFFF"/>
        </w:rPr>
        <w:t>八、对本次招标提出询问，请按以下方式联系。</w:t>
      </w:r>
    </w:p>
    <w:p w14:paraId="24C8638B">
      <w:pPr>
        <w:pStyle w:val="6"/>
        <w:widowControl/>
        <w:spacing w:beforeAutospacing="0" w:afterAutospacing="0" w:line="480" w:lineRule="auto"/>
        <w:textAlignment w:val="baseline"/>
        <w:rPr>
          <w:rFonts w:hint="default" w:cs="宋体"/>
          <w:b w:val="0"/>
          <w:bCs w:val="0"/>
          <w:sz w:val="24"/>
          <w:szCs w:val="24"/>
          <w:highlight w:val="none"/>
        </w:rPr>
      </w:pPr>
      <w:r>
        <w:rPr>
          <w:rFonts w:cs="宋体"/>
          <w:b w:val="0"/>
          <w:bCs w:val="0"/>
          <w:color w:val="333333"/>
          <w:sz w:val="24"/>
          <w:szCs w:val="24"/>
          <w:highlight w:val="none"/>
          <w:shd w:val="clear" w:color="auto" w:fill="FFFFFF"/>
        </w:rPr>
        <w:t>1.采购人信息</w:t>
      </w:r>
    </w:p>
    <w:p w14:paraId="6CB0D730">
      <w:pPr>
        <w:pStyle w:val="21"/>
        <w:spacing w:before="0" w:beforeAutospacing="0" w:after="0" w:afterAutospacing="0" w:line="480" w:lineRule="auto"/>
        <w:ind w:firstLine="480"/>
        <w:jc w:val="both"/>
        <w:textAlignment w:val="baseline"/>
        <w:rPr>
          <w:rFonts w:hint="eastAsia" w:eastAsia="宋体" w:cs="宋体"/>
          <w:highlight w:val="none"/>
          <w:lang w:eastAsia="zh-CN"/>
        </w:rPr>
      </w:pPr>
      <w:r>
        <w:rPr>
          <w:rFonts w:hint="eastAsia" w:cs="宋体"/>
          <w:color w:val="333333"/>
          <w:highlight w:val="none"/>
          <w:shd w:val="clear" w:color="auto" w:fill="FFFFFF"/>
        </w:rPr>
        <w:t>名称：</w:t>
      </w:r>
      <w:r>
        <w:rPr>
          <w:rFonts w:hint="eastAsia" w:cs="宋体"/>
          <w:color w:val="333333"/>
          <w:highlight w:val="none"/>
          <w:shd w:val="clear" w:color="auto" w:fill="FFFFFF"/>
          <w:lang w:eastAsia="zh-CN"/>
        </w:rPr>
        <w:t>汉中市人民医院</w:t>
      </w:r>
    </w:p>
    <w:p w14:paraId="31436307">
      <w:pPr>
        <w:pStyle w:val="21"/>
        <w:spacing w:before="0" w:beforeAutospacing="0" w:after="0" w:afterAutospacing="0" w:line="480" w:lineRule="auto"/>
        <w:ind w:firstLine="480"/>
        <w:jc w:val="both"/>
        <w:textAlignment w:val="baseline"/>
        <w:rPr>
          <w:rFonts w:hint="eastAsia" w:cs="宋体"/>
          <w:color w:val="333333"/>
          <w:highlight w:val="none"/>
          <w:shd w:val="clear" w:color="auto" w:fill="FFFFFF"/>
          <w:lang w:eastAsia="zh-CN"/>
        </w:rPr>
      </w:pPr>
      <w:r>
        <w:rPr>
          <w:rFonts w:hint="eastAsia" w:cs="宋体"/>
          <w:color w:val="333333"/>
          <w:highlight w:val="none"/>
          <w:shd w:val="clear" w:color="auto" w:fill="FFFFFF"/>
        </w:rPr>
        <w:t>地址：</w:t>
      </w:r>
      <w:r>
        <w:rPr>
          <w:rFonts w:hint="eastAsia" w:cs="宋体"/>
          <w:color w:val="333333"/>
          <w:highlight w:val="none"/>
          <w:shd w:val="clear" w:color="auto" w:fill="FFFFFF"/>
          <w:lang w:eastAsia="zh-CN"/>
        </w:rPr>
        <w:t>汉中市汉台区北团结街251号</w:t>
      </w:r>
    </w:p>
    <w:p w14:paraId="51B027A0">
      <w:pPr>
        <w:pStyle w:val="21"/>
        <w:spacing w:before="0" w:beforeAutospacing="0" w:after="0" w:afterAutospacing="0" w:line="480" w:lineRule="auto"/>
        <w:ind w:firstLine="480"/>
        <w:jc w:val="both"/>
        <w:textAlignment w:val="baseline"/>
        <w:rPr>
          <w:rFonts w:hint="eastAsia" w:eastAsia="宋体" w:cs="宋体"/>
          <w:highlight w:val="none"/>
          <w:lang w:eastAsia="zh-CN"/>
        </w:rPr>
      </w:pPr>
      <w:r>
        <w:rPr>
          <w:rFonts w:hint="eastAsia" w:cs="宋体"/>
          <w:color w:val="333333"/>
          <w:highlight w:val="none"/>
          <w:shd w:val="clear" w:color="auto" w:fill="FFFFFF"/>
        </w:rPr>
        <w:t>联系方式：</w:t>
      </w:r>
      <w:r>
        <w:rPr>
          <w:rFonts w:hint="eastAsia" w:cs="宋体"/>
          <w:color w:val="333333"/>
          <w:highlight w:val="none"/>
          <w:shd w:val="clear" w:color="auto" w:fill="FFFFFF"/>
          <w:lang w:eastAsia="zh-CN"/>
        </w:rPr>
        <w:t>0916-2709263</w:t>
      </w:r>
    </w:p>
    <w:p w14:paraId="30775B42">
      <w:pPr>
        <w:pStyle w:val="6"/>
        <w:widowControl/>
        <w:spacing w:beforeAutospacing="0" w:afterAutospacing="0" w:line="480" w:lineRule="auto"/>
        <w:textAlignment w:val="baseline"/>
        <w:rPr>
          <w:rFonts w:hint="default" w:cs="宋体"/>
          <w:b w:val="0"/>
          <w:bCs w:val="0"/>
          <w:sz w:val="24"/>
          <w:szCs w:val="24"/>
          <w:highlight w:val="none"/>
        </w:rPr>
      </w:pPr>
      <w:r>
        <w:rPr>
          <w:rFonts w:cs="宋体"/>
          <w:b w:val="0"/>
          <w:bCs w:val="0"/>
          <w:color w:val="333333"/>
          <w:sz w:val="24"/>
          <w:szCs w:val="24"/>
          <w:highlight w:val="none"/>
          <w:shd w:val="clear" w:color="auto" w:fill="FFFFFF"/>
        </w:rPr>
        <w:t>2.采购代理机构信息</w:t>
      </w:r>
    </w:p>
    <w:p w14:paraId="2F8162F7">
      <w:pPr>
        <w:pStyle w:val="21"/>
        <w:spacing w:before="0" w:beforeAutospacing="0" w:after="0" w:afterAutospacing="0" w:line="480" w:lineRule="auto"/>
        <w:ind w:firstLine="480"/>
        <w:jc w:val="both"/>
        <w:textAlignment w:val="baseline"/>
        <w:rPr>
          <w:rFonts w:cs="宋体"/>
          <w:color w:val="333333"/>
          <w:highlight w:val="none"/>
          <w:shd w:val="clear" w:color="auto" w:fill="FFFFFF"/>
        </w:rPr>
      </w:pPr>
      <w:r>
        <w:rPr>
          <w:rFonts w:hint="eastAsia" w:cs="宋体"/>
          <w:color w:val="333333"/>
          <w:highlight w:val="none"/>
          <w:shd w:val="clear" w:color="auto" w:fill="FFFFFF"/>
        </w:rPr>
        <w:t>名称：陕西至诚项目管理集团有限公司</w:t>
      </w:r>
    </w:p>
    <w:p w14:paraId="5588E1A4">
      <w:pPr>
        <w:pStyle w:val="21"/>
        <w:spacing w:before="0" w:beforeAutospacing="0" w:after="0" w:afterAutospacing="0" w:line="480" w:lineRule="auto"/>
        <w:ind w:firstLine="480"/>
        <w:jc w:val="both"/>
        <w:textAlignment w:val="baseline"/>
        <w:rPr>
          <w:rFonts w:cs="宋体"/>
          <w:highlight w:val="none"/>
        </w:rPr>
      </w:pPr>
      <w:r>
        <w:rPr>
          <w:rFonts w:hint="eastAsia" w:cs="宋体"/>
          <w:color w:val="333333"/>
          <w:highlight w:val="none"/>
          <w:shd w:val="clear" w:color="auto" w:fill="FFFFFF"/>
        </w:rPr>
        <w:t>地址：陕西省西安市经济技术开发区未央路171-1号银池道拉斯财富中心21楼</w:t>
      </w:r>
    </w:p>
    <w:p w14:paraId="5D198C0B">
      <w:pPr>
        <w:pStyle w:val="21"/>
        <w:spacing w:before="0" w:beforeAutospacing="0" w:after="0" w:afterAutospacing="0" w:line="480" w:lineRule="auto"/>
        <w:ind w:firstLine="480"/>
        <w:jc w:val="both"/>
        <w:textAlignment w:val="baseline"/>
        <w:rPr>
          <w:rFonts w:cs="宋体"/>
          <w:highlight w:val="none"/>
        </w:rPr>
      </w:pPr>
      <w:r>
        <w:rPr>
          <w:rFonts w:hint="eastAsia" w:cs="宋体"/>
          <w:color w:val="333333"/>
          <w:highlight w:val="none"/>
          <w:shd w:val="clear" w:color="auto" w:fill="FFFFFF"/>
        </w:rPr>
        <w:t>联系方式：029-88219779</w:t>
      </w:r>
    </w:p>
    <w:p w14:paraId="20DFA3A9">
      <w:pPr>
        <w:pStyle w:val="6"/>
        <w:widowControl/>
        <w:spacing w:beforeAutospacing="0" w:afterAutospacing="0" w:line="480" w:lineRule="auto"/>
        <w:textAlignment w:val="baseline"/>
        <w:rPr>
          <w:rFonts w:hint="default" w:cs="宋体"/>
          <w:b w:val="0"/>
          <w:bCs w:val="0"/>
          <w:sz w:val="24"/>
          <w:szCs w:val="24"/>
          <w:highlight w:val="none"/>
        </w:rPr>
      </w:pPr>
      <w:r>
        <w:rPr>
          <w:rFonts w:cs="宋体"/>
          <w:b w:val="0"/>
          <w:bCs w:val="0"/>
          <w:color w:val="333333"/>
          <w:sz w:val="24"/>
          <w:szCs w:val="24"/>
          <w:highlight w:val="none"/>
          <w:shd w:val="clear" w:color="auto" w:fill="FFFFFF"/>
        </w:rPr>
        <w:t>3.项目联系方式</w:t>
      </w:r>
    </w:p>
    <w:p w14:paraId="724A8BA1">
      <w:pPr>
        <w:pStyle w:val="21"/>
        <w:spacing w:before="0" w:beforeAutospacing="0" w:after="0" w:afterAutospacing="0" w:line="480" w:lineRule="auto"/>
        <w:ind w:firstLine="480"/>
        <w:jc w:val="both"/>
        <w:textAlignment w:val="baseline"/>
        <w:rPr>
          <w:rFonts w:cs="宋体"/>
          <w:highlight w:val="none"/>
        </w:rPr>
      </w:pPr>
      <w:r>
        <w:rPr>
          <w:rFonts w:hint="eastAsia" w:cs="宋体"/>
          <w:color w:val="333333"/>
          <w:highlight w:val="none"/>
          <w:shd w:val="clear" w:color="auto" w:fill="FFFFFF"/>
        </w:rPr>
        <w:t>项目联系人：倪沛、王欣玫、胡晓均</w:t>
      </w:r>
    </w:p>
    <w:p w14:paraId="2474B7F4">
      <w:pPr>
        <w:pStyle w:val="21"/>
        <w:spacing w:before="0" w:beforeAutospacing="0" w:after="0" w:afterAutospacing="0" w:line="480" w:lineRule="auto"/>
        <w:ind w:firstLine="480"/>
        <w:jc w:val="both"/>
        <w:textAlignment w:val="baseline"/>
        <w:rPr>
          <w:rFonts w:cs="宋体"/>
          <w:highlight w:val="none"/>
        </w:rPr>
      </w:pPr>
      <w:r>
        <w:rPr>
          <w:rFonts w:hint="eastAsia" w:cs="宋体"/>
          <w:color w:val="333333"/>
          <w:highlight w:val="none"/>
          <w:shd w:val="clear" w:color="auto" w:fill="FFFFFF"/>
        </w:rPr>
        <w:t>电话：029-88219779</w:t>
      </w:r>
    </w:p>
    <w:p w14:paraId="5001BE35">
      <w:pPr>
        <w:pStyle w:val="21"/>
        <w:spacing w:before="0" w:beforeAutospacing="0" w:after="0" w:afterAutospacing="0" w:line="360" w:lineRule="auto"/>
        <w:jc w:val="right"/>
        <w:rPr>
          <w:rFonts w:cs="宋体"/>
          <w:highlight w:val="none"/>
          <w:shd w:val="clear" w:color="auto" w:fill="FFFFFF"/>
        </w:rPr>
      </w:pPr>
    </w:p>
    <w:p w14:paraId="2E6FEDD9">
      <w:pPr>
        <w:pStyle w:val="2"/>
        <w:jc w:val="center"/>
        <w:rPr>
          <w:rStyle w:val="29"/>
          <w:rFonts w:ascii="宋体" w:eastAsia="宋体" w:cs="宋体"/>
          <w:b/>
          <w:sz w:val="36"/>
          <w:szCs w:val="36"/>
          <w:highlight w:val="none"/>
        </w:rPr>
      </w:pPr>
      <w:r>
        <w:rPr>
          <w:rFonts w:hint="eastAsia" w:ascii="宋体" w:eastAsia="宋体" w:cs="宋体"/>
          <w:highlight w:val="none"/>
        </w:rPr>
        <w:br w:type="page"/>
      </w:r>
      <w:bookmarkStart w:id="17" w:name="_Toc2929"/>
      <w:bookmarkStart w:id="18" w:name="_Toc389582035"/>
      <w:bookmarkStart w:id="19" w:name="_Toc30529"/>
      <w:bookmarkStart w:id="20" w:name="_Toc426457692"/>
      <w:bookmarkStart w:id="21" w:name="_Toc6096"/>
      <w:bookmarkStart w:id="22" w:name="_Toc30304"/>
      <w:r>
        <w:rPr>
          <w:rFonts w:hint="eastAsia" w:ascii="宋体" w:eastAsia="宋体" w:cs="宋体"/>
          <w:sz w:val="36"/>
          <w:szCs w:val="36"/>
          <w:highlight w:val="none"/>
        </w:rPr>
        <w:t>第二</w:t>
      </w:r>
      <w:r>
        <w:rPr>
          <w:rStyle w:val="29"/>
          <w:rFonts w:hint="eastAsia" w:ascii="宋体" w:eastAsia="宋体" w:cs="宋体"/>
          <w:b/>
          <w:sz w:val="36"/>
          <w:szCs w:val="36"/>
          <w:highlight w:val="none"/>
        </w:rPr>
        <w:t xml:space="preserve">章  </w:t>
      </w:r>
      <w:bookmarkEnd w:id="17"/>
      <w:bookmarkEnd w:id="18"/>
      <w:r>
        <w:rPr>
          <w:rStyle w:val="29"/>
          <w:rFonts w:hint="eastAsia" w:eastAsia="宋体" w:cs="宋体"/>
          <w:b/>
          <w:sz w:val="36"/>
          <w:szCs w:val="36"/>
          <w:highlight w:val="none"/>
        </w:rPr>
        <w:t>投标人</w:t>
      </w:r>
      <w:r>
        <w:rPr>
          <w:rStyle w:val="29"/>
          <w:rFonts w:hint="eastAsia" w:ascii="宋体" w:eastAsia="宋体" w:cs="宋体"/>
          <w:b/>
          <w:sz w:val="36"/>
          <w:szCs w:val="36"/>
          <w:highlight w:val="none"/>
        </w:rPr>
        <w:t>须知</w:t>
      </w:r>
      <w:bookmarkEnd w:id="19"/>
      <w:bookmarkEnd w:id="20"/>
    </w:p>
    <w:bookmarkEnd w:id="21"/>
    <w:bookmarkEnd w:id="22"/>
    <w:p w14:paraId="5FD140EC">
      <w:pPr>
        <w:pStyle w:val="3"/>
        <w:spacing w:before="120" w:after="120"/>
        <w:jc w:val="center"/>
        <w:rPr>
          <w:rFonts w:ascii="宋体" w:hAnsi="宋体" w:cs="宋体"/>
          <w:sz w:val="32"/>
          <w:highlight w:val="none"/>
        </w:rPr>
      </w:pPr>
      <w:bookmarkStart w:id="23" w:name="_Toc17040"/>
      <w:bookmarkStart w:id="24" w:name="_Toc23108"/>
      <w:bookmarkStart w:id="25" w:name="_Toc426457693"/>
      <w:bookmarkStart w:id="26" w:name="_Toc22787"/>
      <w:bookmarkStart w:id="27" w:name="_Toc30222"/>
      <w:bookmarkStart w:id="28" w:name="_Toc17539"/>
      <w:bookmarkStart w:id="29" w:name="_Toc11975"/>
      <w:r>
        <w:rPr>
          <w:rFonts w:hint="eastAsia" w:ascii="宋体" w:hAnsi="宋体" w:cs="宋体"/>
          <w:sz w:val="32"/>
          <w:highlight w:val="none"/>
        </w:rPr>
        <w:t>投标人须知前附表</w:t>
      </w:r>
      <w:bookmarkEnd w:id="23"/>
      <w:bookmarkEnd w:id="24"/>
      <w:bookmarkEnd w:id="25"/>
      <w:bookmarkEnd w:id="26"/>
      <w:bookmarkEnd w:id="27"/>
      <w:bookmarkEnd w:id="28"/>
      <w:bookmarkEnd w:id="29"/>
    </w:p>
    <w:tbl>
      <w:tblPr>
        <w:tblStyle w:val="23"/>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7"/>
        <w:gridCol w:w="949"/>
        <w:gridCol w:w="7567"/>
      </w:tblGrid>
      <w:tr w14:paraId="79A4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332" w:type="pct"/>
          </w:tcPr>
          <w:p w14:paraId="6AC31D61">
            <w:pPr>
              <w:spacing w:before="166" w:beforeLines="50"/>
              <w:jc w:val="center"/>
              <w:rPr>
                <w:rFonts w:hAnsi="宋体" w:cs="宋体"/>
                <w:b/>
                <w:szCs w:val="24"/>
                <w:highlight w:val="none"/>
              </w:rPr>
            </w:pPr>
            <w:r>
              <w:rPr>
                <w:rFonts w:hint="eastAsia" w:hAnsi="宋体" w:cs="宋体"/>
                <w:b/>
                <w:szCs w:val="24"/>
                <w:highlight w:val="none"/>
              </w:rPr>
              <w:t>序号</w:t>
            </w:r>
          </w:p>
        </w:tc>
        <w:tc>
          <w:tcPr>
            <w:tcW w:w="520" w:type="pct"/>
            <w:vAlign w:val="center"/>
          </w:tcPr>
          <w:p w14:paraId="0F0C0E0D">
            <w:pPr>
              <w:spacing w:before="166" w:beforeLines="50"/>
              <w:jc w:val="center"/>
              <w:rPr>
                <w:rFonts w:hAnsi="宋体" w:cs="宋体"/>
                <w:b/>
                <w:szCs w:val="24"/>
                <w:highlight w:val="none"/>
              </w:rPr>
            </w:pPr>
            <w:r>
              <w:rPr>
                <w:rFonts w:hint="eastAsia" w:hAnsi="宋体" w:cs="宋体"/>
                <w:b/>
                <w:szCs w:val="24"/>
                <w:highlight w:val="none"/>
              </w:rPr>
              <w:t>条款号</w:t>
            </w:r>
          </w:p>
        </w:tc>
        <w:tc>
          <w:tcPr>
            <w:tcW w:w="4147" w:type="pct"/>
          </w:tcPr>
          <w:p w14:paraId="704D3686">
            <w:pPr>
              <w:spacing w:before="166" w:beforeLines="50"/>
              <w:jc w:val="center"/>
              <w:rPr>
                <w:rFonts w:hAnsi="宋体" w:cs="宋体"/>
                <w:b/>
                <w:szCs w:val="24"/>
                <w:highlight w:val="none"/>
              </w:rPr>
            </w:pPr>
            <w:r>
              <w:rPr>
                <w:rFonts w:hint="eastAsia" w:hAnsi="宋体" w:cs="宋体"/>
                <w:b/>
                <w:szCs w:val="24"/>
                <w:highlight w:val="none"/>
              </w:rPr>
              <w:t xml:space="preserve">编 列 内 容 </w:t>
            </w:r>
          </w:p>
        </w:tc>
      </w:tr>
      <w:tr w14:paraId="12C7C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2" w:type="pct"/>
            <w:vAlign w:val="center"/>
          </w:tcPr>
          <w:p w14:paraId="5621CE93">
            <w:pPr>
              <w:jc w:val="center"/>
              <w:rPr>
                <w:rFonts w:hAnsi="宋体" w:cs="宋体"/>
                <w:szCs w:val="24"/>
                <w:highlight w:val="none"/>
              </w:rPr>
            </w:pPr>
            <w:r>
              <w:rPr>
                <w:rFonts w:hint="eastAsia" w:hAnsi="宋体" w:cs="宋体"/>
                <w:szCs w:val="24"/>
                <w:highlight w:val="none"/>
              </w:rPr>
              <w:t>1</w:t>
            </w:r>
          </w:p>
        </w:tc>
        <w:tc>
          <w:tcPr>
            <w:tcW w:w="520" w:type="pct"/>
            <w:vAlign w:val="center"/>
          </w:tcPr>
          <w:p w14:paraId="020C0ED7">
            <w:pPr>
              <w:jc w:val="center"/>
              <w:rPr>
                <w:rFonts w:hAnsi="宋体" w:cs="宋体"/>
                <w:szCs w:val="24"/>
                <w:highlight w:val="none"/>
              </w:rPr>
            </w:pPr>
            <w:r>
              <w:rPr>
                <w:rFonts w:hint="eastAsia" w:hAnsi="宋体" w:cs="宋体"/>
                <w:szCs w:val="24"/>
                <w:highlight w:val="none"/>
              </w:rPr>
              <w:t>2.3</w:t>
            </w:r>
          </w:p>
        </w:tc>
        <w:tc>
          <w:tcPr>
            <w:tcW w:w="4147" w:type="pct"/>
          </w:tcPr>
          <w:p w14:paraId="5E48097C">
            <w:pPr>
              <w:spacing w:line="360" w:lineRule="auto"/>
              <w:rPr>
                <w:rFonts w:hAnsi="宋体" w:cs="宋体"/>
                <w:szCs w:val="24"/>
                <w:highlight w:val="none"/>
              </w:rPr>
            </w:pPr>
            <w:r>
              <w:rPr>
                <w:rFonts w:hint="eastAsia" w:hAnsi="宋体" w:cs="宋体"/>
                <w:szCs w:val="24"/>
                <w:highlight w:val="none"/>
              </w:rPr>
              <w:t>采购代理机构：</w:t>
            </w:r>
            <w:r>
              <w:rPr>
                <w:rFonts w:hint="eastAsia"/>
                <w:szCs w:val="24"/>
                <w:highlight w:val="none"/>
              </w:rPr>
              <w:t>陕西至诚项目管理集团有限公司</w:t>
            </w:r>
          </w:p>
          <w:p w14:paraId="229F34D2">
            <w:pPr>
              <w:spacing w:line="360" w:lineRule="auto"/>
              <w:rPr>
                <w:rFonts w:hAnsi="宋体" w:cs="宋体"/>
                <w:szCs w:val="24"/>
                <w:highlight w:val="none"/>
              </w:rPr>
            </w:pPr>
            <w:r>
              <w:rPr>
                <w:rFonts w:hint="eastAsia" w:hAnsi="宋体" w:cs="宋体"/>
                <w:szCs w:val="24"/>
                <w:highlight w:val="none"/>
              </w:rPr>
              <w:t>地        址：</w:t>
            </w:r>
            <w:r>
              <w:rPr>
                <w:rFonts w:hint="eastAsia"/>
                <w:szCs w:val="24"/>
                <w:highlight w:val="none"/>
              </w:rPr>
              <w:t>陕西省西安市经济技术开发区未央路171-1号银池道拉斯财富中心21楼</w:t>
            </w:r>
          </w:p>
          <w:p w14:paraId="1A695A9E">
            <w:pPr>
              <w:spacing w:line="360" w:lineRule="auto"/>
              <w:rPr>
                <w:rFonts w:hAnsi="宋体" w:cs="宋体"/>
                <w:szCs w:val="24"/>
                <w:highlight w:val="none"/>
              </w:rPr>
            </w:pPr>
            <w:r>
              <w:rPr>
                <w:rFonts w:hint="eastAsia" w:hAnsi="宋体" w:cs="宋体"/>
                <w:szCs w:val="24"/>
                <w:highlight w:val="none"/>
              </w:rPr>
              <w:t>邮        编：</w:t>
            </w:r>
            <w:r>
              <w:rPr>
                <w:rFonts w:hint="eastAsia"/>
                <w:szCs w:val="24"/>
                <w:highlight w:val="none"/>
              </w:rPr>
              <w:t>710021</w:t>
            </w:r>
          </w:p>
          <w:p w14:paraId="408D10E2">
            <w:pPr>
              <w:spacing w:line="360" w:lineRule="auto"/>
              <w:rPr>
                <w:rFonts w:hAnsi="宋体" w:cs="宋体"/>
                <w:szCs w:val="24"/>
                <w:highlight w:val="none"/>
              </w:rPr>
            </w:pPr>
            <w:r>
              <w:rPr>
                <w:rFonts w:hint="eastAsia" w:hAnsi="宋体" w:cs="宋体"/>
                <w:szCs w:val="24"/>
                <w:highlight w:val="none"/>
              </w:rPr>
              <w:t>电        话：029-88219779</w:t>
            </w:r>
          </w:p>
          <w:p w14:paraId="114968F4">
            <w:pPr>
              <w:spacing w:line="360" w:lineRule="auto"/>
              <w:rPr>
                <w:rFonts w:hAnsi="宋体" w:cs="宋体"/>
                <w:szCs w:val="24"/>
                <w:highlight w:val="none"/>
              </w:rPr>
            </w:pPr>
            <w:r>
              <w:rPr>
                <w:rFonts w:hint="eastAsia" w:hAnsi="宋体" w:cs="宋体"/>
                <w:szCs w:val="24"/>
                <w:highlight w:val="none"/>
              </w:rPr>
              <w:t>传        真：/</w:t>
            </w:r>
          </w:p>
        </w:tc>
      </w:tr>
      <w:tr w14:paraId="4EFA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2" w:type="pct"/>
            <w:vAlign w:val="center"/>
          </w:tcPr>
          <w:p w14:paraId="72B671FC">
            <w:pPr>
              <w:jc w:val="center"/>
              <w:rPr>
                <w:rFonts w:hAnsi="宋体" w:cs="宋体"/>
                <w:szCs w:val="24"/>
                <w:highlight w:val="none"/>
              </w:rPr>
            </w:pPr>
            <w:r>
              <w:rPr>
                <w:rFonts w:hint="eastAsia" w:hAnsi="宋体" w:cs="宋体"/>
                <w:szCs w:val="24"/>
                <w:highlight w:val="none"/>
              </w:rPr>
              <w:t>2</w:t>
            </w:r>
          </w:p>
        </w:tc>
        <w:tc>
          <w:tcPr>
            <w:tcW w:w="520" w:type="pct"/>
            <w:vAlign w:val="center"/>
          </w:tcPr>
          <w:p w14:paraId="31ECEE00">
            <w:pPr>
              <w:jc w:val="center"/>
              <w:rPr>
                <w:rFonts w:hAnsi="宋体" w:cs="宋体"/>
                <w:szCs w:val="24"/>
                <w:highlight w:val="none"/>
              </w:rPr>
            </w:pPr>
            <w:r>
              <w:rPr>
                <w:rFonts w:hint="eastAsia" w:hAnsi="宋体" w:cs="宋体"/>
                <w:szCs w:val="24"/>
                <w:highlight w:val="none"/>
              </w:rPr>
              <w:t>3.6</w:t>
            </w:r>
          </w:p>
        </w:tc>
        <w:tc>
          <w:tcPr>
            <w:tcW w:w="4147" w:type="pct"/>
            <w:vAlign w:val="center"/>
          </w:tcPr>
          <w:p w14:paraId="1C5DA8D0">
            <w:pPr>
              <w:rPr>
                <w:rFonts w:hAnsi="宋体" w:cs="宋体"/>
                <w:szCs w:val="24"/>
                <w:highlight w:val="none"/>
              </w:rPr>
            </w:pPr>
            <w:r>
              <w:rPr>
                <w:rFonts w:hint="eastAsia" w:hAnsi="宋体" w:cs="宋体"/>
                <w:szCs w:val="24"/>
                <w:highlight w:val="none"/>
              </w:rPr>
              <w:t>本项目不接受联合体投标。</w:t>
            </w:r>
          </w:p>
        </w:tc>
      </w:tr>
      <w:tr w14:paraId="29687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2" w:type="pct"/>
            <w:vAlign w:val="center"/>
          </w:tcPr>
          <w:p w14:paraId="49D5366D">
            <w:pPr>
              <w:jc w:val="center"/>
              <w:rPr>
                <w:rFonts w:hAnsi="宋体" w:cs="宋体"/>
                <w:szCs w:val="24"/>
                <w:highlight w:val="none"/>
              </w:rPr>
            </w:pPr>
            <w:r>
              <w:rPr>
                <w:rFonts w:hint="eastAsia" w:hAnsi="宋体" w:cs="宋体"/>
                <w:szCs w:val="24"/>
                <w:highlight w:val="none"/>
              </w:rPr>
              <w:t>3</w:t>
            </w:r>
          </w:p>
        </w:tc>
        <w:tc>
          <w:tcPr>
            <w:tcW w:w="520" w:type="pct"/>
            <w:vAlign w:val="center"/>
          </w:tcPr>
          <w:p w14:paraId="3FA4A310">
            <w:pPr>
              <w:spacing w:line="360" w:lineRule="auto"/>
              <w:jc w:val="center"/>
              <w:rPr>
                <w:rFonts w:hAnsi="宋体"/>
                <w:szCs w:val="21"/>
                <w:highlight w:val="none"/>
              </w:rPr>
            </w:pPr>
            <w:r>
              <w:rPr>
                <w:rFonts w:hint="eastAsia" w:hAnsi="宋体"/>
                <w:szCs w:val="21"/>
                <w:highlight w:val="none"/>
              </w:rPr>
              <w:t>8.3</w:t>
            </w:r>
          </w:p>
        </w:tc>
        <w:tc>
          <w:tcPr>
            <w:tcW w:w="4147" w:type="pct"/>
            <w:vAlign w:val="center"/>
          </w:tcPr>
          <w:p w14:paraId="7D0CCE2A">
            <w:pPr>
              <w:spacing w:line="360" w:lineRule="auto"/>
              <w:rPr>
                <w:rFonts w:hAnsi="宋体"/>
                <w:szCs w:val="21"/>
                <w:highlight w:val="none"/>
              </w:rPr>
            </w:pPr>
            <w:r>
              <w:rPr>
                <w:rFonts w:hint="eastAsia" w:hAnsi="宋体"/>
                <w:szCs w:val="21"/>
                <w:highlight w:val="none"/>
              </w:rPr>
              <w:t>采购代理机构答疑的时间：对于供应商在规定时间内依法提出的询问，采购代理机构将在三个工作日内答复询问。</w:t>
            </w:r>
          </w:p>
        </w:tc>
      </w:tr>
      <w:tr w14:paraId="63F4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332" w:type="pct"/>
            <w:vAlign w:val="center"/>
          </w:tcPr>
          <w:p w14:paraId="03F83D0D">
            <w:pPr>
              <w:jc w:val="center"/>
              <w:rPr>
                <w:rFonts w:hAnsi="宋体" w:cs="宋体"/>
                <w:szCs w:val="24"/>
                <w:highlight w:val="none"/>
              </w:rPr>
            </w:pPr>
            <w:r>
              <w:rPr>
                <w:rFonts w:hint="eastAsia" w:hAnsi="宋体" w:cs="宋体"/>
                <w:szCs w:val="24"/>
                <w:highlight w:val="none"/>
              </w:rPr>
              <w:t>3</w:t>
            </w:r>
          </w:p>
        </w:tc>
        <w:tc>
          <w:tcPr>
            <w:tcW w:w="520" w:type="pct"/>
            <w:vAlign w:val="center"/>
          </w:tcPr>
          <w:p w14:paraId="5F5AE236">
            <w:pPr>
              <w:jc w:val="center"/>
              <w:rPr>
                <w:rFonts w:hAnsi="宋体" w:cs="宋体"/>
                <w:szCs w:val="24"/>
                <w:highlight w:val="none"/>
              </w:rPr>
            </w:pPr>
            <w:r>
              <w:rPr>
                <w:rFonts w:hint="eastAsia" w:hAnsi="宋体" w:cs="宋体"/>
                <w:szCs w:val="24"/>
                <w:highlight w:val="none"/>
              </w:rPr>
              <w:t>9.2</w:t>
            </w:r>
          </w:p>
        </w:tc>
        <w:tc>
          <w:tcPr>
            <w:tcW w:w="4147" w:type="pct"/>
            <w:vAlign w:val="center"/>
          </w:tcPr>
          <w:p w14:paraId="2DB3A85D">
            <w:pPr>
              <w:rPr>
                <w:rFonts w:hAnsi="宋体" w:cs="宋体"/>
                <w:szCs w:val="24"/>
                <w:highlight w:val="none"/>
              </w:rPr>
            </w:pPr>
            <w:r>
              <w:rPr>
                <w:rFonts w:hint="eastAsia" w:hAnsi="宋体" w:cs="宋体"/>
                <w:szCs w:val="24"/>
                <w:highlight w:val="none"/>
              </w:rPr>
              <w:t>本项目不允许提供备选方案。</w:t>
            </w:r>
          </w:p>
        </w:tc>
      </w:tr>
      <w:tr w14:paraId="16F03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32" w:type="pct"/>
            <w:vAlign w:val="center"/>
          </w:tcPr>
          <w:p w14:paraId="458AAAAC">
            <w:pPr>
              <w:jc w:val="center"/>
              <w:rPr>
                <w:rFonts w:hAnsi="宋体" w:cs="宋体"/>
                <w:szCs w:val="24"/>
                <w:highlight w:val="none"/>
              </w:rPr>
            </w:pPr>
            <w:r>
              <w:rPr>
                <w:rFonts w:hint="eastAsia" w:hAnsi="宋体" w:cs="宋体"/>
                <w:szCs w:val="24"/>
                <w:highlight w:val="none"/>
              </w:rPr>
              <w:t>4</w:t>
            </w:r>
          </w:p>
        </w:tc>
        <w:tc>
          <w:tcPr>
            <w:tcW w:w="520" w:type="pct"/>
            <w:vAlign w:val="center"/>
          </w:tcPr>
          <w:p w14:paraId="4065499C">
            <w:pPr>
              <w:jc w:val="center"/>
              <w:rPr>
                <w:rFonts w:hAnsi="宋体" w:cs="宋体"/>
                <w:szCs w:val="24"/>
                <w:highlight w:val="none"/>
              </w:rPr>
            </w:pPr>
            <w:r>
              <w:rPr>
                <w:rFonts w:hint="eastAsia" w:hAnsi="宋体" w:cs="宋体"/>
                <w:szCs w:val="24"/>
                <w:highlight w:val="none"/>
              </w:rPr>
              <w:t>9.3</w:t>
            </w:r>
          </w:p>
        </w:tc>
        <w:tc>
          <w:tcPr>
            <w:tcW w:w="4147" w:type="pct"/>
            <w:vAlign w:val="center"/>
          </w:tcPr>
          <w:p w14:paraId="1B77C121">
            <w:pPr>
              <w:spacing w:line="360" w:lineRule="auto"/>
              <w:rPr>
                <w:rFonts w:hAnsi="宋体" w:cs="宋体"/>
                <w:szCs w:val="24"/>
                <w:highlight w:val="none"/>
              </w:rPr>
            </w:pPr>
            <w:r>
              <w:rPr>
                <w:rFonts w:hint="eastAsia" w:hAnsi="宋体" w:cs="宋体"/>
                <w:szCs w:val="24"/>
                <w:highlight w:val="none"/>
              </w:rPr>
              <w:t>供应商可根据自身的资质情况和经营范围进行投标，但不得将其子目自行分解或针对该项目中的品目进行不完全投标，任何不完全的投标将按无效投标处理。</w:t>
            </w:r>
          </w:p>
        </w:tc>
      </w:tr>
      <w:tr w14:paraId="71EA7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332" w:type="pct"/>
            <w:vAlign w:val="center"/>
          </w:tcPr>
          <w:p w14:paraId="39220210">
            <w:pPr>
              <w:spacing w:after="166" w:afterLines="50"/>
              <w:jc w:val="center"/>
              <w:rPr>
                <w:rFonts w:hAnsi="宋体" w:cs="宋体"/>
                <w:szCs w:val="24"/>
                <w:highlight w:val="none"/>
              </w:rPr>
            </w:pPr>
            <w:r>
              <w:rPr>
                <w:rFonts w:hint="eastAsia" w:hAnsi="宋体" w:cs="宋体"/>
                <w:szCs w:val="24"/>
                <w:highlight w:val="none"/>
              </w:rPr>
              <w:t>5</w:t>
            </w:r>
          </w:p>
        </w:tc>
        <w:tc>
          <w:tcPr>
            <w:tcW w:w="520" w:type="pct"/>
            <w:vAlign w:val="center"/>
          </w:tcPr>
          <w:p w14:paraId="40B8D9EF">
            <w:pPr>
              <w:spacing w:after="166" w:afterLines="50"/>
              <w:jc w:val="center"/>
              <w:rPr>
                <w:rFonts w:hAnsi="宋体" w:cs="宋体"/>
                <w:szCs w:val="24"/>
                <w:highlight w:val="none"/>
              </w:rPr>
            </w:pPr>
            <w:r>
              <w:rPr>
                <w:rFonts w:hint="eastAsia" w:hAnsi="宋体" w:cs="宋体"/>
                <w:szCs w:val="24"/>
                <w:highlight w:val="none"/>
              </w:rPr>
              <w:t>11.1</w:t>
            </w:r>
          </w:p>
        </w:tc>
        <w:tc>
          <w:tcPr>
            <w:tcW w:w="4147" w:type="pct"/>
          </w:tcPr>
          <w:p w14:paraId="519B87FA">
            <w:pPr>
              <w:spacing w:line="500" w:lineRule="exact"/>
              <w:rPr>
                <w:rFonts w:hAnsi="宋体" w:cs="宋体"/>
                <w:szCs w:val="24"/>
                <w:highlight w:val="none"/>
              </w:rPr>
            </w:pPr>
            <w:r>
              <w:rPr>
                <w:rFonts w:hint="eastAsia" w:hAnsi="宋体" w:cs="宋体"/>
                <w:szCs w:val="24"/>
                <w:highlight w:val="none"/>
              </w:rPr>
              <w:t>投标报价：</w:t>
            </w:r>
            <w:bookmarkStart w:id="30" w:name="OLE_LINK11"/>
            <w:r>
              <w:rPr>
                <w:rFonts w:hint="eastAsia" w:hAnsi="宋体" w:cs="宋体"/>
                <w:szCs w:val="24"/>
                <w:highlight w:val="none"/>
              </w:rPr>
              <w:t>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bookmarkEnd w:id="30"/>
          </w:p>
        </w:tc>
      </w:tr>
      <w:tr w14:paraId="21AEB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32" w:type="pct"/>
            <w:vAlign w:val="center"/>
          </w:tcPr>
          <w:p w14:paraId="56D1C5CF">
            <w:pPr>
              <w:jc w:val="center"/>
              <w:rPr>
                <w:rFonts w:hAnsi="宋体" w:cs="宋体"/>
                <w:szCs w:val="24"/>
                <w:highlight w:val="none"/>
              </w:rPr>
            </w:pPr>
            <w:r>
              <w:rPr>
                <w:rFonts w:hint="eastAsia" w:hAnsi="宋体" w:cs="宋体"/>
                <w:szCs w:val="24"/>
                <w:highlight w:val="none"/>
              </w:rPr>
              <w:t>6</w:t>
            </w:r>
          </w:p>
        </w:tc>
        <w:tc>
          <w:tcPr>
            <w:tcW w:w="520" w:type="pct"/>
            <w:vAlign w:val="center"/>
          </w:tcPr>
          <w:p w14:paraId="74775AAF">
            <w:pPr>
              <w:jc w:val="center"/>
              <w:rPr>
                <w:rFonts w:hAnsi="宋体" w:cs="宋体"/>
                <w:szCs w:val="24"/>
                <w:highlight w:val="none"/>
              </w:rPr>
            </w:pPr>
            <w:r>
              <w:rPr>
                <w:rFonts w:hint="eastAsia" w:hAnsi="宋体" w:cs="宋体"/>
                <w:szCs w:val="24"/>
                <w:highlight w:val="none"/>
              </w:rPr>
              <w:t>12.1</w:t>
            </w:r>
          </w:p>
        </w:tc>
        <w:tc>
          <w:tcPr>
            <w:tcW w:w="4147" w:type="pct"/>
          </w:tcPr>
          <w:p w14:paraId="54C4A939">
            <w:pPr>
              <w:spacing w:line="500" w:lineRule="exact"/>
              <w:rPr>
                <w:highlight w:val="none"/>
              </w:rPr>
            </w:pPr>
            <w:r>
              <w:rPr>
                <w:highlight w:val="none"/>
              </w:rPr>
              <w:t>1.</w:t>
            </w:r>
            <w:r>
              <w:rPr>
                <w:rFonts w:hint="eastAsia"/>
                <w:highlight w:val="none"/>
              </w:rPr>
              <w:t>基本资格条件：符合《中华人民共和国政府采购法》第二十二条的规定；</w:t>
            </w:r>
          </w:p>
          <w:p w14:paraId="43608CFF">
            <w:pPr>
              <w:spacing w:line="500" w:lineRule="exact"/>
              <w:rPr>
                <w:highlight w:val="none"/>
              </w:rPr>
            </w:pPr>
            <w:r>
              <w:rPr>
                <w:highlight w:val="none"/>
              </w:rPr>
              <w:t>2.</w:t>
            </w:r>
            <w:r>
              <w:rPr>
                <w:rFonts w:hint="eastAsia"/>
                <w:highlight w:val="none"/>
              </w:rPr>
              <w:t>特定资格条件：</w:t>
            </w:r>
          </w:p>
          <w:p w14:paraId="57E66164">
            <w:pPr>
              <w:pStyle w:val="21"/>
              <w:spacing w:before="0" w:beforeAutospacing="0" w:after="0" w:afterAutospacing="0" w:line="480" w:lineRule="atLeast"/>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（1）提供合格有效的法人或者其他组织的营业执照等证明文件，自然人的身份证明；</w:t>
            </w:r>
          </w:p>
          <w:p w14:paraId="26738FBB">
            <w:pPr>
              <w:pStyle w:val="21"/>
              <w:spacing w:before="0" w:beforeAutospacing="0" w:after="0" w:afterAutospacing="0" w:line="480" w:lineRule="atLeast"/>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（2）提供法定代表人授权书（附法定代表人、被授权人身份证复印件），法定代表人直接参加投标，须提供法定代表人身份证明（附法定代表人身份证复印件）；</w:t>
            </w:r>
          </w:p>
          <w:p w14:paraId="194519F1">
            <w:pPr>
              <w:pStyle w:val="21"/>
              <w:spacing w:before="0" w:beforeAutospacing="0" w:after="0" w:afterAutospacing="0" w:line="480" w:lineRule="atLeast"/>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3）财务状况报告：提供2023年度的财务审计报告（至少包括资产负债表和利润表，成立时间至提交投标文件截止时间不足一年的可提供成立后任意时段的资产负债表），或开标时间前六个月内银行出具的资信证明；</w:t>
            </w:r>
          </w:p>
          <w:p w14:paraId="042306F9">
            <w:pPr>
              <w:pStyle w:val="21"/>
              <w:spacing w:before="0" w:beforeAutospacing="0" w:after="0" w:afterAutospacing="0" w:line="480" w:lineRule="atLeast"/>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（4）税收缴纳证明：提供投标截止日前一年内已缴纳的至少一个月的纳税证明或完税证明（任意税种），依法免税的单位应提供相关证明材料;</w:t>
            </w:r>
          </w:p>
          <w:p w14:paraId="448C646A">
            <w:pPr>
              <w:pStyle w:val="21"/>
              <w:spacing w:before="0" w:beforeAutospacing="0" w:after="0" w:afterAutospacing="0" w:line="480" w:lineRule="atLeast"/>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14:paraId="669C6BCF">
            <w:pPr>
              <w:pStyle w:val="21"/>
              <w:spacing w:before="0" w:beforeAutospacing="0" w:after="0" w:afterAutospacing="0" w:line="480" w:lineRule="atLeast"/>
              <w:jc w:val="both"/>
              <w:textAlignment w:val="baseline"/>
              <w:rPr>
                <w:rFonts w:hint="eastAsia" w:cs="宋体"/>
                <w:color w:val="333333"/>
                <w:highlight w:val="none"/>
                <w:shd w:val="clear" w:color="auto" w:fill="FFFFFF"/>
              </w:rPr>
            </w:pPr>
            <w:r>
              <w:rPr>
                <w:rFonts w:hint="eastAsia" w:cs="宋体"/>
                <w:color w:val="333333"/>
                <w:highlight w:val="none"/>
                <w:shd w:val="clear" w:color="auto" w:fill="FFFFFF"/>
              </w:rPr>
              <w:t>（6）提供具有履行本合同所必需的设备和专业技术能力的说明及承诺书；</w:t>
            </w:r>
          </w:p>
          <w:p w14:paraId="168BF7E2">
            <w:pPr>
              <w:pStyle w:val="21"/>
              <w:spacing w:before="0" w:beforeAutospacing="0" w:after="0" w:afterAutospacing="0" w:line="480" w:lineRule="atLeast"/>
              <w:jc w:val="both"/>
              <w:textAlignment w:val="baseline"/>
              <w:rPr>
                <w:rFonts w:hint="eastAsia" w:cs="宋体"/>
                <w:color w:val="333333"/>
                <w:highlight w:val="none"/>
                <w:shd w:val="clear" w:color="auto" w:fill="FFFFFF"/>
              </w:rPr>
            </w:pPr>
            <w:r>
              <w:rPr>
                <w:rFonts w:hint="eastAsia" w:cs="宋体"/>
                <w:color w:val="333333"/>
                <w:highlight w:val="none"/>
                <w:shd w:val="clear" w:color="auto" w:fill="FFFFFF"/>
              </w:rPr>
              <w:t>（7）供应商应通过“信用中国”网站(www.creditchina.gov.cn)、中国政府采购网(www.ccgp.gov.cn)查询相关主体信用记录；</w:t>
            </w:r>
          </w:p>
          <w:p w14:paraId="7EFE5546">
            <w:pPr>
              <w:pStyle w:val="21"/>
              <w:spacing w:before="0" w:beforeAutospacing="0" w:after="0" w:afterAutospacing="0" w:line="480" w:lineRule="atLeast"/>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（8）参加政府采购活动前3年内，在经营活动中没有重大违法记录的书面声明</w:t>
            </w:r>
            <w:r>
              <w:rPr>
                <w:rFonts w:hint="eastAsia" w:cs="宋体"/>
                <w:color w:val="333333"/>
                <w:highlight w:val="none"/>
                <w:shd w:val="clear" w:color="auto" w:fill="FFFFFF"/>
                <w:lang w:eastAsia="zh-CN"/>
              </w:rPr>
              <w:t>；</w:t>
            </w:r>
          </w:p>
          <w:p w14:paraId="0956CC48">
            <w:pPr>
              <w:pStyle w:val="21"/>
              <w:spacing w:before="0" w:beforeAutospacing="0" w:after="0" w:afterAutospacing="0" w:line="480" w:lineRule="atLeast"/>
              <w:jc w:val="both"/>
              <w:textAlignment w:val="baseline"/>
              <w:rPr>
                <w:rFonts w:cs="宋体"/>
                <w:color w:val="333333"/>
                <w:highlight w:val="none"/>
                <w:shd w:val="clear" w:color="auto" w:fill="FFFFFF"/>
              </w:rPr>
            </w:pPr>
            <w:r>
              <w:rPr>
                <w:rFonts w:hint="eastAsia" w:cs="宋体"/>
                <w:color w:val="333333"/>
                <w:highlight w:val="none"/>
                <w:shd w:val="clear" w:color="auto" w:fill="FFFFFF"/>
              </w:rPr>
              <w:t>（9）本项目不接受联合体投标（提供承诺书）。</w:t>
            </w:r>
          </w:p>
          <w:p w14:paraId="609DB863">
            <w:pPr>
              <w:rPr>
                <w:highlight w:val="none"/>
              </w:rPr>
            </w:pPr>
            <w:r>
              <w:rPr>
                <w:rFonts w:hint="eastAsia"/>
                <w:b/>
                <w:bCs/>
                <w:highlight w:val="none"/>
              </w:rPr>
              <w:t>以上1-</w:t>
            </w:r>
            <w:r>
              <w:rPr>
                <w:rFonts w:hint="eastAsia"/>
                <w:b/>
                <w:bCs/>
                <w:highlight w:val="none"/>
                <w:lang w:val="en-US" w:eastAsia="zh-CN"/>
              </w:rPr>
              <w:t>9</w:t>
            </w:r>
            <w:r>
              <w:rPr>
                <w:rFonts w:hint="eastAsia"/>
                <w:b/>
                <w:bCs/>
                <w:highlight w:val="none"/>
              </w:rPr>
              <w:t>项为必备资质，缺一项或某项达不到要求，按无效投标处理。</w:t>
            </w:r>
          </w:p>
        </w:tc>
      </w:tr>
      <w:tr w14:paraId="7D32D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332" w:type="pct"/>
            <w:vAlign w:val="center"/>
          </w:tcPr>
          <w:p w14:paraId="5C1D624C">
            <w:pPr>
              <w:jc w:val="center"/>
              <w:rPr>
                <w:rFonts w:hAnsi="宋体" w:cs="宋体"/>
                <w:szCs w:val="24"/>
                <w:highlight w:val="none"/>
              </w:rPr>
            </w:pPr>
            <w:r>
              <w:rPr>
                <w:rFonts w:hint="eastAsia" w:hAnsi="宋体" w:cs="宋体"/>
                <w:szCs w:val="24"/>
                <w:highlight w:val="none"/>
              </w:rPr>
              <w:t>7</w:t>
            </w:r>
          </w:p>
        </w:tc>
        <w:tc>
          <w:tcPr>
            <w:tcW w:w="520" w:type="pct"/>
            <w:vAlign w:val="center"/>
          </w:tcPr>
          <w:p w14:paraId="00321FF3">
            <w:pPr>
              <w:jc w:val="center"/>
              <w:rPr>
                <w:rFonts w:hAnsi="宋体" w:cs="宋体"/>
                <w:szCs w:val="24"/>
                <w:highlight w:val="none"/>
              </w:rPr>
            </w:pPr>
            <w:r>
              <w:rPr>
                <w:rFonts w:hint="eastAsia" w:hAnsi="宋体" w:cs="宋体"/>
                <w:szCs w:val="24"/>
                <w:highlight w:val="none"/>
              </w:rPr>
              <w:t>15.1</w:t>
            </w:r>
          </w:p>
        </w:tc>
        <w:tc>
          <w:tcPr>
            <w:tcW w:w="4147" w:type="pct"/>
          </w:tcPr>
          <w:p w14:paraId="205FBFB7">
            <w:pPr>
              <w:spacing w:line="500" w:lineRule="exact"/>
              <w:jc w:val="left"/>
              <w:rPr>
                <w:rFonts w:hAnsi="宋体" w:cs="宋体"/>
                <w:szCs w:val="24"/>
                <w:highlight w:val="none"/>
              </w:rPr>
            </w:pPr>
            <w:r>
              <w:rPr>
                <w:rFonts w:hint="eastAsia" w:hAnsi="宋体" w:cs="宋体"/>
                <w:szCs w:val="24"/>
                <w:highlight w:val="none"/>
              </w:rPr>
              <w:t>投标有效期：投标文件的截止之日起90天。</w:t>
            </w:r>
          </w:p>
        </w:tc>
      </w:tr>
      <w:tr w14:paraId="790B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9" w:hRule="atLeast"/>
          <w:jc w:val="center"/>
        </w:trPr>
        <w:tc>
          <w:tcPr>
            <w:tcW w:w="332" w:type="pct"/>
            <w:vAlign w:val="center"/>
          </w:tcPr>
          <w:p w14:paraId="79BD227C">
            <w:pPr>
              <w:spacing w:after="166" w:afterLines="50"/>
              <w:jc w:val="center"/>
              <w:rPr>
                <w:rFonts w:hAnsi="宋体" w:cs="宋体"/>
                <w:szCs w:val="24"/>
                <w:highlight w:val="none"/>
              </w:rPr>
            </w:pPr>
            <w:r>
              <w:rPr>
                <w:rFonts w:hint="eastAsia" w:hAnsi="宋体" w:cs="宋体"/>
                <w:szCs w:val="24"/>
                <w:highlight w:val="none"/>
              </w:rPr>
              <w:t>8</w:t>
            </w:r>
          </w:p>
        </w:tc>
        <w:tc>
          <w:tcPr>
            <w:tcW w:w="520" w:type="pct"/>
            <w:vAlign w:val="center"/>
          </w:tcPr>
          <w:p w14:paraId="7945128A">
            <w:pPr>
              <w:spacing w:after="166" w:afterLines="50"/>
              <w:jc w:val="center"/>
              <w:rPr>
                <w:rFonts w:hAnsi="宋体" w:cs="宋体"/>
                <w:szCs w:val="24"/>
                <w:highlight w:val="none"/>
              </w:rPr>
            </w:pPr>
            <w:r>
              <w:rPr>
                <w:rFonts w:hint="eastAsia" w:hAnsi="宋体" w:cs="宋体"/>
                <w:szCs w:val="24"/>
                <w:highlight w:val="none"/>
              </w:rPr>
              <w:t>16.1</w:t>
            </w:r>
          </w:p>
        </w:tc>
        <w:tc>
          <w:tcPr>
            <w:tcW w:w="4147" w:type="pct"/>
            <w:vAlign w:val="center"/>
          </w:tcPr>
          <w:p w14:paraId="691A0CCE">
            <w:pPr>
              <w:spacing w:line="360" w:lineRule="auto"/>
              <w:rPr>
                <w:rFonts w:hAnsi="宋体" w:cs="宋体"/>
                <w:szCs w:val="24"/>
                <w:highlight w:val="none"/>
              </w:rPr>
            </w:pPr>
            <w:r>
              <w:rPr>
                <w:rFonts w:hint="eastAsia" w:hAnsi="宋体" w:cs="宋体"/>
                <w:szCs w:val="24"/>
                <w:highlight w:val="none"/>
              </w:rPr>
              <w:t>正本的份数：壹份；副本的份数：贰份；开标一览表：壹份；电子版（U盘）：壹份（需在盘面上标注供应商全称、项目名称、编号）。</w:t>
            </w:r>
          </w:p>
          <w:p w14:paraId="43FC7EC7">
            <w:pPr>
              <w:spacing w:line="360" w:lineRule="auto"/>
              <w:rPr>
                <w:rFonts w:hAnsi="宋体" w:cs="宋体"/>
                <w:szCs w:val="24"/>
                <w:highlight w:val="none"/>
              </w:rPr>
            </w:pPr>
            <w:r>
              <w:rPr>
                <w:rFonts w:hint="eastAsia" w:hAnsi="宋体" w:cs="宋体"/>
                <w:b/>
                <w:bCs/>
                <w:szCs w:val="24"/>
                <w:highlight w:val="none"/>
              </w:rPr>
              <w:t>电子版为正本签字盖章后的PDF格式扫描件，与正本具有同等法律效力。</w:t>
            </w:r>
          </w:p>
        </w:tc>
      </w:tr>
      <w:tr w14:paraId="768D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332" w:type="pct"/>
            <w:vAlign w:val="center"/>
          </w:tcPr>
          <w:p w14:paraId="4AC1155A">
            <w:pPr>
              <w:spacing w:after="166" w:afterLines="50"/>
              <w:jc w:val="center"/>
              <w:rPr>
                <w:rFonts w:hAnsi="宋体" w:cs="宋体"/>
                <w:szCs w:val="24"/>
                <w:highlight w:val="none"/>
              </w:rPr>
            </w:pPr>
            <w:r>
              <w:rPr>
                <w:rFonts w:hint="eastAsia" w:hAnsi="宋体" w:cs="宋体"/>
                <w:szCs w:val="24"/>
                <w:highlight w:val="none"/>
              </w:rPr>
              <w:t>9</w:t>
            </w:r>
          </w:p>
        </w:tc>
        <w:tc>
          <w:tcPr>
            <w:tcW w:w="520" w:type="pct"/>
            <w:vAlign w:val="center"/>
          </w:tcPr>
          <w:p w14:paraId="36CE387C">
            <w:pPr>
              <w:spacing w:after="166" w:afterLines="50"/>
              <w:jc w:val="center"/>
              <w:rPr>
                <w:rFonts w:hAnsi="宋体" w:cs="宋体"/>
                <w:szCs w:val="24"/>
                <w:highlight w:val="none"/>
              </w:rPr>
            </w:pPr>
            <w:r>
              <w:rPr>
                <w:rFonts w:hint="eastAsia" w:hAnsi="宋体" w:cs="宋体"/>
                <w:szCs w:val="24"/>
                <w:highlight w:val="none"/>
              </w:rPr>
              <w:t>17.2</w:t>
            </w:r>
          </w:p>
        </w:tc>
        <w:tc>
          <w:tcPr>
            <w:tcW w:w="4147" w:type="pct"/>
            <w:vAlign w:val="center"/>
          </w:tcPr>
          <w:p w14:paraId="08CDFFCF">
            <w:pPr>
              <w:spacing w:line="360" w:lineRule="auto"/>
              <w:rPr>
                <w:rFonts w:hAnsi="宋体" w:cs="宋体"/>
                <w:szCs w:val="24"/>
                <w:highlight w:val="none"/>
              </w:rPr>
            </w:pPr>
            <w:r>
              <w:rPr>
                <w:rFonts w:hint="eastAsia" w:hAnsi="宋体" w:cs="宋体"/>
                <w:szCs w:val="24"/>
                <w:highlight w:val="none"/>
              </w:rPr>
              <w:t>投标文件正本、所有的副本、电子版本、开标一览表需分开密封装在单独的封袋中（封袋不得有破损），且在封袋正面标明“正本”“副本”“电子版本”“开标一览表”字样。封袋应加贴封条，并在封线处加盖供应商公章，封袋正面要粘贴供应商全称、项目名称、编号等标识。</w:t>
            </w:r>
          </w:p>
          <w:p w14:paraId="2A401803">
            <w:pPr>
              <w:spacing w:line="360" w:lineRule="auto"/>
              <w:rPr>
                <w:rFonts w:hAnsi="宋体"/>
                <w:szCs w:val="24"/>
                <w:highlight w:val="none"/>
              </w:rPr>
            </w:pPr>
            <w:r>
              <w:rPr>
                <w:rFonts w:hAnsi="宋体"/>
                <w:szCs w:val="24"/>
                <w:highlight w:val="none"/>
              </w:rPr>
              <w:t>外层包装请按以下要求标记：</w:t>
            </w:r>
          </w:p>
          <w:p w14:paraId="7D7559C0">
            <w:pPr>
              <w:spacing w:line="360" w:lineRule="auto"/>
              <w:ind w:firstLine="480" w:firstLineChars="200"/>
              <w:rPr>
                <w:rFonts w:hAnsi="宋体"/>
                <w:szCs w:val="24"/>
                <w:highlight w:val="none"/>
              </w:rPr>
            </w:pPr>
            <w:r>
              <w:rPr>
                <w:rFonts w:hAnsi="宋体"/>
                <w:szCs w:val="24"/>
                <w:highlight w:val="none"/>
              </w:rPr>
              <w:t xml:space="preserve">1) </w:t>
            </w:r>
            <w:r>
              <w:rPr>
                <w:rFonts w:hint="eastAsia" w:hAnsi="宋体"/>
                <w:szCs w:val="24"/>
                <w:highlight w:val="none"/>
              </w:rPr>
              <w:t>投标人</w:t>
            </w:r>
            <w:r>
              <w:rPr>
                <w:rFonts w:hAnsi="宋体"/>
                <w:szCs w:val="24"/>
                <w:highlight w:val="none"/>
              </w:rPr>
              <w:t>全称</w:t>
            </w:r>
            <w:r>
              <w:rPr>
                <w:rFonts w:hint="eastAsia" w:hAnsi="宋体"/>
                <w:szCs w:val="24"/>
                <w:highlight w:val="none"/>
              </w:rPr>
              <w:t>（加盖公章）</w:t>
            </w:r>
            <w:r>
              <w:rPr>
                <w:rFonts w:hAnsi="宋体"/>
                <w:szCs w:val="24"/>
                <w:highlight w:val="none"/>
              </w:rPr>
              <w:t>；</w:t>
            </w:r>
          </w:p>
          <w:p w14:paraId="2C61C256">
            <w:pPr>
              <w:spacing w:line="360" w:lineRule="auto"/>
              <w:ind w:firstLine="480" w:firstLineChars="200"/>
              <w:rPr>
                <w:rFonts w:hAnsi="宋体"/>
                <w:szCs w:val="24"/>
                <w:highlight w:val="none"/>
              </w:rPr>
            </w:pPr>
            <w:r>
              <w:rPr>
                <w:rFonts w:hAnsi="宋体"/>
                <w:szCs w:val="24"/>
                <w:highlight w:val="none"/>
              </w:rPr>
              <w:t xml:space="preserve">2) </w:t>
            </w:r>
            <w:r>
              <w:rPr>
                <w:rFonts w:hint="eastAsia" w:hAnsi="宋体"/>
                <w:szCs w:val="24"/>
                <w:highlight w:val="none"/>
              </w:rPr>
              <w:t>项目</w:t>
            </w:r>
            <w:r>
              <w:rPr>
                <w:rFonts w:hAnsi="宋体"/>
                <w:szCs w:val="24"/>
                <w:highlight w:val="none"/>
              </w:rPr>
              <w:t>名称、项目</w:t>
            </w:r>
            <w:r>
              <w:rPr>
                <w:rFonts w:hint="eastAsia" w:hAnsi="宋体"/>
                <w:szCs w:val="24"/>
                <w:highlight w:val="none"/>
              </w:rPr>
              <w:t>编号；</w:t>
            </w:r>
          </w:p>
          <w:p w14:paraId="0C040B1A">
            <w:pPr>
              <w:spacing w:line="360" w:lineRule="auto"/>
              <w:ind w:left="240" w:leftChars="100" w:firstLine="240" w:firstLineChars="100"/>
              <w:rPr>
                <w:rFonts w:hAnsi="宋体" w:cs="宋体"/>
                <w:szCs w:val="24"/>
                <w:highlight w:val="none"/>
              </w:rPr>
            </w:pPr>
            <w:r>
              <w:rPr>
                <w:rFonts w:hAnsi="宋体"/>
                <w:szCs w:val="24"/>
                <w:highlight w:val="none"/>
              </w:rPr>
              <w:t>3）正本</w:t>
            </w:r>
            <w:r>
              <w:rPr>
                <w:rFonts w:hint="eastAsia" w:hAnsi="宋体"/>
                <w:szCs w:val="24"/>
                <w:highlight w:val="none"/>
              </w:rPr>
              <w:t>、</w:t>
            </w:r>
            <w:r>
              <w:rPr>
                <w:rFonts w:hAnsi="宋体"/>
                <w:szCs w:val="24"/>
                <w:highlight w:val="none"/>
              </w:rPr>
              <w:t>副本</w:t>
            </w:r>
            <w:r>
              <w:rPr>
                <w:rFonts w:hint="eastAsia" w:hAnsi="宋体"/>
                <w:szCs w:val="24"/>
                <w:highlight w:val="none"/>
              </w:rPr>
              <w:t>、电子版、报价一览表</w:t>
            </w:r>
            <w:r>
              <w:rPr>
                <w:rFonts w:hAnsi="宋体"/>
                <w:szCs w:val="24"/>
                <w:highlight w:val="none"/>
              </w:rPr>
              <w:t>“</w:t>
            </w:r>
            <w:r>
              <w:rPr>
                <w:rFonts w:hint="eastAsia" w:hAnsi="宋体"/>
                <w:szCs w:val="24"/>
                <w:highlight w:val="none"/>
              </w:rPr>
              <w:t>请勿在＿＿＿＿(开标时间)之前启封</w:t>
            </w:r>
            <w:r>
              <w:rPr>
                <w:rFonts w:hAnsi="宋体"/>
                <w:szCs w:val="24"/>
                <w:highlight w:val="none"/>
              </w:rPr>
              <w:t>”。</w:t>
            </w:r>
          </w:p>
        </w:tc>
      </w:tr>
      <w:tr w14:paraId="32E7E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332" w:type="pct"/>
            <w:vAlign w:val="center"/>
          </w:tcPr>
          <w:p w14:paraId="3124FB79">
            <w:pPr>
              <w:spacing w:after="166" w:afterLines="50"/>
              <w:jc w:val="center"/>
              <w:rPr>
                <w:rFonts w:hAnsi="宋体" w:cs="宋体"/>
                <w:szCs w:val="24"/>
                <w:highlight w:val="none"/>
              </w:rPr>
            </w:pPr>
            <w:r>
              <w:rPr>
                <w:rFonts w:hint="eastAsia" w:hAnsi="宋体" w:cs="宋体"/>
                <w:szCs w:val="24"/>
                <w:highlight w:val="none"/>
              </w:rPr>
              <w:t>10</w:t>
            </w:r>
          </w:p>
        </w:tc>
        <w:tc>
          <w:tcPr>
            <w:tcW w:w="520" w:type="pct"/>
            <w:vAlign w:val="center"/>
          </w:tcPr>
          <w:p w14:paraId="7D711A17">
            <w:pPr>
              <w:spacing w:after="166" w:afterLines="50"/>
              <w:jc w:val="center"/>
              <w:rPr>
                <w:rFonts w:hAnsi="宋体" w:cs="宋体"/>
                <w:szCs w:val="24"/>
                <w:highlight w:val="none"/>
              </w:rPr>
            </w:pPr>
            <w:r>
              <w:rPr>
                <w:rFonts w:hint="eastAsia" w:hAnsi="宋体" w:cs="宋体"/>
                <w:szCs w:val="24"/>
                <w:highlight w:val="none"/>
              </w:rPr>
              <w:t>18.1</w:t>
            </w:r>
          </w:p>
        </w:tc>
        <w:tc>
          <w:tcPr>
            <w:tcW w:w="4147" w:type="pct"/>
          </w:tcPr>
          <w:p w14:paraId="1B2A8E7B">
            <w:pPr>
              <w:spacing w:line="360" w:lineRule="auto"/>
              <w:rPr>
                <w:rFonts w:cs="宋体"/>
                <w:highlight w:val="none"/>
              </w:rPr>
            </w:pPr>
            <w:r>
              <w:rPr>
                <w:rFonts w:hint="eastAsia" w:cs="宋体"/>
                <w:highlight w:val="none"/>
              </w:rPr>
              <w:t>投标文件递交截止时间</w:t>
            </w:r>
            <w:bookmarkStart w:id="31" w:name="OLE_LINK12"/>
            <w:r>
              <w:rPr>
                <w:rFonts w:hint="eastAsia" w:cs="宋体"/>
                <w:highlight w:val="none"/>
              </w:rPr>
              <w:t>：</w:t>
            </w:r>
            <w:bookmarkEnd w:id="31"/>
            <w:r>
              <w:rPr>
                <w:rFonts w:hint="eastAsia" w:cs="宋体"/>
                <w:highlight w:val="none"/>
              </w:rPr>
              <w:t>详见</w:t>
            </w:r>
            <w:r>
              <w:rPr>
                <w:rFonts w:hint="eastAsia" w:hAnsi="宋体"/>
                <w:szCs w:val="24"/>
                <w:highlight w:val="none"/>
              </w:rPr>
              <w:t>招标公告</w:t>
            </w:r>
          </w:p>
          <w:p w14:paraId="09F9D18E">
            <w:pPr>
              <w:spacing w:line="360" w:lineRule="auto"/>
              <w:rPr>
                <w:rFonts w:hAnsi="宋体" w:cs="宋体"/>
                <w:szCs w:val="24"/>
                <w:highlight w:val="none"/>
              </w:rPr>
            </w:pPr>
            <w:r>
              <w:rPr>
                <w:rFonts w:hint="eastAsia" w:hAnsi="宋体" w:cs="宋体"/>
                <w:szCs w:val="24"/>
                <w:highlight w:val="none"/>
              </w:rPr>
              <w:t>投标文件递交地址：陕西省西安市经济技术开发区未央路171-1号银池道拉斯财富中心21楼。</w:t>
            </w:r>
          </w:p>
          <w:p w14:paraId="72F56B52">
            <w:pPr>
              <w:spacing w:line="360" w:lineRule="auto"/>
              <w:rPr>
                <w:rFonts w:hAnsi="宋体" w:cs="宋体"/>
                <w:szCs w:val="24"/>
                <w:highlight w:val="none"/>
              </w:rPr>
            </w:pPr>
            <w:r>
              <w:rPr>
                <w:rFonts w:hint="eastAsia" w:hAnsi="宋体" w:cs="宋体"/>
                <w:szCs w:val="24"/>
                <w:highlight w:val="none"/>
              </w:rPr>
              <w:t>投标文件接收人：陕西至诚项目管理集团有限公司。</w:t>
            </w:r>
          </w:p>
        </w:tc>
      </w:tr>
      <w:tr w14:paraId="0934F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332" w:type="pct"/>
            <w:vAlign w:val="center"/>
          </w:tcPr>
          <w:p w14:paraId="57A058A3">
            <w:pPr>
              <w:spacing w:after="166" w:afterLines="50"/>
              <w:jc w:val="center"/>
              <w:rPr>
                <w:rFonts w:hAnsi="宋体" w:cs="宋体"/>
                <w:szCs w:val="24"/>
                <w:highlight w:val="none"/>
              </w:rPr>
            </w:pPr>
            <w:r>
              <w:rPr>
                <w:rFonts w:hint="eastAsia" w:hAnsi="宋体" w:cs="宋体"/>
                <w:szCs w:val="24"/>
                <w:highlight w:val="none"/>
              </w:rPr>
              <w:t>11</w:t>
            </w:r>
          </w:p>
        </w:tc>
        <w:tc>
          <w:tcPr>
            <w:tcW w:w="520" w:type="pct"/>
            <w:vAlign w:val="center"/>
          </w:tcPr>
          <w:p w14:paraId="67BFFB35">
            <w:pPr>
              <w:spacing w:after="166" w:afterLines="50"/>
              <w:jc w:val="center"/>
              <w:rPr>
                <w:rFonts w:hAnsi="宋体" w:cs="宋体"/>
                <w:szCs w:val="24"/>
                <w:highlight w:val="none"/>
              </w:rPr>
            </w:pPr>
            <w:r>
              <w:rPr>
                <w:rFonts w:hint="eastAsia" w:hAnsi="宋体" w:cs="宋体"/>
                <w:szCs w:val="24"/>
                <w:highlight w:val="none"/>
              </w:rPr>
              <w:t>21.1</w:t>
            </w:r>
          </w:p>
        </w:tc>
        <w:tc>
          <w:tcPr>
            <w:tcW w:w="4147" w:type="pct"/>
          </w:tcPr>
          <w:p w14:paraId="782D602A">
            <w:pPr>
              <w:spacing w:line="360" w:lineRule="auto"/>
              <w:rPr>
                <w:rFonts w:hAnsi="宋体" w:cs="宋体"/>
                <w:szCs w:val="24"/>
                <w:highlight w:val="none"/>
              </w:rPr>
            </w:pPr>
            <w:r>
              <w:rPr>
                <w:rFonts w:hint="eastAsia" w:hAnsi="宋体" w:cs="宋体"/>
                <w:szCs w:val="24"/>
                <w:highlight w:val="none"/>
              </w:rPr>
              <w:t>开标时间：</w:t>
            </w:r>
            <w:r>
              <w:rPr>
                <w:rFonts w:hint="eastAsia" w:cs="宋体"/>
                <w:highlight w:val="none"/>
              </w:rPr>
              <w:t>详见</w:t>
            </w:r>
            <w:r>
              <w:rPr>
                <w:rFonts w:hint="eastAsia" w:hAnsi="宋体"/>
                <w:szCs w:val="24"/>
                <w:highlight w:val="none"/>
              </w:rPr>
              <w:t>招标公告</w:t>
            </w:r>
          </w:p>
          <w:p w14:paraId="29A14687">
            <w:pPr>
              <w:spacing w:line="360" w:lineRule="auto"/>
              <w:rPr>
                <w:rFonts w:hAnsi="宋体" w:cs="宋体"/>
                <w:szCs w:val="24"/>
                <w:highlight w:val="none"/>
              </w:rPr>
            </w:pPr>
            <w:r>
              <w:rPr>
                <w:rFonts w:hint="eastAsia" w:hAnsi="宋体" w:cs="宋体"/>
                <w:szCs w:val="24"/>
                <w:highlight w:val="none"/>
              </w:rPr>
              <w:t>开标地点：陕西省西安市经济技术开发区未央路171-1号银池道拉斯财富中心21楼</w:t>
            </w:r>
          </w:p>
        </w:tc>
      </w:tr>
      <w:tr w14:paraId="409FA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332" w:type="pct"/>
            <w:vAlign w:val="center"/>
          </w:tcPr>
          <w:p w14:paraId="06379549">
            <w:pPr>
              <w:jc w:val="center"/>
              <w:rPr>
                <w:rFonts w:hAnsi="宋体" w:cs="宋体"/>
                <w:szCs w:val="24"/>
                <w:highlight w:val="none"/>
              </w:rPr>
            </w:pPr>
            <w:r>
              <w:rPr>
                <w:rFonts w:hint="eastAsia" w:hAnsi="宋体" w:cs="宋体"/>
                <w:szCs w:val="24"/>
                <w:highlight w:val="none"/>
              </w:rPr>
              <w:t>12</w:t>
            </w:r>
          </w:p>
        </w:tc>
        <w:tc>
          <w:tcPr>
            <w:tcW w:w="520" w:type="pct"/>
            <w:vAlign w:val="center"/>
          </w:tcPr>
          <w:p w14:paraId="709A3A74">
            <w:pPr>
              <w:jc w:val="center"/>
              <w:rPr>
                <w:rFonts w:hAnsi="宋体" w:cs="宋体"/>
                <w:szCs w:val="24"/>
                <w:highlight w:val="none"/>
              </w:rPr>
            </w:pPr>
            <w:r>
              <w:rPr>
                <w:rFonts w:hint="eastAsia" w:hAnsi="宋体" w:cs="宋体"/>
                <w:szCs w:val="24"/>
                <w:highlight w:val="none"/>
              </w:rPr>
              <w:t>24.1</w:t>
            </w:r>
          </w:p>
        </w:tc>
        <w:tc>
          <w:tcPr>
            <w:tcW w:w="4147" w:type="pct"/>
            <w:vAlign w:val="center"/>
          </w:tcPr>
          <w:p w14:paraId="0C053E76">
            <w:pPr>
              <w:jc w:val="left"/>
              <w:rPr>
                <w:rFonts w:hAnsi="宋体" w:cs="宋体"/>
                <w:b/>
                <w:bCs/>
                <w:szCs w:val="24"/>
                <w:highlight w:val="none"/>
              </w:rPr>
            </w:pPr>
            <w:r>
              <w:rPr>
                <w:rFonts w:hint="eastAsia" w:hAnsi="宋体" w:cs="宋体"/>
                <w:b/>
                <w:bCs/>
                <w:szCs w:val="24"/>
                <w:highlight w:val="none"/>
              </w:rPr>
              <w:t>评标方法：综合评分法（详见第五章）</w:t>
            </w:r>
          </w:p>
        </w:tc>
      </w:tr>
      <w:tr w14:paraId="2860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04" w:hRule="atLeast"/>
          <w:jc w:val="center"/>
        </w:trPr>
        <w:tc>
          <w:tcPr>
            <w:tcW w:w="332" w:type="pct"/>
            <w:vAlign w:val="center"/>
          </w:tcPr>
          <w:p w14:paraId="70F8E1D5">
            <w:pPr>
              <w:jc w:val="center"/>
              <w:rPr>
                <w:rFonts w:hAnsi="宋体" w:cs="宋体"/>
                <w:szCs w:val="24"/>
                <w:highlight w:val="none"/>
              </w:rPr>
            </w:pPr>
            <w:r>
              <w:rPr>
                <w:rFonts w:hint="eastAsia" w:hAnsi="宋体" w:cs="宋体"/>
                <w:szCs w:val="24"/>
                <w:highlight w:val="none"/>
              </w:rPr>
              <w:t>13</w:t>
            </w:r>
          </w:p>
        </w:tc>
        <w:tc>
          <w:tcPr>
            <w:tcW w:w="520" w:type="pct"/>
            <w:vAlign w:val="center"/>
          </w:tcPr>
          <w:p w14:paraId="3F03170B">
            <w:pPr>
              <w:jc w:val="center"/>
              <w:rPr>
                <w:rFonts w:hAnsi="宋体" w:cs="宋体"/>
                <w:szCs w:val="24"/>
                <w:highlight w:val="none"/>
              </w:rPr>
            </w:pPr>
            <w:r>
              <w:rPr>
                <w:rFonts w:hint="eastAsia" w:hAnsi="宋体" w:cs="宋体"/>
                <w:szCs w:val="24"/>
                <w:highlight w:val="none"/>
              </w:rPr>
              <w:t>29</w:t>
            </w:r>
          </w:p>
        </w:tc>
        <w:tc>
          <w:tcPr>
            <w:tcW w:w="4147" w:type="pct"/>
            <w:vAlign w:val="center"/>
          </w:tcPr>
          <w:p w14:paraId="5D9AA92B">
            <w:pPr>
              <w:spacing w:line="520" w:lineRule="exact"/>
              <w:rPr>
                <w:rFonts w:hAnsi="宋体" w:cs="宋体"/>
                <w:szCs w:val="24"/>
                <w:highlight w:val="none"/>
              </w:rPr>
            </w:pPr>
            <w:r>
              <w:rPr>
                <w:rFonts w:hint="eastAsia" w:hAnsi="宋体" w:cs="宋体"/>
                <w:szCs w:val="24"/>
                <w:highlight w:val="none"/>
              </w:rPr>
              <w:t xml:space="preserve">招标代理服务费： </w:t>
            </w:r>
          </w:p>
          <w:p w14:paraId="5E39240F">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招标代理服务费的计算方法：以中标金额为基数，依据国家计委颁布《招标代理服务收费管理暂行办法》（计价格[2002]1980号）文件的有关规定执行。</w:t>
            </w:r>
          </w:p>
          <w:p w14:paraId="05394B06">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中标单位在领取中标通知书前，须向采购代理机构一次性支付招标代理服务费。</w:t>
            </w:r>
          </w:p>
        </w:tc>
      </w:tr>
      <w:tr w14:paraId="37B3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1" w:hRule="atLeast"/>
          <w:jc w:val="center"/>
        </w:trPr>
        <w:tc>
          <w:tcPr>
            <w:tcW w:w="332" w:type="pct"/>
            <w:vAlign w:val="center"/>
          </w:tcPr>
          <w:p w14:paraId="6B6D0174">
            <w:pPr>
              <w:jc w:val="center"/>
              <w:rPr>
                <w:rFonts w:hAnsi="宋体" w:cs="宋体"/>
                <w:szCs w:val="24"/>
                <w:highlight w:val="none"/>
              </w:rPr>
            </w:pPr>
            <w:r>
              <w:rPr>
                <w:rFonts w:hint="eastAsia" w:hAnsi="宋体" w:cs="宋体"/>
                <w:szCs w:val="24"/>
                <w:highlight w:val="none"/>
              </w:rPr>
              <w:t>14</w:t>
            </w:r>
          </w:p>
        </w:tc>
        <w:tc>
          <w:tcPr>
            <w:tcW w:w="520" w:type="pct"/>
            <w:vAlign w:val="center"/>
          </w:tcPr>
          <w:p w14:paraId="31ED8A22">
            <w:pPr>
              <w:jc w:val="center"/>
              <w:rPr>
                <w:rFonts w:hAnsi="宋体" w:cs="宋体"/>
                <w:szCs w:val="24"/>
                <w:highlight w:val="none"/>
              </w:rPr>
            </w:pPr>
            <w:r>
              <w:rPr>
                <w:rFonts w:hint="eastAsia" w:hAnsi="宋体" w:cs="宋体"/>
                <w:szCs w:val="24"/>
                <w:highlight w:val="none"/>
              </w:rPr>
              <w:t>投标保证金</w:t>
            </w:r>
          </w:p>
        </w:tc>
        <w:tc>
          <w:tcPr>
            <w:tcW w:w="4147" w:type="pct"/>
            <w:vAlign w:val="center"/>
          </w:tcPr>
          <w:p w14:paraId="7947F7E0">
            <w:pPr>
              <w:spacing w:line="360" w:lineRule="auto"/>
              <w:rPr>
                <w:rFonts w:hAnsi="宋体" w:cs="宋体"/>
                <w:szCs w:val="24"/>
                <w:highlight w:val="none"/>
              </w:rPr>
            </w:pPr>
            <w:r>
              <w:rPr>
                <w:rFonts w:hint="eastAsia" w:hAnsi="宋体" w:cs="宋体"/>
                <w:szCs w:val="24"/>
                <w:highlight w:val="none"/>
              </w:rPr>
              <w:t>本次投标活动不缴纳投标保证金。</w:t>
            </w:r>
          </w:p>
        </w:tc>
      </w:tr>
      <w:tr w14:paraId="41C9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45" w:hRule="atLeast"/>
          <w:jc w:val="center"/>
        </w:trPr>
        <w:tc>
          <w:tcPr>
            <w:tcW w:w="332" w:type="pct"/>
            <w:vAlign w:val="center"/>
          </w:tcPr>
          <w:p w14:paraId="7E00E40F">
            <w:pPr>
              <w:jc w:val="center"/>
              <w:rPr>
                <w:rFonts w:hAnsi="宋体" w:cs="宋体"/>
                <w:b/>
                <w:bCs/>
                <w:szCs w:val="24"/>
                <w:highlight w:val="none"/>
              </w:rPr>
            </w:pPr>
            <w:r>
              <w:rPr>
                <w:rFonts w:hint="eastAsia" w:hAnsi="宋体" w:cs="宋体"/>
                <w:b/>
                <w:bCs/>
                <w:szCs w:val="24"/>
                <w:highlight w:val="none"/>
              </w:rPr>
              <w:t>15</w:t>
            </w:r>
          </w:p>
        </w:tc>
        <w:tc>
          <w:tcPr>
            <w:tcW w:w="520" w:type="pct"/>
            <w:vAlign w:val="center"/>
          </w:tcPr>
          <w:p w14:paraId="2E7E0A98">
            <w:pPr>
              <w:spacing w:line="440" w:lineRule="exact"/>
              <w:jc w:val="center"/>
              <w:rPr>
                <w:rFonts w:hAnsi="宋体" w:cs="宋体"/>
                <w:b/>
                <w:bCs/>
                <w:szCs w:val="24"/>
                <w:highlight w:val="none"/>
              </w:rPr>
            </w:pPr>
            <w:r>
              <w:rPr>
                <w:rFonts w:hint="eastAsia" w:hAnsi="宋体" w:cs="宋体"/>
                <w:b/>
                <w:bCs/>
                <w:szCs w:val="24"/>
                <w:highlight w:val="none"/>
              </w:rPr>
              <w:t>银行</w:t>
            </w:r>
          </w:p>
          <w:p w14:paraId="51FDE640">
            <w:pPr>
              <w:spacing w:line="440" w:lineRule="exact"/>
              <w:jc w:val="center"/>
              <w:rPr>
                <w:rFonts w:hAnsi="宋体" w:cs="宋体"/>
                <w:b/>
                <w:bCs/>
                <w:szCs w:val="24"/>
                <w:highlight w:val="none"/>
              </w:rPr>
            </w:pPr>
            <w:r>
              <w:rPr>
                <w:rFonts w:hint="eastAsia" w:hAnsi="宋体" w:cs="宋体"/>
                <w:b/>
                <w:bCs/>
                <w:szCs w:val="24"/>
                <w:highlight w:val="none"/>
              </w:rPr>
              <w:t>账户</w:t>
            </w:r>
          </w:p>
          <w:p w14:paraId="272EAAC5">
            <w:pPr>
              <w:spacing w:line="440" w:lineRule="exact"/>
              <w:jc w:val="center"/>
              <w:rPr>
                <w:rFonts w:hAnsi="宋体" w:cs="宋体"/>
                <w:b/>
                <w:bCs/>
                <w:szCs w:val="24"/>
                <w:highlight w:val="none"/>
              </w:rPr>
            </w:pPr>
            <w:r>
              <w:rPr>
                <w:rFonts w:hint="eastAsia" w:hAnsi="宋体" w:cs="宋体"/>
                <w:b/>
                <w:bCs/>
                <w:szCs w:val="24"/>
                <w:highlight w:val="none"/>
              </w:rPr>
              <w:t>信息</w:t>
            </w:r>
          </w:p>
        </w:tc>
        <w:tc>
          <w:tcPr>
            <w:tcW w:w="4147" w:type="pct"/>
            <w:vAlign w:val="center"/>
          </w:tcPr>
          <w:p w14:paraId="2B9DE04F">
            <w:pPr>
              <w:spacing w:line="440" w:lineRule="exact"/>
              <w:rPr>
                <w:rFonts w:hAnsi="宋体" w:cs="宋体"/>
                <w:b/>
                <w:bCs/>
                <w:szCs w:val="24"/>
                <w:highlight w:val="none"/>
              </w:rPr>
            </w:pPr>
            <w:r>
              <w:rPr>
                <w:rFonts w:hint="eastAsia" w:hAnsi="宋体" w:cs="宋体"/>
                <w:b/>
                <w:bCs/>
                <w:szCs w:val="24"/>
                <w:highlight w:val="none"/>
              </w:rPr>
              <w:t>招标代理服务费账户：</w:t>
            </w:r>
          </w:p>
          <w:p w14:paraId="22F637E4">
            <w:pPr>
              <w:spacing w:line="440" w:lineRule="exact"/>
              <w:ind w:firstLine="480" w:firstLineChars="200"/>
              <w:rPr>
                <w:rFonts w:hAnsi="宋体" w:cs="宋体"/>
                <w:szCs w:val="24"/>
                <w:highlight w:val="none"/>
              </w:rPr>
            </w:pPr>
            <w:r>
              <w:rPr>
                <w:rFonts w:hint="eastAsia" w:hAnsi="宋体" w:cs="宋体"/>
                <w:szCs w:val="24"/>
                <w:highlight w:val="none"/>
              </w:rPr>
              <w:t>户名：陕西至诚项目管理集团有限公司</w:t>
            </w:r>
          </w:p>
          <w:p w14:paraId="76628AD7">
            <w:pPr>
              <w:spacing w:line="440" w:lineRule="exact"/>
              <w:ind w:firstLine="480" w:firstLineChars="200"/>
              <w:rPr>
                <w:rFonts w:hAnsi="宋体" w:cs="宋体"/>
                <w:szCs w:val="24"/>
                <w:highlight w:val="none"/>
              </w:rPr>
            </w:pPr>
            <w:r>
              <w:rPr>
                <w:rFonts w:hint="eastAsia" w:hAnsi="宋体" w:cs="宋体"/>
                <w:szCs w:val="24"/>
                <w:highlight w:val="none"/>
              </w:rPr>
              <w:t>开户行：中国建设银行股份有限公司西安高新技术产业开发区支行</w:t>
            </w:r>
          </w:p>
          <w:p w14:paraId="0798EC43">
            <w:pPr>
              <w:spacing w:line="440" w:lineRule="exact"/>
              <w:ind w:firstLine="480" w:firstLineChars="200"/>
              <w:rPr>
                <w:rFonts w:hAnsi="宋体" w:cs="宋体"/>
                <w:szCs w:val="24"/>
                <w:highlight w:val="none"/>
              </w:rPr>
            </w:pPr>
            <w:r>
              <w:rPr>
                <w:rFonts w:hint="eastAsia" w:hAnsi="宋体" w:cs="宋体"/>
                <w:szCs w:val="24"/>
                <w:highlight w:val="none"/>
              </w:rPr>
              <w:t>账号：61050192090000002152</w:t>
            </w:r>
          </w:p>
          <w:p w14:paraId="4BC4FD9C">
            <w:pPr>
              <w:spacing w:line="440" w:lineRule="exact"/>
              <w:ind w:firstLine="482" w:firstLineChars="200"/>
              <w:rPr>
                <w:rFonts w:hAnsi="宋体" w:cs="宋体"/>
                <w:szCs w:val="24"/>
                <w:highlight w:val="none"/>
              </w:rPr>
            </w:pPr>
            <w:r>
              <w:rPr>
                <w:rFonts w:hint="eastAsia" w:hAnsi="宋体" w:cs="宋体"/>
                <w:b/>
                <w:bCs/>
                <w:szCs w:val="24"/>
                <w:highlight w:val="none"/>
              </w:rPr>
              <w:t>请按照要求将招标代理服务费汇入以上指定账户，如因自身原因发生错误，产生的不利后果均由供应商自行承担。</w:t>
            </w:r>
          </w:p>
        </w:tc>
      </w:tr>
      <w:tr w14:paraId="0B23A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4" w:hRule="atLeast"/>
          <w:jc w:val="center"/>
        </w:trPr>
        <w:tc>
          <w:tcPr>
            <w:tcW w:w="332" w:type="pct"/>
            <w:vAlign w:val="center"/>
          </w:tcPr>
          <w:p w14:paraId="008F24AA">
            <w:pPr>
              <w:widowControl/>
              <w:spacing w:line="360" w:lineRule="auto"/>
              <w:jc w:val="center"/>
              <w:rPr>
                <w:rFonts w:hint="eastAsia" w:hAnsi="宋体" w:eastAsia="宋体"/>
                <w:b/>
                <w:bCs/>
                <w:szCs w:val="24"/>
                <w:highlight w:val="none"/>
                <w:lang w:eastAsia="zh-CN"/>
              </w:rPr>
            </w:pPr>
            <w:r>
              <w:rPr>
                <w:rFonts w:hint="eastAsia" w:hAnsi="宋体"/>
                <w:b/>
                <w:bCs/>
                <w:szCs w:val="24"/>
                <w:highlight w:val="none"/>
              </w:rPr>
              <w:t>1</w:t>
            </w:r>
            <w:r>
              <w:rPr>
                <w:rFonts w:hint="eastAsia" w:hAnsi="宋体"/>
                <w:b/>
                <w:bCs/>
                <w:szCs w:val="24"/>
                <w:highlight w:val="none"/>
                <w:lang w:val="en-US" w:eastAsia="zh-CN"/>
              </w:rPr>
              <w:t>6</w:t>
            </w:r>
          </w:p>
        </w:tc>
        <w:tc>
          <w:tcPr>
            <w:tcW w:w="520" w:type="pct"/>
            <w:vAlign w:val="center"/>
          </w:tcPr>
          <w:p w14:paraId="1977545D">
            <w:pPr>
              <w:widowControl/>
              <w:spacing w:line="360" w:lineRule="auto"/>
              <w:jc w:val="center"/>
              <w:rPr>
                <w:rFonts w:hAnsi="宋体"/>
                <w:b/>
                <w:bCs/>
                <w:szCs w:val="24"/>
                <w:highlight w:val="none"/>
              </w:rPr>
            </w:pPr>
            <w:r>
              <w:rPr>
                <w:rFonts w:hint="eastAsia" w:hAnsi="宋体"/>
                <w:b/>
                <w:bCs/>
                <w:szCs w:val="24"/>
                <w:highlight w:val="none"/>
              </w:rPr>
              <w:t>项目</w:t>
            </w:r>
          </w:p>
          <w:p w14:paraId="785FFF2F">
            <w:pPr>
              <w:widowControl/>
              <w:spacing w:line="360" w:lineRule="auto"/>
              <w:jc w:val="center"/>
              <w:rPr>
                <w:rFonts w:hAnsi="宋体"/>
                <w:b/>
                <w:bCs/>
                <w:szCs w:val="24"/>
                <w:highlight w:val="none"/>
              </w:rPr>
            </w:pPr>
            <w:r>
              <w:rPr>
                <w:rFonts w:hint="eastAsia" w:hAnsi="宋体"/>
                <w:b/>
                <w:bCs/>
                <w:szCs w:val="24"/>
                <w:highlight w:val="none"/>
              </w:rPr>
              <w:t>性质</w:t>
            </w:r>
          </w:p>
        </w:tc>
        <w:tc>
          <w:tcPr>
            <w:tcW w:w="4147" w:type="pct"/>
            <w:vAlign w:val="center"/>
          </w:tcPr>
          <w:p w14:paraId="60DB4AB1">
            <w:pPr>
              <w:spacing w:line="360" w:lineRule="auto"/>
              <w:rPr>
                <w:rFonts w:hAnsi="宋体"/>
                <w:b/>
                <w:bCs/>
                <w:szCs w:val="24"/>
                <w:highlight w:val="none"/>
              </w:rPr>
            </w:pPr>
            <w:r>
              <w:rPr>
                <w:rFonts w:hint="eastAsia" w:hAnsi="宋体"/>
                <w:b/>
                <w:bCs/>
                <w:szCs w:val="24"/>
                <w:highlight w:val="none"/>
              </w:rPr>
              <w:t>本项目</w:t>
            </w:r>
            <w:r>
              <w:rPr>
                <w:rFonts w:hint="eastAsia" w:hAnsi="宋体"/>
                <w:b/>
                <w:bCs/>
                <w:szCs w:val="24"/>
                <w:highlight w:val="none"/>
                <w:lang w:val="en-US" w:eastAsia="zh-CN"/>
              </w:rPr>
              <w:t>非</w:t>
            </w:r>
            <w:r>
              <w:rPr>
                <w:rFonts w:hint="eastAsia" w:hAnsi="宋体"/>
                <w:b/>
                <w:bCs/>
                <w:szCs w:val="24"/>
                <w:highlight w:val="none"/>
              </w:rPr>
              <w:t>专门面向中小企业。</w:t>
            </w:r>
          </w:p>
        </w:tc>
      </w:tr>
      <w:tr w14:paraId="6F11E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4" w:hRule="atLeast"/>
          <w:jc w:val="center"/>
        </w:trPr>
        <w:tc>
          <w:tcPr>
            <w:tcW w:w="332" w:type="pct"/>
            <w:vAlign w:val="center"/>
          </w:tcPr>
          <w:p w14:paraId="3FB24AD6">
            <w:pPr>
              <w:widowControl/>
              <w:spacing w:line="360" w:lineRule="auto"/>
              <w:jc w:val="center"/>
              <w:rPr>
                <w:rFonts w:hint="eastAsia" w:hAnsi="宋体" w:eastAsia="宋体"/>
                <w:b/>
                <w:bCs/>
                <w:szCs w:val="24"/>
                <w:highlight w:val="none"/>
                <w:lang w:eastAsia="zh-CN"/>
              </w:rPr>
            </w:pPr>
            <w:r>
              <w:rPr>
                <w:rFonts w:hint="eastAsia" w:hAnsi="宋体"/>
                <w:b/>
                <w:bCs/>
                <w:szCs w:val="24"/>
                <w:highlight w:val="none"/>
              </w:rPr>
              <w:t>1</w:t>
            </w:r>
            <w:r>
              <w:rPr>
                <w:rFonts w:hint="eastAsia" w:hAnsi="宋体"/>
                <w:b/>
                <w:bCs/>
                <w:szCs w:val="24"/>
                <w:highlight w:val="none"/>
                <w:lang w:val="en-US" w:eastAsia="zh-CN"/>
              </w:rPr>
              <w:t>7</w:t>
            </w:r>
          </w:p>
        </w:tc>
        <w:tc>
          <w:tcPr>
            <w:tcW w:w="520" w:type="pct"/>
            <w:vAlign w:val="center"/>
          </w:tcPr>
          <w:p w14:paraId="23F4AEEE">
            <w:pPr>
              <w:widowControl/>
              <w:spacing w:line="360" w:lineRule="auto"/>
              <w:jc w:val="center"/>
              <w:rPr>
                <w:rFonts w:hAnsi="宋体"/>
                <w:b/>
                <w:bCs/>
                <w:szCs w:val="24"/>
                <w:highlight w:val="none"/>
              </w:rPr>
            </w:pPr>
            <w:r>
              <w:rPr>
                <w:rFonts w:hint="eastAsia" w:hAnsi="宋体"/>
                <w:b/>
                <w:bCs/>
                <w:szCs w:val="24"/>
                <w:highlight w:val="none"/>
              </w:rPr>
              <w:t>项目所属行业</w:t>
            </w:r>
          </w:p>
        </w:tc>
        <w:tc>
          <w:tcPr>
            <w:tcW w:w="4147" w:type="pct"/>
            <w:vAlign w:val="center"/>
          </w:tcPr>
          <w:p w14:paraId="64E1A02E">
            <w:pPr>
              <w:spacing w:line="360" w:lineRule="auto"/>
              <w:rPr>
                <w:rFonts w:hAnsi="宋体" w:cs="宋体"/>
                <w:b/>
                <w:bCs/>
                <w:szCs w:val="24"/>
                <w:highlight w:val="none"/>
              </w:rPr>
            </w:pPr>
            <w:r>
              <w:rPr>
                <w:rFonts w:hint="eastAsia" w:hAnsi="宋体" w:cs="宋体"/>
                <w:b/>
                <w:bCs/>
                <w:szCs w:val="24"/>
                <w:highlight w:val="none"/>
              </w:rPr>
              <w:t>软件和信息技术服务业</w:t>
            </w:r>
          </w:p>
        </w:tc>
      </w:tr>
      <w:tr w14:paraId="3E8D6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332" w:type="pct"/>
            <w:vAlign w:val="center"/>
          </w:tcPr>
          <w:p w14:paraId="7F34560B">
            <w:pPr>
              <w:widowControl/>
              <w:spacing w:line="360" w:lineRule="auto"/>
              <w:jc w:val="center"/>
              <w:rPr>
                <w:rFonts w:hint="default" w:hAnsi="宋体" w:eastAsia="宋体"/>
                <w:b/>
                <w:bCs/>
                <w:szCs w:val="24"/>
                <w:highlight w:val="none"/>
                <w:lang w:val="en-US" w:eastAsia="zh-CN"/>
              </w:rPr>
            </w:pPr>
            <w:r>
              <w:rPr>
                <w:rFonts w:hint="eastAsia" w:hAnsi="宋体"/>
                <w:b/>
                <w:bCs/>
                <w:szCs w:val="24"/>
                <w:highlight w:val="none"/>
                <w:lang w:val="en-US" w:eastAsia="zh-CN"/>
              </w:rPr>
              <w:t>18</w:t>
            </w:r>
          </w:p>
        </w:tc>
        <w:tc>
          <w:tcPr>
            <w:tcW w:w="520" w:type="pct"/>
            <w:vAlign w:val="center"/>
          </w:tcPr>
          <w:p w14:paraId="77F0829B">
            <w:pPr>
              <w:widowControl/>
              <w:spacing w:line="360" w:lineRule="auto"/>
              <w:jc w:val="center"/>
              <w:rPr>
                <w:rFonts w:hAnsi="宋体"/>
                <w:b/>
                <w:bCs/>
                <w:szCs w:val="24"/>
                <w:highlight w:val="none"/>
              </w:rPr>
            </w:pPr>
            <w:r>
              <w:rPr>
                <w:rFonts w:hint="eastAsia" w:hAnsi="宋体"/>
                <w:b/>
                <w:bCs/>
                <w:szCs w:val="24"/>
                <w:highlight w:val="none"/>
              </w:rPr>
              <w:t>其他</w:t>
            </w:r>
          </w:p>
        </w:tc>
        <w:tc>
          <w:tcPr>
            <w:tcW w:w="4147" w:type="pct"/>
            <w:vAlign w:val="center"/>
          </w:tcPr>
          <w:p w14:paraId="01FA4C0C">
            <w:pPr>
              <w:spacing w:line="360" w:lineRule="auto"/>
              <w:ind w:firstLine="482" w:firstLineChars="200"/>
              <w:rPr>
                <w:rFonts w:hAnsi="宋体" w:cs="宋体"/>
                <w:b/>
                <w:bCs/>
                <w:szCs w:val="24"/>
                <w:highlight w:val="none"/>
              </w:rPr>
            </w:pPr>
            <w:r>
              <w:rPr>
                <w:rFonts w:hint="eastAsia" w:hAnsi="宋体" w:cs="宋体"/>
                <w:b/>
                <w:bCs/>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57F9BA95">
            <w:pPr>
              <w:spacing w:line="360" w:lineRule="auto"/>
              <w:ind w:firstLine="482" w:firstLineChars="200"/>
              <w:rPr>
                <w:rFonts w:hAnsi="宋体" w:cs="宋体"/>
                <w:b/>
                <w:bCs/>
                <w:szCs w:val="24"/>
                <w:highlight w:val="none"/>
              </w:rPr>
            </w:pPr>
            <w:r>
              <w:rPr>
                <w:rFonts w:hint="eastAsia" w:hAnsi="宋体" w:cs="宋体"/>
                <w:b/>
                <w:bCs/>
                <w:szCs w:val="24"/>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48B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32" w:type="pct"/>
            <w:vAlign w:val="center"/>
          </w:tcPr>
          <w:p w14:paraId="6EF198A7">
            <w:pPr>
              <w:widowControl/>
              <w:spacing w:line="360" w:lineRule="auto"/>
              <w:jc w:val="center"/>
              <w:rPr>
                <w:rFonts w:hint="default" w:hAnsi="宋体" w:eastAsia="宋体"/>
                <w:b/>
                <w:bCs/>
                <w:szCs w:val="24"/>
                <w:highlight w:val="none"/>
                <w:lang w:val="en-US" w:eastAsia="zh-CN"/>
              </w:rPr>
            </w:pPr>
            <w:r>
              <w:rPr>
                <w:rFonts w:hint="eastAsia" w:hAnsi="宋体"/>
                <w:b/>
                <w:bCs/>
                <w:szCs w:val="24"/>
                <w:highlight w:val="none"/>
                <w:lang w:val="en-US" w:eastAsia="zh-CN"/>
              </w:rPr>
              <w:t>19</w:t>
            </w:r>
          </w:p>
        </w:tc>
        <w:tc>
          <w:tcPr>
            <w:tcW w:w="520" w:type="pct"/>
            <w:vAlign w:val="center"/>
          </w:tcPr>
          <w:p w14:paraId="2942AE0A">
            <w:pPr>
              <w:widowControl/>
              <w:spacing w:line="360" w:lineRule="auto"/>
              <w:jc w:val="center"/>
              <w:rPr>
                <w:rFonts w:hAnsi="宋体"/>
                <w:b/>
                <w:bCs/>
                <w:szCs w:val="24"/>
                <w:highlight w:val="none"/>
              </w:rPr>
            </w:pPr>
            <w:r>
              <w:rPr>
                <w:rFonts w:hint="eastAsia" w:hAnsi="宋体"/>
                <w:b/>
                <w:bCs/>
                <w:szCs w:val="24"/>
                <w:highlight w:val="none"/>
              </w:rPr>
              <w:t>备注</w:t>
            </w:r>
          </w:p>
        </w:tc>
        <w:tc>
          <w:tcPr>
            <w:tcW w:w="4147" w:type="pct"/>
            <w:vAlign w:val="center"/>
          </w:tcPr>
          <w:p w14:paraId="18A9F2D3">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72DEA7C">
            <w:pPr>
              <w:spacing w:line="500" w:lineRule="exact"/>
              <w:ind w:firstLine="482" w:firstLineChars="200"/>
              <w:rPr>
                <w:rFonts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bl>
    <w:p w14:paraId="7B6BA742">
      <w:pPr>
        <w:spacing w:before="333" w:beforeLines="100"/>
        <w:jc w:val="center"/>
        <w:rPr>
          <w:rFonts w:hAnsi="宋体" w:cs="宋体"/>
          <w:sz w:val="32"/>
          <w:szCs w:val="32"/>
          <w:highlight w:val="none"/>
        </w:rPr>
      </w:pPr>
      <w:r>
        <w:rPr>
          <w:rFonts w:hint="eastAsia" w:hAnsi="宋体" w:cs="宋体"/>
          <w:highlight w:val="none"/>
        </w:rPr>
        <w:br w:type="page"/>
      </w:r>
      <w:bookmarkEnd w:id="9"/>
      <w:bookmarkEnd w:id="10"/>
      <w:bookmarkEnd w:id="11"/>
      <w:bookmarkStart w:id="32" w:name="_Toc363473972"/>
      <w:bookmarkStart w:id="33" w:name="_Toc363474017"/>
      <w:bookmarkStart w:id="34" w:name="_Toc403077639"/>
      <w:r>
        <w:rPr>
          <w:rFonts w:hint="eastAsia" w:hAnsi="宋体" w:cs="宋体"/>
          <w:b/>
          <w:sz w:val="32"/>
          <w:szCs w:val="32"/>
          <w:highlight w:val="none"/>
        </w:rPr>
        <w:t>一.总  则</w:t>
      </w:r>
      <w:bookmarkEnd w:id="32"/>
      <w:bookmarkEnd w:id="33"/>
      <w:bookmarkEnd w:id="34"/>
    </w:p>
    <w:p w14:paraId="77588B4D">
      <w:pPr>
        <w:spacing w:line="500" w:lineRule="exact"/>
        <w:rPr>
          <w:rFonts w:hAnsi="宋体" w:cs="宋体"/>
          <w:b/>
          <w:szCs w:val="24"/>
          <w:highlight w:val="none"/>
        </w:rPr>
      </w:pPr>
      <w:r>
        <w:rPr>
          <w:rFonts w:hint="eastAsia" w:hAnsi="宋体" w:cs="宋体"/>
          <w:b/>
          <w:szCs w:val="24"/>
          <w:highlight w:val="none"/>
        </w:rPr>
        <w:t>1.资金来源</w:t>
      </w:r>
    </w:p>
    <w:p w14:paraId="5431C037">
      <w:pPr>
        <w:spacing w:line="500" w:lineRule="exact"/>
        <w:ind w:firstLine="480" w:firstLineChars="200"/>
        <w:rPr>
          <w:rFonts w:hAnsi="宋体" w:cs="宋体"/>
          <w:szCs w:val="24"/>
          <w:highlight w:val="none"/>
        </w:rPr>
      </w:pPr>
      <w:r>
        <w:rPr>
          <w:rFonts w:hint="eastAsia" w:hAnsi="宋体" w:cs="宋体"/>
          <w:szCs w:val="24"/>
          <w:highlight w:val="none"/>
        </w:rPr>
        <w:t>1.1本次招标采购所签合同使用财政拨款支付，资金已落实到位。</w:t>
      </w:r>
    </w:p>
    <w:p w14:paraId="7FCC64A1">
      <w:pPr>
        <w:numPr>
          <w:ilvl w:val="0"/>
          <w:numId w:val="2"/>
        </w:numPr>
        <w:spacing w:line="500" w:lineRule="exact"/>
        <w:rPr>
          <w:rFonts w:hAnsi="宋体" w:cs="宋体"/>
          <w:b/>
          <w:szCs w:val="24"/>
          <w:highlight w:val="none"/>
        </w:rPr>
      </w:pPr>
      <w:r>
        <w:rPr>
          <w:rFonts w:hint="eastAsia" w:hAnsi="宋体" w:cs="宋体"/>
          <w:b/>
          <w:szCs w:val="24"/>
          <w:highlight w:val="none"/>
        </w:rPr>
        <w:t>名词解释</w:t>
      </w:r>
    </w:p>
    <w:p w14:paraId="7E5F81CD">
      <w:pPr>
        <w:tabs>
          <w:tab w:val="left" w:pos="7665"/>
        </w:tabs>
        <w:spacing w:line="500" w:lineRule="exact"/>
        <w:ind w:firstLine="480" w:firstLineChars="200"/>
        <w:rPr>
          <w:rFonts w:hint="eastAsia" w:hAnsi="宋体" w:eastAsia="宋体" w:cs="宋体"/>
          <w:highlight w:val="none"/>
          <w:lang w:eastAsia="zh-CN"/>
        </w:rPr>
      </w:pPr>
      <w:r>
        <w:rPr>
          <w:rFonts w:hint="eastAsia" w:hAnsi="宋体" w:cs="宋体"/>
          <w:highlight w:val="none"/>
        </w:rPr>
        <w:t>2.1采购人：</w:t>
      </w:r>
      <w:r>
        <w:rPr>
          <w:rFonts w:hint="eastAsia" w:hAnsi="宋体"/>
          <w:highlight w:val="none"/>
          <w:lang w:eastAsia="zh-CN"/>
        </w:rPr>
        <w:t>汉中市人民医院</w:t>
      </w:r>
    </w:p>
    <w:p w14:paraId="78B59BE6">
      <w:pPr>
        <w:tabs>
          <w:tab w:val="left" w:pos="7665"/>
        </w:tabs>
        <w:spacing w:line="500" w:lineRule="exact"/>
        <w:ind w:firstLine="480" w:firstLineChars="200"/>
        <w:rPr>
          <w:rFonts w:hAnsi="宋体" w:cs="宋体"/>
          <w:highlight w:val="none"/>
        </w:rPr>
      </w:pPr>
      <w:r>
        <w:rPr>
          <w:rFonts w:hint="eastAsia" w:hAnsi="宋体" w:cs="宋体"/>
          <w:highlight w:val="none"/>
        </w:rPr>
        <w:t>2.2监督机构：同级人民财政部门</w:t>
      </w:r>
    </w:p>
    <w:p w14:paraId="3F62F448">
      <w:pPr>
        <w:tabs>
          <w:tab w:val="left" w:pos="7665"/>
        </w:tabs>
        <w:spacing w:line="500" w:lineRule="exact"/>
        <w:ind w:firstLine="480" w:firstLineChars="200"/>
        <w:rPr>
          <w:rFonts w:hAnsi="宋体" w:cs="宋体"/>
          <w:highlight w:val="none"/>
        </w:rPr>
      </w:pPr>
      <w:r>
        <w:rPr>
          <w:rFonts w:hint="eastAsia" w:hAnsi="宋体" w:cs="宋体"/>
          <w:highlight w:val="none"/>
        </w:rPr>
        <w:t>2.3采购代理机构：陕西至诚项目管理集团有限公司。</w:t>
      </w:r>
    </w:p>
    <w:p w14:paraId="61FFE053">
      <w:pPr>
        <w:tabs>
          <w:tab w:val="left" w:pos="7665"/>
        </w:tabs>
        <w:spacing w:line="500" w:lineRule="exact"/>
        <w:ind w:firstLine="480" w:firstLineChars="200"/>
        <w:rPr>
          <w:rFonts w:hAnsi="宋体" w:cs="宋体"/>
          <w:highlight w:val="none"/>
        </w:rPr>
      </w:pPr>
      <w:r>
        <w:rPr>
          <w:rFonts w:hint="eastAsia" w:hAnsi="宋体" w:cs="宋体"/>
          <w:highlight w:val="none"/>
        </w:rPr>
        <w:t>2.4投标人：是指响应和符合招标文件规定资格条件且参与投标竞争的法人、其他组织或者自然人。</w:t>
      </w:r>
    </w:p>
    <w:p w14:paraId="5967D720">
      <w:pPr>
        <w:adjustRightInd w:val="0"/>
        <w:snapToGrid w:val="0"/>
        <w:spacing w:line="500" w:lineRule="exact"/>
        <w:ind w:firstLine="480" w:firstLineChars="200"/>
        <w:rPr>
          <w:rFonts w:hAnsi="宋体" w:cs="宋体"/>
          <w:highlight w:val="none"/>
        </w:rPr>
      </w:pPr>
      <w:r>
        <w:rPr>
          <w:rFonts w:hint="eastAsia" w:hAnsi="宋体" w:cs="宋体"/>
          <w:highlight w:val="none"/>
        </w:rPr>
        <w:t>2.5产品是指本招标文件中第四章所述所有产品。</w:t>
      </w:r>
    </w:p>
    <w:p w14:paraId="347723C3">
      <w:pPr>
        <w:adjustRightInd w:val="0"/>
        <w:snapToGrid w:val="0"/>
        <w:spacing w:line="500" w:lineRule="exact"/>
        <w:ind w:firstLine="480" w:firstLineChars="200"/>
        <w:rPr>
          <w:rFonts w:hAnsi="宋体" w:cs="宋体"/>
          <w:highlight w:val="none"/>
        </w:rPr>
      </w:pPr>
      <w:r>
        <w:rPr>
          <w:rFonts w:hint="eastAsia" w:hAnsi="宋体" w:cs="宋体"/>
          <w:highlight w:val="none"/>
        </w:rPr>
        <w:t>2.6服务是指供应商为满足招标文件要求而提供的服务。</w:t>
      </w:r>
    </w:p>
    <w:p w14:paraId="7B48A69E">
      <w:pPr>
        <w:adjustRightInd w:val="0"/>
        <w:snapToGrid w:val="0"/>
        <w:spacing w:line="500" w:lineRule="exact"/>
        <w:ind w:firstLine="480" w:firstLineChars="200"/>
        <w:rPr>
          <w:rFonts w:hAnsi="宋体" w:cs="宋体"/>
          <w:highlight w:val="none"/>
        </w:rPr>
      </w:pPr>
      <w:r>
        <w:rPr>
          <w:rFonts w:hint="eastAsia" w:hAnsi="宋体" w:cs="宋体"/>
          <w:highlight w:val="none"/>
        </w:rPr>
        <w:t>2.7节能产品或者环保产品是指财政部发布的《节能产品政府采购清单》或《环境标志产品政府采购清单》的产品。</w:t>
      </w:r>
    </w:p>
    <w:p w14:paraId="45CB9CE5">
      <w:pPr>
        <w:adjustRightInd w:val="0"/>
        <w:snapToGrid w:val="0"/>
        <w:spacing w:line="500" w:lineRule="exact"/>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3073C447">
      <w:pPr>
        <w:adjustRightInd w:val="0"/>
        <w:snapToGrid w:val="0"/>
        <w:spacing w:line="500" w:lineRule="exact"/>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699452C7">
      <w:pPr>
        <w:adjustRightInd w:val="0"/>
        <w:snapToGrid w:val="0"/>
        <w:spacing w:line="500" w:lineRule="exact"/>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7BB59A">
      <w:pPr>
        <w:adjustRightInd w:val="0"/>
        <w:snapToGrid w:val="0"/>
        <w:spacing w:line="500" w:lineRule="exact"/>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574FBB30">
      <w:pPr>
        <w:spacing w:line="500" w:lineRule="exact"/>
        <w:rPr>
          <w:rFonts w:hAnsi="宋体" w:cs="宋体"/>
          <w:b/>
          <w:szCs w:val="24"/>
          <w:highlight w:val="none"/>
        </w:rPr>
      </w:pPr>
      <w:r>
        <w:rPr>
          <w:rFonts w:hint="eastAsia" w:hAnsi="宋体" w:cs="宋体"/>
          <w:b/>
          <w:szCs w:val="24"/>
          <w:highlight w:val="none"/>
        </w:rPr>
        <w:t>3.合格的供应商</w:t>
      </w:r>
    </w:p>
    <w:p w14:paraId="227A0AED">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5BD6D47D">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7F64D72D">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4A3C08F4">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46D2EE82">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（4）有依法缴纳税收的良好记录；</w:t>
      </w:r>
    </w:p>
    <w:p w14:paraId="33B83CA7">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6BA4EDBC">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6F9FE15B">
      <w:pPr>
        <w:spacing w:line="500" w:lineRule="exact"/>
        <w:ind w:firstLine="480" w:firstLineChars="200"/>
        <w:rPr>
          <w:rFonts w:hAnsi="宋体" w:cs="宋体"/>
          <w:szCs w:val="24"/>
          <w:highlight w:val="none"/>
        </w:rPr>
      </w:pPr>
      <w:r>
        <w:rPr>
          <w:rFonts w:hAnsi="宋体" w:cs="宋体"/>
          <w:szCs w:val="24"/>
          <w:highlight w:val="none"/>
        </w:rPr>
        <w:t>3.2</w:t>
      </w:r>
      <w:r>
        <w:rPr>
          <w:rFonts w:hint="eastAsia" w:hAnsi="宋体" w:cs="宋体"/>
          <w:szCs w:val="24"/>
          <w:highlight w:val="none"/>
        </w:rPr>
        <w:t>根据本次采购项目的特殊要求，规定的供应商特殊条件（见供应商须知前附表）。</w:t>
      </w:r>
    </w:p>
    <w:p w14:paraId="755381E1">
      <w:pPr>
        <w:spacing w:line="500" w:lineRule="exact"/>
        <w:ind w:firstLine="480" w:firstLineChars="200"/>
        <w:rPr>
          <w:rFonts w:hAnsi="宋体" w:cs="宋体"/>
          <w:szCs w:val="24"/>
          <w:highlight w:val="none"/>
        </w:rPr>
      </w:pPr>
      <w:r>
        <w:rPr>
          <w:rFonts w:hAnsi="宋体" w:cs="宋体"/>
          <w:szCs w:val="24"/>
          <w:highlight w:val="none"/>
        </w:rPr>
        <w:t>3.3</w:t>
      </w:r>
      <w:r>
        <w:rPr>
          <w:rFonts w:hint="eastAsia" w:hAnsi="宋体" w:cs="宋体"/>
          <w:szCs w:val="24"/>
          <w:highlight w:val="none"/>
        </w:rPr>
        <w:t>单位负责人为同一人或者存在直接控股、管理关系的不同供应商，不得参加同一合同项下的政府采购活动。</w:t>
      </w:r>
    </w:p>
    <w:p w14:paraId="5FD58152">
      <w:pPr>
        <w:spacing w:line="500" w:lineRule="exact"/>
        <w:ind w:firstLine="480" w:firstLineChars="200"/>
        <w:rPr>
          <w:rFonts w:hAnsi="宋体" w:cs="宋体"/>
          <w:szCs w:val="24"/>
          <w:highlight w:val="none"/>
        </w:rPr>
      </w:pPr>
      <w:r>
        <w:rPr>
          <w:rFonts w:hint="eastAsia" w:hAnsi="宋体" w:cs="宋体"/>
          <w:szCs w:val="24"/>
          <w:highlight w:val="none"/>
        </w:rPr>
        <w:t>除单一来源采购项目外，为采购项目提供整体设计、规范编制或者项目管理、监理、检测等服务的供应商，不得再参加该采购项目的其他采购活动，否则均为无效投标。</w:t>
      </w:r>
    </w:p>
    <w:p w14:paraId="10B776D2">
      <w:pPr>
        <w:spacing w:line="500" w:lineRule="exact"/>
        <w:ind w:firstLine="480" w:firstLineChars="200"/>
        <w:rPr>
          <w:rFonts w:hAnsi="宋体" w:cs="宋体"/>
          <w:szCs w:val="24"/>
          <w:highlight w:val="none"/>
        </w:rPr>
      </w:pPr>
      <w:r>
        <w:rPr>
          <w:rFonts w:hAnsi="宋体" w:cs="宋体"/>
          <w:szCs w:val="24"/>
          <w:highlight w:val="none"/>
        </w:rPr>
        <w:t>3.4</w:t>
      </w:r>
      <w:r>
        <w:rPr>
          <w:rFonts w:hint="eastAsia" w:hAnsi="宋体" w:cs="宋体"/>
          <w:szCs w:val="24"/>
          <w:highlight w:val="none"/>
        </w:rPr>
        <w:t>供应商必须在陕西至诚项目管理集团有限公司报名并领取招标文件，方可参加投标。</w:t>
      </w:r>
    </w:p>
    <w:p w14:paraId="3BF4A7AB">
      <w:pPr>
        <w:spacing w:line="500" w:lineRule="exact"/>
        <w:ind w:firstLine="480" w:firstLineChars="200"/>
        <w:rPr>
          <w:rFonts w:hAnsi="宋体" w:cs="宋体"/>
          <w:szCs w:val="24"/>
          <w:highlight w:val="none"/>
        </w:rPr>
      </w:pPr>
      <w:bookmarkStart w:id="35" w:name="OLE_LINK33"/>
      <w:r>
        <w:rPr>
          <w:rFonts w:hAnsi="宋体" w:cs="宋体"/>
          <w:szCs w:val="24"/>
          <w:highlight w:val="none"/>
        </w:rPr>
        <w:t>3.</w:t>
      </w:r>
      <w:bookmarkEnd w:id="35"/>
      <w:r>
        <w:rPr>
          <w:rFonts w:hAnsi="宋体" w:cs="宋体"/>
          <w:szCs w:val="24"/>
          <w:highlight w:val="none"/>
        </w:rPr>
        <w:t>5</w:t>
      </w:r>
      <w:r>
        <w:rPr>
          <w:rFonts w:hint="eastAsia" w:hAnsi="宋体" w:cs="宋体"/>
          <w:szCs w:val="24"/>
          <w:highlight w:val="none"/>
        </w:rPr>
        <w:t>联合体投标。</w:t>
      </w:r>
    </w:p>
    <w:p w14:paraId="38A752FD">
      <w:pPr>
        <w:spacing w:line="500" w:lineRule="exact"/>
        <w:ind w:firstLine="480" w:firstLineChars="200"/>
        <w:rPr>
          <w:rFonts w:hAnsi="宋体" w:cs="宋体"/>
          <w:szCs w:val="24"/>
          <w:highlight w:val="none"/>
        </w:rPr>
      </w:pPr>
      <w:r>
        <w:rPr>
          <w:rFonts w:hAnsi="宋体" w:cs="宋体"/>
          <w:szCs w:val="24"/>
          <w:highlight w:val="none"/>
        </w:rPr>
        <w:t>3.5.1</w:t>
      </w:r>
      <w:r>
        <w:rPr>
          <w:rFonts w:hint="eastAsia" w:hAnsi="宋体" w:cs="宋体"/>
          <w:szCs w:val="24"/>
          <w:highlight w:val="none"/>
        </w:rPr>
        <w:t>如果在招标文件中接受联合体投标（见投标人须知前附表），则两个以上供应商可以组成一个投标联合体，以一个供应商的身份投标。以联合体形式参加投标的，联合体各方均应当符合</w:t>
      </w:r>
      <w:r>
        <w:rPr>
          <w:rFonts w:hint="eastAsia" w:hAnsi="宋体" w:cs="宋体"/>
          <w:highlight w:val="none"/>
        </w:rPr>
        <w:t>《中华人民共和国政府采购法》及实施条例规定的条件</w:t>
      </w:r>
      <w:r>
        <w:rPr>
          <w:rFonts w:hint="eastAsia" w:hAnsi="宋体" w:cs="宋体"/>
          <w:szCs w:val="24"/>
          <w:highlight w:val="none"/>
        </w:rPr>
        <w:t>。采购人根据采购项目的特殊要求规定供应商特定条件的，联合体各方中至少应当有一方符合采购人规定的特定条件。</w:t>
      </w:r>
    </w:p>
    <w:p w14:paraId="2B5B3773">
      <w:pPr>
        <w:spacing w:line="500" w:lineRule="exact"/>
        <w:ind w:firstLine="468" w:firstLineChars="195"/>
        <w:rPr>
          <w:rFonts w:hAnsi="宋体" w:cs="宋体"/>
          <w:szCs w:val="24"/>
          <w:highlight w:val="none"/>
        </w:rPr>
      </w:pPr>
      <w:r>
        <w:rPr>
          <w:rFonts w:hAnsi="宋体" w:cs="宋体"/>
          <w:szCs w:val="24"/>
          <w:highlight w:val="none"/>
        </w:rPr>
        <w:t>3.5.2</w:t>
      </w:r>
      <w:r>
        <w:rPr>
          <w:rFonts w:hint="eastAsia" w:hAnsi="宋体" w:cs="宋体"/>
          <w:szCs w:val="24"/>
          <w:highlight w:val="none"/>
        </w:rPr>
        <w:t>联合体各方之间应当签订共同投标协议，明确约定联合体各方承担的工作和相应的责任，并将共同投标协议连同投标文件一并提交</w:t>
      </w:r>
      <w:r>
        <w:rPr>
          <w:rFonts w:hint="eastAsia" w:hAnsi="宋体" w:cs="宋体"/>
          <w:highlight w:val="none"/>
        </w:rPr>
        <w:t>采购代理机构</w:t>
      </w:r>
      <w:r>
        <w:rPr>
          <w:rFonts w:hint="eastAsia" w:hAnsi="宋体" w:cs="宋体"/>
          <w:szCs w:val="24"/>
          <w:highlight w:val="none"/>
        </w:rPr>
        <w:t>。联合体各方签订共同投标协议后，不得再以自己名义单独在同一项目中投标，也不得组成新的联合体参加同一项目投标。</w:t>
      </w:r>
    </w:p>
    <w:p w14:paraId="34AD3317">
      <w:pPr>
        <w:pStyle w:val="10"/>
        <w:spacing w:line="500" w:lineRule="exact"/>
        <w:ind w:firstLine="480" w:firstLineChars="200"/>
        <w:rPr>
          <w:rFonts w:ascii="宋体" w:cs="宋体"/>
          <w:szCs w:val="24"/>
          <w:highlight w:val="none"/>
        </w:rPr>
      </w:pPr>
      <w:r>
        <w:rPr>
          <w:rFonts w:ascii="宋体" w:hAnsi="宋体" w:cs="宋体"/>
          <w:sz w:val="24"/>
          <w:szCs w:val="24"/>
          <w:highlight w:val="none"/>
        </w:rPr>
        <w:t>3.5.3</w:t>
      </w:r>
      <w:r>
        <w:rPr>
          <w:rFonts w:hint="eastAsia" w:ascii="宋体" w:hAnsi="宋体" w:cs="宋体"/>
          <w:sz w:val="24"/>
          <w:szCs w:val="24"/>
          <w:highlight w:val="none"/>
        </w:rPr>
        <w:t>联合体各方应当共同与采购人签订采购合同，就采购合同约定的事项对采购人承担连带责任。</w:t>
      </w:r>
    </w:p>
    <w:p w14:paraId="27126D88">
      <w:pPr>
        <w:spacing w:line="500" w:lineRule="exact"/>
        <w:ind w:firstLine="480" w:firstLineChars="200"/>
        <w:rPr>
          <w:rFonts w:hAnsi="宋体" w:cs="宋体"/>
          <w:szCs w:val="24"/>
          <w:highlight w:val="none"/>
        </w:rPr>
      </w:pPr>
      <w:r>
        <w:rPr>
          <w:rFonts w:hAnsi="宋体" w:cs="宋体"/>
          <w:szCs w:val="24"/>
          <w:highlight w:val="none"/>
        </w:rPr>
        <w:t>3.6</w:t>
      </w:r>
      <w:r>
        <w:rPr>
          <w:rFonts w:hint="eastAsia" w:hAnsi="宋体" w:cs="宋体"/>
          <w:szCs w:val="24"/>
          <w:highlight w:val="none"/>
        </w:rPr>
        <w:t>投标费用自理。不论投标的结果如何，供应商均应自行承担所有与参加投标有关的费用。</w:t>
      </w:r>
    </w:p>
    <w:p w14:paraId="78EDBFE6">
      <w:pPr>
        <w:tabs>
          <w:tab w:val="left" w:pos="747"/>
        </w:tabs>
        <w:snapToGrid w:val="0"/>
        <w:spacing w:line="500" w:lineRule="exact"/>
        <w:rPr>
          <w:rFonts w:hAnsi="宋体" w:cs="宋体"/>
          <w:b/>
          <w:bCs/>
          <w:highlight w:val="none"/>
        </w:rPr>
      </w:pPr>
      <w:r>
        <w:rPr>
          <w:rFonts w:hint="eastAsia" w:hAnsi="宋体" w:cs="宋体"/>
          <w:b/>
          <w:bCs/>
          <w:highlight w:val="none"/>
        </w:rPr>
        <w:t>4.合格的货物（产品）和服务</w:t>
      </w:r>
    </w:p>
    <w:p w14:paraId="1031C844">
      <w:pPr>
        <w:tabs>
          <w:tab w:val="left" w:pos="747"/>
        </w:tabs>
        <w:snapToGrid w:val="0"/>
        <w:spacing w:line="500" w:lineRule="exact"/>
        <w:ind w:firstLine="480" w:firstLineChars="200"/>
        <w:rPr>
          <w:rFonts w:hAnsi="宋体" w:cs="宋体"/>
          <w:highlight w:val="none"/>
        </w:rPr>
      </w:pPr>
      <w:r>
        <w:rPr>
          <w:rFonts w:hAnsi="宋体" w:cs="宋体"/>
          <w:highlight w:val="none"/>
        </w:rPr>
        <w:t>4.1</w:t>
      </w:r>
      <w:r>
        <w:rPr>
          <w:rFonts w:hint="eastAsia" w:hAnsi="宋体" w:cs="宋体"/>
          <w:highlight w:val="none"/>
        </w:rPr>
        <w:t>投标人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557C68D4">
      <w:pPr>
        <w:tabs>
          <w:tab w:val="left" w:pos="747"/>
        </w:tabs>
        <w:snapToGrid w:val="0"/>
        <w:spacing w:line="500" w:lineRule="exact"/>
        <w:ind w:firstLine="480" w:firstLineChars="200"/>
        <w:rPr>
          <w:rFonts w:hAnsi="宋体" w:cs="宋体"/>
          <w:szCs w:val="24"/>
          <w:highlight w:val="none"/>
        </w:rPr>
      </w:pPr>
      <w:r>
        <w:rPr>
          <w:rFonts w:hAnsi="宋体" w:cs="宋体"/>
          <w:highlight w:val="none"/>
        </w:rPr>
        <w:t>4.2</w:t>
      </w:r>
      <w:r>
        <w:rPr>
          <w:rFonts w:hint="eastAsia" w:hAnsi="宋体" w:cs="宋体"/>
          <w:highlight w:val="none"/>
        </w:rPr>
        <w:t>采购人有权拒绝接受任何不合格的产品和服务，由此产生的费用及相关后果均由供应商自行承担。</w:t>
      </w:r>
    </w:p>
    <w:p w14:paraId="43B568A6">
      <w:pPr>
        <w:spacing w:line="500" w:lineRule="exact"/>
        <w:rPr>
          <w:rFonts w:hAnsi="宋体" w:cs="宋体"/>
          <w:b/>
          <w:szCs w:val="24"/>
          <w:highlight w:val="none"/>
        </w:rPr>
      </w:pPr>
      <w:r>
        <w:rPr>
          <w:rFonts w:hint="eastAsia" w:hAnsi="宋体" w:cs="宋体"/>
          <w:b/>
          <w:szCs w:val="24"/>
          <w:highlight w:val="none"/>
        </w:rPr>
        <w:t>5.投标文件内容的真实性</w:t>
      </w:r>
    </w:p>
    <w:p w14:paraId="1923908F">
      <w:pPr>
        <w:spacing w:line="500" w:lineRule="exact"/>
        <w:ind w:firstLine="480" w:firstLineChars="200"/>
        <w:rPr>
          <w:rFonts w:hAnsi="宋体" w:cs="宋体"/>
          <w:szCs w:val="24"/>
          <w:highlight w:val="none"/>
        </w:rPr>
      </w:pPr>
      <w:r>
        <w:rPr>
          <w:rFonts w:hint="eastAsia" w:hAnsi="宋体" w:cs="宋体"/>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14:paraId="080611F2">
      <w:pPr>
        <w:spacing w:before="333" w:beforeLines="100"/>
        <w:jc w:val="center"/>
        <w:rPr>
          <w:rFonts w:hAnsi="宋体" w:cs="宋体"/>
          <w:b/>
          <w:sz w:val="32"/>
          <w:szCs w:val="32"/>
          <w:highlight w:val="none"/>
        </w:rPr>
      </w:pPr>
      <w:bookmarkStart w:id="36" w:name="_Toc21955"/>
      <w:bookmarkStart w:id="37" w:name="_Toc363473973"/>
      <w:bookmarkStart w:id="38" w:name="_Toc363474018"/>
      <w:bookmarkStart w:id="39" w:name="_Toc403077640"/>
      <w:r>
        <w:rPr>
          <w:rFonts w:hint="eastAsia" w:hAnsi="宋体" w:cs="宋体"/>
          <w:b/>
          <w:sz w:val="32"/>
          <w:szCs w:val="32"/>
          <w:highlight w:val="none"/>
        </w:rPr>
        <w:t>二、招标文件</w:t>
      </w:r>
      <w:bookmarkEnd w:id="36"/>
      <w:bookmarkEnd w:id="37"/>
      <w:bookmarkEnd w:id="38"/>
      <w:bookmarkEnd w:id="39"/>
    </w:p>
    <w:p w14:paraId="2CC7FEA3">
      <w:pPr>
        <w:spacing w:line="500" w:lineRule="exact"/>
        <w:rPr>
          <w:rFonts w:hAnsi="宋体" w:cs="宋体"/>
          <w:b/>
          <w:szCs w:val="24"/>
          <w:highlight w:val="none"/>
        </w:rPr>
      </w:pPr>
      <w:r>
        <w:rPr>
          <w:rFonts w:hint="eastAsia" w:hAnsi="宋体" w:cs="宋体"/>
          <w:b/>
          <w:szCs w:val="24"/>
          <w:highlight w:val="none"/>
        </w:rPr>
        <w:t>6.招标文件构成</w:t>
      </w:r>
    </w:p>
    <w:p w14:paraId="0B2805CC">
      <w:pPr>
        <w:spacing w:line="500" w:lineRule="exact"/>
        <w:ind w:firstLine="480" w:firstLineChars="200"/>
        <w:rPr>
          <w:rFonts w:hAnsi="宋体" w:cs="宋体"/>
          <w:szCs w:val="24"/>
          <w:highlight w:val="none"/>
        </w:rPr>
      </w:pPr>
      <w:r>
        <w:rPr>
          <w:rFonts w:hint="eastAsia" w:hAnsi="宋体" w:cs="宋体"/>
          <w:szCs w:val="24"/>
          <w:highlight w:val="none"/>
        </w:rPr>
        <w:t>6.1 招标文件要求提供的货物、服务，招标程序和合同条件在招标文件中均有说明。招标文件共六章，内容如下：</w:t>
      </w:r>
    </w:p>
    <w:p w14:paraId="77D2D6E1">
      <w:pPr>
        <w:spacing w:line="500" w:lineRule="exact"/>
        <w:ind w:firstLine="480" w:firstLineChars="200"/>
        <w:rPr>
          <w:rFonts w:hAnsi="宋体" w:cs="宋体"/>
          <w:szCs w:val="24"/>
          <w:highlight w:val="none"/>
        </w:rPr>
      </w:pPr>
      <w:r>
        <w:rPr>
          <w:rFonts w:hint="eastAsia" w:hAnsi="宋体" w:cs="宋体"/>
          <w:szCs w:val="24"/>
          <w:highlight w:val="none"/>
        </w:rPr>
        <w:t>第一章 招标公告</w:t>
      </w:r>
    </w:p>
    <w:p w14:paraId="013EE702">
      <w:pPr>
        <w:spacing w:line="500" w:lineRule="exact"/>
        <w:ind w:firstLine="480" w:firstLineChars="200"/>
        <w:rPr>
          <w:rFonts w:hAnsi="宋体" w:cs="宋体"/>
          <w:szCs w:val="24"/>
          <w:highlight w:val="none"/>
        </w:rPr>
      </w:pPr>
      <w:r>
        <w:rPr>
          <w:rFonts w:hint="eastAsia" w:hAnsi="宋体" w:cs="宋体"/>
          <w:szCs w:val="24"/>
          <w:highlight w:val="none"/>
        </w:rPr>
        <w:t>第二章 投标人须知</w:t>
      </w:r>
    </w:p>
    <w:p w14:paraId="761E899D">
      <w:pPr>
        <w:spacing w:line="500" w:lineRule="exact"/>
        <w:ind w:firstLine="480" w:firstLineChars="200"/>
        <w:rPr>
          <w:rFonts w:hAnsi="宋体" w:cs="宋体"/>
          <w:szCs w:val="24"/>
          <w:highlight w:val="none"/>
        </w:rPr>
      </w:pPr>
      <w:r>
        <w:rPr>
          <w:rFonts w:hint="eastAsia" w:hAnsi="宋体" w:cs="宋体"/>
          <w:szCs w:val="24"/>
          <w:highlight w:val="none"/>
        </w:rPr>
        <w:t xml:space="preserve">   投标人须知前附表</w:t>
      </w:r>
    </w:p>
    <w:p w14:paraId="3C5160EC">
      <w:pPr>
        <w:spacing w:line="500" w:lineRule="exact"/>
        <w:ind w:firstLine="480" w:firstLineChars="200"/>
        <w:rPr>
          <w:rFonts w:hAnsi="宋体" w:cs="宋体"/>
          <w:szCs w:val="24"/>
          <w:highlight w:val="none"/>
        </w:rPr>
      </w:pPr>
      <w:r>
        <w:rPr>
          <w:rFonts w:hint="eastAsia" w:hAnsi="宋体" w:cs="宋体"/>
          <w:szCs w:val="24"/>
          <w:highlight w:val="none"/>
        </w:rPr>
        <w:t>第三章 合同条款及格式</w:t>
      </w:r>
    </w:p>
    <w:p w14:paraId="0DCF7D75">
      <w:pPr>
        <w:spacing w:line="500" w:lineRule="exact"/>
        <w:ind w:firstLine="840" w:firstLineChars="350"/>
        <w:rPr>
          <w:rFonts w:hAnsi="宋体" w:cs="宋体"/>
          <w:szCs w:val="24"/>
          <w:highlight w:val="none"/>
        </w:rPr>
      </w:pPr>
      <w:r>
        <w:rPr>
          <w:rFonts w:hint="eastAsia" w:hAnsi="宋体" w:cs="宋体"/>
          <w:szCs w:val="24"/>
          <w:highlight w:val="none"/>
        </w:rPr>
        <w:t>合同条款及格式前附表</w:t>
      </w:r>
    </w:p>
    <w:p w14:paraId="5CCEA33E">
      <w:pPr>
        <w:spacing w:line="500" w:lineRule="exact"/>
        <w:ind w:firstLine="480" w:firstLineChars="200"/>
        <w:rPr>
          <w:rFonts w:hAnsi="宋体" w:cs="宋体"/>
          <w:szCs w:val="24"/>
          <w:highlight w:val="none"/>
        </w:rPr>
      </w:pPr>
      <w:r>
        <w:rPr>
          <w:rFonts w:hint="eastAsia" w:hAnsi="宋体" w:cs="宋体"/>
          <w:szCs w:val="24"/>
          <w:highlight w:val="none"/>
        </w:rPr>
        <w:t>第四章 采购内容及技术要求</w:t>
      </w:r>
    </w:p>
    <w:p w14:paraId="39040FF2">
      <w:pPr>
        <w:spacing w:line="500" w:lineRule="exact"/>
        <w:ind w:firstLine="480" w:firstLineChars="200"/>
        <w:rPr>
          <w:rFonts w:hAnsi="宋体" w:cs="宋体"/>
          <w:szCs w:val="24"/>
          <w:highlight w:val="none"/>
        </w:rPr>
      </w:pPr>
      <w:r>
        <w:rPr>
          <w:rFonts w:hint="eastAsia" w:hAnsi="宋体" w:cs="宋体"/>
          <w:szCs w:val="24"/>
          <w:highlight w:val="none"/>
        </w:rPr>
        <w:t>第五章 评标方法</w:t>
      </w:r>
    </w:p>
    <w:p w14:paraId="606F7E17">
      <w:pPr>
        <w:spacing w:line="500" w:lineRule="exact"/>
        <w:ind w:firstLine="480" w:firstLineChars="200"/>
        <w:rPr>
          <w:rFonts w:hAnsi="宋体" w:cs="宋体"/>
          <w:szCs w:val="24"/>
          <w:highlight w:val="none"/>
        </w:rPr>
      </w:pPr>
      <w:r>
        <w:rPr>
          <w:rFonts w:hint="eastAsia" w:hAnsi="宋体" w:cs="宋体"/>
          <w:szCs w:val="24"/>
          <w:highlight w:val="none"/>
        </w:rPr>
        <w:t>第六章 投标文件构成及格式</w:t>
      </w:r>
    </w:p>
    <w:p w14:paraId="4B8DE970">
      <w:pPr>
        <w:spacing w:line="500" w:lineRule="exact"/>
        <w:ind w:firstLine="480" w:firstLineChars="200"/>
        <w:rPr>
          <w:rFonts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14:paraId="795DAF19">
      <w:pPr>
        <w:spacing w:line="500" w:lineRule="exact"/>
        <w:ind w:firstLine="480" w:firstLineChars="200"/>
        <w:rPr>
          <w:rFonts w:hAnsi="宋体" w:cs="宋体"/>
          <w:szCs w:val="24"/>
          <w:highlight w:val="none"/>
        </w:rPr>
      </w:pPr>
      <w:r>
        <w:rPr>
          <w:rFonts w:hint="eastAsia" w:hAnsi="宋体" w:cs="宋体"/>
          <w:szCs w:val="24"/>
          <w:highlight w:val="none"/>
        </w:rPr>
        <w:t>6.3本招标文件的解释权归陕西至诚项目管理集团有限公司，如发现招标文件内容与现行法律法规不相符的情况，以现行法律法规为准。</w:t>
      </w:r>
    </w:p>
    <w:p w14:paraId="7BA8CA0F">
      <w:pPr>
        <w:spacing w:line="500" w:lineRule="exact"/>
        <w:rPr>
          <w:rFonts w:hAnsi="宋体" w:cs="宋体"/>
          <w:b/>
          <w:szCs w:val="24"/>
          <w:highlight w:val="none"/>
        </w:rPr>
      </w:pPr>
      <w:r>
        <w:rPr>
          <w:rFonts w:hint="eastAsia" w:hAnsi="宋体" w:cs="宋体"/>
          <w:b/>
          <w:szCs w:val="24"/>
          <w:highlight w:val="none"/>
        </w:rPr>
        <w:t>7.招标文件的修改和澄清</w:t>
      </w:r>
    </w:p>
    <w:p w14:paraId="38FA01F8">
      <w:pPr>
        <w:tabs>
          <w:tab w:val="left" w:pos="720"/>
        </w:tabs>
        <w:spacing w:line="500" w:lineRule="exact"/>
        <w:ind w:firstLine="480" w:firstLineChars="200"/>
        <w:rPr>
          <w:rFonts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14:paraId="245C177D">
      <w:pPr>
        <w:spacing w:line="500" w:lineRule="exact"/>
        <w:ind w:firstLine="480" w:firstLineChars="200"/>
        <w:rPr>
          <w:rFonts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14:paraId="667606B9">
      <w:pPr>
        <w:pStyle w:val="9"/>
        <w:spacing w:line="500" w:lineRule="exact"/>
        <w:ind w:firstLine="480" w:firstLineChars="200"/>
        <w:rPr>
          <w:rFonts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14:paraId="490C53D3">
      <w:pPr>
        <w:spacing w:line="500" w:lineRule="exact"/>
        <w:ind w:firstLine="480" w:firstLineChars="200"/>
        <w:rPr>
          <w:rFonts w:hAnsi="宋体" w:cs="宋体"/>
          <w:szCs w:val="24"/>
          <w:highlight w:val="none"/>
        </w:rPr>
      </w:pPr>
      <w:r>
        <w:rPr>
          <w:rFonts w:hint="eastAsia" w:hAnsi="宋体" w:cs="宋体"/>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14:paraId="1B810BBC">
      <w:pPr>
        <w:spacing w:line="500" w:lineRule="exact"/>
        <w:ind w:firstLine="480" w:firstLineChars="200"/>
        <w:rPr>
          <w:rFonts w:hAnsi="宋体" w:cs="宋体"/>
          <w:highlight w:val="none"/>
        </w:rPr>
      </w:pPr>
      <w:r>
        <w:rPr>
          <w:rFonts w:hint="eastAsia" w:hAnsi="宋体" w:cs="宋体"/>
          <w:szCs w:val="24"/>
          <w:highlight w:val="none"/>
        </w:rPr>
        <w:t>7.5</w:t>
      </w:r>
      <w:r>
        <w:rPr>
          <w:rFonts w:hint="eastAsia" w:hAnsi="宋体" w:cs="宋体"/>
          <w:highlight w:val="none"/>
        </w:rPr>
        <w:t>供应商在收到上述通知后，应立即向采购代理机构回函确认。</w:t>
      </w:r>
    </w:p>
    <w:p w14:paraId="38728C13">
      <w:pPr>
        <w:spacing w:line="500" w:lineRule="exact"/>
        <w:rPr>
          <w:rFonts w:hAnsi="宋体" w:cs="宋体"/>
          <w:highlight w:val="none"/>
        </w:rPr>
      </w:pPr>
    </w:p>
    <w:p w14:paraId="46D45C1D">
      <w:pPr>
        <w:spacing w:line="500" w:lineRule="exact"/>
        <w:jc w:val="center"/>
        <w:rPr>
          <w:rFonts w:hAnsi="宋体" w:cs="宋体"/>
          <w:b/>
          <w:sz w:val="32"/>
          <w:szCs w:val="32"/>
          <w:highlight w:val="none"/>
        </w:rPr>
      </w:pPr>
      <w:bookmarkStart w:id="40" w:name="_Toc363474019"/>
      <w:bookmarkStart w:id="41" w:name="_Toc363473974"/>
      <w:bookmarkStart w:id="42" w:name="_Toc403077641"/>
      <w:r>
        <w:rPr>
          <w:rFonts w:hint="eastAsia" w:hAnsi="宋体" w:cs="宋体"/>
          <w:b/>
          <w:sz w:val="32"/>
          <w:szCs w:val="32"/>
          <w:highlight w:val="none"/>
        </w:rPr>
        <w:t>三.投标文件的编制</w:t>
      </w:r>
      <w:bookmarkEnd w:id="40"/>
      <w:bookmarkEnd w:id="41"/>
      <w:bookmarkEnd w:id="42"/>
    </w:p>
    <w:p w14:paraId="20D619A9">
      <w:pPr>
        <w:spacing w:line="500" w:lineRule="exact"/>
        <w:rPr>
          <w:rFonts w:hAnsi="宋体" w:cs="宋体"/>
          <w:b/>
          <w:szCs w:val="24"/>
          <w:highlight w:val="none"/>
        </w:rPr>
      </w:pPr>
      <w:r>
        <w:rPr>
          <w:rFonts w:hint="eastAsia" w:hAnsi="宋体" w:cs="宋体"/>
          <w:b/>
          <w:szCs w:val="24"/>
          <w:highlight w:val="none"/>
        </w:rPr>
        <w:t>8. 投标语言和投标货币</w:t>
      </w:r>
    </w:p>
    <w:p w14:paraId="595F9BA8">
      <w:pPr>
        <w:spacing w:line="500" w:lineRule="exact"/>
        <w:ind w:firstLine="480" w:firstLineChars="200"/>
        <w:rPr>
          <w:rFonts w:hAnsi="宋体" w:cs="宋体"/>
          <w:b/>
          <w:szCs w:val="24"/>
          <w:highlight w:val="none"/>
        </w:rPr>
      </w:pPr>
      <w:r>
        <w:rPr>
          <w:rFonts w:hint="eastAsia" w:hAnsi="宋体" w:cs="宋体"/>
          <w:szCs w:val="24"/>
          <w:highlight w:val="none"/>
        </w:rPr>
        <w:t>8.1供应商提交的投标文件以及供应商与采购代理机构就有关投标的所有来往函电均应使用中文。</w:t>
      </w:r>
    </w:p>
    <w:p w14:paraId="33997AC6">
      <w:pPr>
        <w:spacing w:line="500" w:lineRule="exact"/>
        <w:ind w:firstLine="480" w:firstLineChars="200"/>
        <w:rPr>
          <w:rFonts w:hAnsi="宋体" w:cs="宋体"/>
          <w:szCs w:val="24"/>
          <w:highlight w:val="none"/>
        </w:rPr>
      </w:pPr>
      <w:r>
        <w:rPr>
          <w:rFonts w:hint="eastAsia" w:hAnsi="宋体" w:cs="宋体"/>
          <w:szCs w:val="24"/>
          <w:highlight w:val="none"/>
        </w:rPr>
        <w:t>8.2投标应以人民币报价。任何包含非人民币报价的投标将按无效投标处理。</w:t>
      </w:r>
    </w:p>
    <w:p w14:paraId="5520CF5A">
      <w:pPr>
        <w:spacing w:line="500" w:lineRule="exact"/>
        <w:rPr>
          <w:rFonts w:hAnsi="宋体" w:cs="宋体"/>
          <w:b/>
          <w:szCs w:val="24"/>
          <w:highlight w:val="none"/>
        </w:rPr>
      </w:pPr>
      <w:r>
        <w:rPr>
          <w:rFonts w:hint="eastAsia" w:hAnsi="宋体" w:cs="宋体"/>
          <w:b/>
          <w:szCs w:val="24"/>
          <w:highlight w:val="none"/>
        </w:rPr>
        <w:t>9.投标文件的构成</w:t>
      </w:r>
    </w:p>
    <w:p w14:paraId="1C1C1581">
      <w:pPr>
        <w:spacing w:line="500" w:lineRule="exact"/>
        <w:ind w:firstLine="480" w:firstLineChars="200"/>
        <w:rPr>
          <w:rFonts w:hAnsi="宋体" w:cs="宋体"/>
          <w:szCs w:val="24"/>
          <w:highlight w:val="none"/>
        </w:rPr>
      </w:pPr>
      <w:r>
        <w:rPr>
          <w:rFonts w:hint="eastAsia" w:hAnsi="宋体" w:cs="宋体"/>
          <w:szCs w:val="24"/>
          <w:highlight w:val="none"/>
        </w:rPr>
        <w:t>9.1 供应商提交的投标文件应包括下列部分的内容：</w:t>
      </w:r>
    </w:p>
    <w:p w14:paraId="35D2D52D">
      <w:pPr>
        <w:spacing w:line="500" w:lineRule="exact"/>
        <w:ind w:firstLine="480" w:firstLineChars="200"/>
        <w:rPr>
          <w:rFonts w:hAnsi="宋体" w:cs="宋体"/>
          <w:szCs w:val="24"/>
          <w:highlight w:val="none"/>
        </w:rPr>
      </w:pPr>
      <w:r>
        <w:rPr>
          <w:rFonts w:hint="eastAsia" w:hAnsi="宋体" w:cs="宋体"/>
          <w:szCs w:val="24"/>
          <w:highlight w:val="none"/>
        </w:rPr>
        <w:t>（1）按照供应商须知的要求和招标文件规定的格式填写的投标函、投标报价表、法定代表人或负责人授权书；</w:t>
      </w:r>
    </w:p>
    <w:p w14:paraId="5A71E945">
      <w:pPr>
        <w:spacing w:line="500" w:lineRule="exact"/>
        <w:ind w:firstLine="480" w:firstLineChars="200"/>
        <w:rPr>
          <w:rFonts w:hAnsi="宋体" w:cs="宋体"/>
          <w:szCs w:val="24"/>
          <w:highlight w:val="none"/>
        </w:rPr>
      </w:pPr>
      <w:r>
        <w:rPr>
          <w:rFonts w:hint="eastAsia" w:hAnsi="宋体" w:cs="宋体"/>
          <w:szCs w:val="24"/>
          <w:highlight w:val="none"/>
        </w:rPr>
        <w:t>（2）按照招标文件的要求编制的投标方案说明书，内容至少应包括对本项目的所有服务内容的理解与认知，针对本项目具有详细的进度计划及服务方案，技术服务响应表，技术服务质量保证方案以及相关的人员配备等；</w:t>
      </w:r>
    </w:p>
    <w:p w14:paraId="154F571F">
      <w:pPr>
        <w:spacing w:line="500" w:lineRule="exact"/>
        <w:ind w:firstLine="480" w:firstLineChars="200"/>
        <w:rPr>
          <w:rFonts w:hAnsi="宋体" w:cs="宋体"/>
          <w:szCs w:val="24"/>
          <w:highlight w:val="none"/>
        </w:rPr>
      </w:pPr>
      <w:r>
        <w:rPr>
          <w:rFonts w:hint="eastAsia" w:hAnsi="宋体" w:cs="宋体"/>
          <w:szCs w:val="24"/>
          <w:highlight w:val="none"/>
        </w:rPr>
        <w:t xml:space="preserve">（3）按照招标文件供应商须知前附表的要求提交的资格证明文件；  </w:t>
      </w:r>
    </w:p>
    <w:p w14:paraId="4E656998">
      <w:pPr>
        <w:spacing w:line="500" w:lineRule="exact"/>
        <w:ind w:firstLine="480" w:firstLineChars="200"/>
        <w:rPr>
          <w:rFonts w:hAnsi="宋体" w:cs="宋体"/>
          <w:szCs w:val="24"/>
          <w:highlight w:val="none"/>
        </w:rPr>
      </w:pPr>
      <w:r>
        <w:rPr>
          <w:rFonts w:hint="eastAsia" w:hAnsi="宋体" w:cs="宋体"/>
          <w:szCs w:val="24"/>
          <w:highlight w:val="none"/>
        </w:rPr>
        <w:t>（4）按照本须知第14条要求提交的投标保证金；</w:t>
      </w:r>
    </w:p>
    <w:p w14:paraId="2283DFE3">
      <w:pPr>
        <w:spacing w:line="500" w:lineRule="exact"/>
        <w:ind w:firstLine="480" w:firstLineChars="200"/>
        <w:rPr>
          <w:rFonts w:hAnsi="宋体" w:cs="宋体"/>
          <w:szCs w:val="24"/>
          <w:highlight w:val="none"/>
        </w:rPr>
      </w:pPr>
      <w:r>
        <w:rPr>
          <w:rFonts w:hint="eastAsia" w:hAnsi="宋体" w:cs="宋体"/>
          <w:szCs w:val="24"/>
          <w:highlight w:val="none"/>
        </w:rPr>
        <w:t>（5）招标文件中要求的其他证明文件。</w:t>
      </w:r>
    </w:p>
    <w:p w14:paraId="24F75AA8">
      <w:pPr>
        <w:spacing w:line="500" w:lineRule="exact"/>
        <w:ind w:firstLine="480" w:firstLineChars="200"/>
        <w:rPr>
          <w:rFonts w:hAnsi="宋体" w:cs="宋体"/>
          <w:szCs w:val="24"/>
          <w:highlight w:val="none"/>
        </w:rPr>
      </w:pPr>
      <w:r>
        <w:rPr>
          <w:rFonts w:hint="eastAsia" w:hAnsi="宋体" w:cs="宋体"/>
          <w:szCs w:val="24"/>
          <w:highlight w:val="none"/>
        </w:rPr>
        <w:t>9.2 本项目各包不允许提供备选方案，每个供应商只允许提交一个投标方案，否则，其投标将按照无效投标处理。</w:t>
      </w:r>
    </w:p>
    <w:p w14:paraId="6C9531F0">
      <w:pPr>
        <w:spacing w:line="500" w:lineRule="exact"/>
        <w:ind w:firstLine="480" w:firstLineChars="200"/>
        <w:rPr>
          <w:rFonts w:hAnsi="宋体" w:cs="宋体"/>
          <w:szCs w:val="24"/>
          <w:highlight w:val="none"/>
        </w:rPr>
      </w:pPr>
      <w:r>
        <w:rPr>
          <w:rFonts w:hint="eastAsia" w:hAnsi="宋体" w:cs="宋体"/>
          <w:szCs w:val="24"/>
          <w:highlight w:val="none"/>
        </w:rPr>
        <w:t>9.3 供应商可根据自身的资质情况和经营范围进行投标，但不得将其子目自行分解或针对该项目中的品目进行不完全投标，任何不完全的投标将按无效投标处理。</w:t>
      </w:r>
    </w:p>
    <w:p w14:paraId="67ABFA8E">
      <w:pPr>
        <w:spacing w:line="500" w:lineRule="exact"/>
        <w:rPr>
          <w:rFonts w:hAnsi="宋体" w:cs="宋体"/>
          <w:b/>
          <w:szCs w:val="24"/>
          <w:highlight w:val="none"/>
        </w:rPr>
      </w:pPr>
      <w:r>
        <w:rPr>
          <w:rFonts w:hint="eastAsia" w:hAnsi="宋体" w:cs="宋体"/>
          <w:b/>
          <w:szCs w:val="24"/>
          <w:highlight w:val="none"/>
        </w:rPr>
        <w:t>10.投标文件格式</w:t>
      </w:r>
    </w:p>
    <w:p w14:paraId="4E959108">
      <w:pPr>
        <w:spacing w:line="500" w:lineRule="exact"/>
        <w:ind w:firstLine="480" w:firstLineChars="200"/>
        <w:rPr>
          <w:rFonts w:hAnsi="宋体" w:cs="宋体"/>
          <w:szCs w:val="24"/>
          <w:highlight w:val="none"/>
        </w:rPr>
      </w:pPr>
      <w:r>
        <w:rPr>
          <w:rFonts w:hint="eastAsia" w:hAnsi="宋体" w:cs="宋体"/>
          <w:szCs w:val="24"/>
          <w:highlight w:val="none"/>
        </w:rPr>
        <w:t>10.1 供应商应按照招标文件中第六章所提供的格式和要求制作投标文件，明确表达投标意愿，详细说明投标方案、承诺及价格。</w:t>
      </w:r>
    </w:p>
    <w:p w14:paraId="7CC61442">
      <w:pPr>
        <w:spacing w:line="500" w:lineRule="exact"/>
        <w:ind w:firstLine="480" w:firstLineChars="200"/>
        <w:rPr>
          <w:rFonts w:hAnsi="宋体" w:cs="宋体"/>
          <w:szCs w:val="24"/>
          <w:highlight w:val="none"/>
        </w:rPr>
      </w:pPr>
      <w:r>
        <w:rPr>
          <w:rFonts w:hint="eastAsia" w:hAnsi="宋体" w:cs="宋体"/>
          <w:szCs w:val="24"/>
          <w:highlight w:val="none"/>
        </w:rPr>
        <w:t>10.2按招标文件第9条的内容及要求和第六章提供的格式和要求编写其投标文件，供应商不得缺少或留空任何招标文件要求填写的表格或提交的资料。</w:t>
      </w:r>
    </w:p>
    <w:p w14:paraId="6F3B3992">
      <w:pPr>
        <w:spacing w:line="500" w:lineRule="exact"/>
        <w:rPr>
          <w:rFonts w:hAnsi="宋体" w:cs="宋体"/>
          <w:b/>
          <w:szCs w:val="24"/>
          <w:highlight w:val="none"/>
        </w:rPr>
      </w:pPr>
      <w:r>
        <w:rPr>
          <w:rFonts w:hint="eastAsia" w:hAnsi="宋体" w:cs="宋体"/>
          <w:b/>
          <w:szCs w:val="24"/>
          <w:highlight w:val="none"/>
        </w:rPr>
        <w:t>11.投标报价</w:t>
      </w:r>
    </w:p>
    <w:p w14:paraId="3ACE4C71">
      <w:pPr>
        <w:spacing w:line="500" w:lineRule="exact"/>
        <w:ind w:firstLine="480" w:firstLineChars="200"/>
        <w:rPr>
          <w:rFonts w:hAnsi="宋体" w:cs="宋体"/>
          <w:szCs w:val="24"/>
          <w:highlight w:val="none"/>
        </w:rPr>
      </w:pPr>
      <w:r>
        <w:rPr>
          <w:rFonts w:hint="eastAsia" w:hAnsi="宋体" w:cs="宋体"/>
          <w:szCs w:val="24"/>
          <w:highlight w:val="none"/>
        </w:rPr>
        <w:t>11.1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p>
    <w:p w14:paraId="2D62E34F">
      <w:pPr>
        <w:spacing w:line="500" w:lineRule="exact"/>
        <w:ind w:firstLine="480" w:firstLineChars="200"/>
        <w:rPr>
          <w:rFonts w:hAnsi="宋体" w:cs="宋体"/>
          <w:szCs w:val="24"/>
          <w:highlight w:val="none"/>
        </w:rPr>
      </w:pPr>
      <w:r>
        <w:rPr>
          <w:rFonts w:hint="eastAsia" w:hAnsi="宋体" w:cs="宋体"/>
          <w:szCs w:val="24"/>
          <w:highlight w:val="none"/>
        </w:rPr>
        <w:t>11.2投标报价表中标明的价格应为履行合同的固定价格。</w:t>
      </w:r>
    </w:p>
    <w:p w14:paraId="2206C445">
      <w:pPr>
        <w:spacing w:line="500" w:lineRule="exact"/>
        <w:ind w:right="617" w:rightChars="257" w:firstLine="480" w:firstLineChars="200"/>
        <w:rPr>
          <w:rFonts w:hAnsi="宋体" w:cs="宋体"/>
          <w:szCs w:val="24"/>
          <w:highlight w:val="none"/>
        </w:rPr>
      </w:pPr>
      <w:r>
        <w:rPr>
          <w:rFonts w:hint="eastAsia" w:hAnsi="宋体" w:cs="宋体"/>
          <w:szCs w:val="24"/>
          <w:highlight w:val="none"/>
        </w:rPr>
        <w:t>11.3投标报价：总价（精确到小数点后二位）。</w:t>
      </w:r>
    </w:p>
    <w:p w14:paraId="6C561167">
      <w:pPr>
        <w:spacing w:line="500" w:lineRule="exact"/>
        <w:rPr>
          <w:rFonts w:hAnsi="宋体" w:cs="宋体"/>
          <w:b/>
          <w:szCs w:val="24"/>
          <w:highlight w:val="none"/>
        </w:rPr>
      </w:pPr>
      <w:r>
        <w:rPr>
          <w:rFonts w:hint="eastAsia" w:hAnsi="宋体" w:cs="宋体"/>
          <w:b/>
          <w:szCs w:val="24"/>
          <w:highlight w:val="none"/>
        </w:rPr>
        <w:t>12.证明供应商合格和资格的文件</w:t>
      </w:r>
    </w:p>
    <w:p w14:paraId="48FFC852">
      <w:pPr>
        <w:spacing w:line="500" w:lineRule="exact"/>
        <w:ind w:firstLine="480" w:firstLineChars="200"/>
        <w:rPr>
          <w:rFonts w:hAnsi="宋体" w:cs="宋体"/>
          <w:szCs w:val="24"/>
          <w:highlight w:val="none"/>
        </w:rPr>
      </w:pPr>
      <w:r>
        <w:rPr>
          <w:rFonts w:hint="eastAsia" w:hAnsi="宋体" w:cs="宋体"/>
          <w:szCs w:val="24"/>
          <w:highlight w:val="none"/>
        </w:rPr>
        <w:t>12.1供应商应按照招标文件“投标人须知前附表”的要求，在投标文件中提交合格的资格证明文件。如果资格证明文件不齐全或不合格的，其投标将按无效投标处理。</w:t>
      </w:r>
    </w:p>
    <w:p w14:paraId="3E2A2A58">
      <w:pPr>
        <w:spacing w:line="500" w:lineRule="exact"/>
        <w:rPr>
          <w:rFonts w:hAnsi="宋体" w:cs="宋体"/>
          <w:highlight w:val="none"/>
        </w:rPr>
      </w:pPr>
      <w:r>
        <w:rPr>
          <w:rFonts w:hint="eastAsia" w:hAnsi="宋体" w:cs="宋体"/>
          <w:b/>
          <w:szCs w:val="24"/>
          <w:highlight w:val="none"/>
        </w:rPr>
        <w:t>13.证明所提供的服务符合招标文件规定的文件</w:t>
      </w:r>
    </w:p>
    <w:p w14:paraId="3F73D2F9">
      <w:pPr>
        <w:spacing w:line="500" w:lineRule="exact"/>
        <w:ind w:firstLine="480" w:firstLineChars="200"/>
        <w:rPr>
          <w:rFonts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.1</w:t>
      </w:r>
      <w:r>
        <w:rPr>
          <w:rFonts w:hint="eastAsia" w:hAnsi="宋体" w:cs="宋体"/>
          <w:szCs w:val="24"/>
          <w:highlight w:val="none"/>
        </w:rPr>
        <w:t>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6A4B1DB4">
      <w:pPr>
        <w:spacing w:line="500" w:lineRule="exact"/>
        <w:ind w:firstLine="480" w:firstLineChars="200"/>
        <w:rPr>
          <w:rFonts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.2</w:t>
      </w:r>
      <w:r>
        <w:rPr>
          <w:rFonts w:hint="eastAsia" w:hAnsi="宋体" w:cs="宋体"/>
          <w:szCs w:val="24"/>
          <w:highlight w:val="none"/>
        </w:rPr>
        <w:t>上述证明文件可以是文字资料、图纸、图片、数据、宣传彩页等，所有证明文件表达意思必须统一（如需供应商提供样品，样品必须与投标文件的表述完全符合）。包括：</w:t>
      </w:r>
    </w:p>
    <w:p w14:paraId="3176452E">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1)</w:t>
      </w:r>
      <w:r>
        <w:rPr>
          <w:rFonts w:hint="eastAsia" w:hAnsi="宋体" w:cs="宋体"/>
          <w:szCs w:val="24"/>
          <w:highlight w:val="none"/>
        </w:rPr>
        <w:t>产品主要技术指标和性能的详细说明；</w:t>
      </w:r>
    </w:p>
    <w:p w14:paraId="379C2C13">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2</w:t>
      </w:r>
      <w:r>
        <w:rPr>
          <w:rFonts w:hint="eastAsia" w:hAnsi="宋体" w:cs="宋体"/>
          <w:szCs w:val="24"/>
          <w:highlight w:val="none"/>
        </w:rPr>
        <w:t>）生产厂家出具的、相应的产品功能证明材料（包括但不限于测试报告、官网和功能截图等）；</w:t>
      </w:r>
    </w:p>
    <w:p w14:paraId="22739C43">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3)</w:t>
      </w:r>
      <w:r>
        <w:rPr>
          <w:rFonts w:hint="eastAsia" w:hAnsi="宋体" w:cs="宋体"/>
          <w:szCs w:val="24"/>
          <w:highlight w:val="none"/>
        </w:rPr>
        <w:t>逐条对招标文件提出的技术要求和商务要求进行应答，说明所提供的产品和服务对招标的技术和商务要求是否做出了实质性响应并提供支持文件；</w:t>
      </w:r>
    </w:p>
    <w:p w14:paraId="5B796AB2">
      <w:pPr>
        <w:spacing w:line="500" w:lineRule="exact"/>
        <w:ind w:firstLine="480" w:firstLineChars="200"/>
        <w:rPr>
          <w:rFonts w:hAnsi="宋体" w:cs="宋体"/>
          <w:szCs w:val="24"/>
          <w:highlight w:val="none"/>
        </w:rPr>
      </w:pPr>
      <w:r>
        <w:rPr>
          <w:rFonts w:hint="eastAsia" w:hAnsi="宋体" w:cs="宋体"/>
          <w:szCs w:val="24"/>
          <w:highlight w:val="none"/>
        </w:rPr>
        <w:t>（</w:t>
      </w:r>
      <w:r>
        <w:rPr>
          <w:rFonts w:hAnsi="宋体" w:cs="宋体"/>
          <w:szCs w:val="24"/>
          <w:highlight w:val="none"/>
        </w:rPr>
        <w:t>4</w:t>
      </w:r>
      <w:r>
        <w:rPr>
          <w:rFonts w:hint="eastAsia" w:hAnsi="宋体" w:cs="宋体"/>
          <w:szCs w:val="24"/>
          <w:highlight w:val="none"/>
        </w:rPr>
        <w:t>）供货范围和服务内容的详细说明。</w:t>
      </w:r>
    </w:p>
    <w:p w14:paraId="0E7BEAC1">
      <w:pPr>
        <w:spacing w:line="360" w:lineRule="auto"/>
        <w:ind w:firstLine="482" w:firstLineChars="200"/>
        <w:rPr>
          <w:rFonts w:hAnsi="宋体" w:cs="宋体"/>
          <w:szCs w:val="24"/>
          <w:highlight w:val="none"/>
        </w:rPr>
      </w:pPr>
      <w:r>
        <w:rPr>
          <w:rFonts w:hint="eastAsia" w:hAnsi="宋体" w:cs="宋体"/>
          <w:b/>
          <w:szCs w:val="24"/>
          <w:highlight w:val="none"/>
        </w:rPr>
        <w:t>14.投标保证金</w:t>
      </w:r>
      <w:r>
        <w:rPr>
          <w:rFonts w:hint="eastAsia" w:hAnsi="宋体" w:cs="宋体"/>
          <w:szCs w:val="24"/>
          <w:highlight w:val="none"/>
        </w:rPr>
        <w:t>：</w:t>
      </w:r>
    </w:p>
    <w:p w14:paraId="1ED2B684">
      <w:pPr>
        <w:spacing w:line="360" w:lineRule="auto"/>
        <w:ind w:firstLine="480" w:firstLineChars="200"/>
        <w:rPr>
          <w:rFonts w:hAnsi="宋体" w:cs="宋体"/>
          <w:szCs w:val="24"/>
          <w:highlight w:val="none"/>
        </w:rPr>
      </w:pPr>
      <w:r>
        <w:rPr>
          <w:rFonts w:hint="eastAsia" w:hAnsi="宋体" w:cs="宋体"/>
          <w:szCs w:val="24"/>
          <w:highlight w:val="none"/>
        </w:rPr>
        <w:t>14.1投标人在投标时应向陕西至诚项目管理集团有限公司提交“投标人须知前附表”规定数额的投标保证金,并作为其投标的一部分。</w:t>
      </w:r>
    </w:p>
    <w:p w14:paraId="750C1F44">
      <w:pPr>
        <w:spacing w:line="360" w:lineRule="auto"/>
        <w:ind w:firstLine="480" w:firstLineChars="200"/>
        <w:rPr>
          <w:rFonts w:hAnsi="宋体" w:cs="宋体"/>
          <w:szCs w:val="24"/>
          <w:highlight w:val="none"/>
        </w:rPr>
      </w:pPr>
      <w:r>
        <w:rPr>
          <w:rFonts w:hint="eastAsia" w:hAnsi="宋体" w:cs="宋体"/>
          <w:szCs w:val="24"/>
          <w:highlight w:val="none"/>
        </w:rPr>
        <w:t>14.2投标保证金是为了保护招标人和招标代理机构免遭因投标人的行为而蒙受损失。招标人和招标代理机构在因投标人的行为受到损害时可根据本须知的规定第3.4.7条没收投标人的投标保证金。</w:t>
      </w:r>
    </w:p>
    <w:p w14:paraId="49FA4AFA">
      <w:pPr>
        <w:spacing w:line="360" w:lineRule="auto"/>
        <w:ind w:firstLine="480" w:firstLineChars="200"/>
        <w:rPr>
          <w:rFonts w:hAnsi="宋体" w:cs="宋体"/>
          <w:szCs w:val="24"/>
          <w:highlight w:val="none"/>
        </w:rPr>
      </w:pPr>
      <w:r>
        <w:rPr>
          <w:rFonts w:hint="eastAsia" w:hAnsi="宋体" w:cs="宋体"/>
          <w:szCs w:val="24"/>
          <w:highlight w:val="none"/>
        </w:rPr>
        <w:t>14.3投标保证金的缴纳形式：转账、电汇、担保机构保函</w:t>
      </w:r>
    </w:p>
    <w:p w14:paraId="1C74718E">
      <w:pPr>
        <w:spacing w:line="360" w:lineRule="auto"/>
        <w:ind w:firstLine="480" w:firstLineChars="200"/>
        <w:rPr>
          <w:rFonts w:hAnsi="宋体" w:cs="宋体"/>
          <w:szCs w:val="24"/>
          <w:highlight w:val="none"/>
        </w:rPr>
      </w:pPr>
      <w:r>
        <w:rPr>
          <w:rFonts w:hint="eastAsia" w:hAnsi="宋体" w:cs="宋体"/>
          <w:szCs w:val="24"/>
          <w:highlight w:val="none"/>
        </w:rPr>
        <w:t>14.4投标保证金必须按照招标文件“投标人须知前附表”中规定的缴纳金额及方式办理。</w:t>
      </w:r>
    </w:p>
    <w:p w14:paraId="03CC69E4">
      <w:pPr>
        <w:spacing w:line="360" w:lineRule="auto"/>
        <w:ind w:firstLine="480" w:firstLineChars="200"/>
        <w:rPr>
          <w:rFonts w:hAnsi="宋体" w:cs="宋体"/>
          <w:szCs w:val="24"/>
          <w:highlight w:val="none"/>
        </w:rPr>
      </w:pPr>
      <w:r>
        <w:rPr>
          <w:rFonts w:hint="eastAsia" w:hAnsi="宋体" w:cs="宋体"/>
          <w:szCs w:val="24"/>
          <w:highlight w:val="none"/>
        </w:rPr>
        <w:t>14.5开标后经审查，未提交投标保证金、未按时间提交投标保证金、投标保证金金额不足或投标保证金缴纳凭证未附在投标文件内的投标将按无效投标处理。</w:t>
      </w:r>
    </w:p>
    <w:p w14:paraId="670F33D2">
      <w:pPr>
        <w:spacing w:line="360" w:lineRule="auto"/>
        <w:ind w:firstLine="480" w:firstLineChars="200"/>
        <w:rPr>
          <w:rFonts w:hAnsi="宋体" w:cs="宋体"/>
          <w:szCs w:val="24"/>
          <w:highlight w:val="none"/>
        </w:rPr>
      </w:pPr>
      <w:r>
        <w:rPr>
          <w:rFonts w:hint="eastAsia" w:hAnsi="宋体" w:cs="宋体"/>
          <w:szCs w:val="24"/>
          <w:highlight w:val="none"/>
        </w:rPr>
        <w:t>14.6未中标人的投标保证金，将在中标通知书发出后五个工作日内退还；中标人的投标保证金，在合同签订后五个工作日内退还</w:t>
      </w:r>
      <w:r>
        <w:rPr>
          <w:rFonts w:hint="eastAsia" w:hAnsi="宋体" w:cs="宋体"/>
          <w:b/>
          <w:bCs/>
          <w:szCs w:val="24"/>
          <w:highlight w:val="none"/>
        </w:rPr>
        <w:t>（退还时，须向采购代理机构提供采购合同扫描件壹份）</w:t>
      </w:r>
      <w:r>
        <w:rPr>
          <w:rFonts w:hint="eastAsia" w:hAnsi="宋体" w:cs="宋体"/>
          <w:szCs w:val="24"/>
          <w:highlight w:val="none"/>
        </w:rPr>
        <w:t>。</w:t>
      </w:r>
    </w:p>
    <w:p w14:paraId="5C54BA4D">
      <w:pPr>
        <w:spacing w:line="360" w:lineRule="auto"/>
        <w:ind w:firstLine="480" w:firstLineChars="200"/>
        <w:rPr>
          <w:rFonts w:hAnsi="宋体" w:cs="宋体"/>
          <w:szCs w:val="24"/>
          <w:highlight w:val="none"/>
        </w:rPr>
      </w:pPr>
      <w:r>
        <w:rPr>
          <w:rFonts w:hint="eastAsia" w:hAnsi="宋体" w:cs="宋体"/>
          <w:szCs w:val="24"/>
          <w:highlight w:val="none"/>
        </w:rPr>
        <w:t>14.7投标人以担保机构保函形式缴纳投标保证金的，招标结束之后将担保机构保函原件退回（退换时间参照3.4.6条款）；</w:t>
      </w:r>
    </w:p>
    <w:p w14:paraId="68C44A34">
      <w:pPr>
        <w:spacing w:line="360" w:lineRule="auto"/>
        <w:ind w:firstLine="480" w:firstLineChars="200"/>
        <w:rPr>
          <w:rFonts w:hAnsi="宋体" w:cs="宋体"/>
          <w:szCs w:val="24"/>
          <w:highlight w:val="none"/>
        </w:rPr>
      </w:pPr>
      <w:r>
        <w:rPr>
          <w:rFonts w:hint="eastAsia" w:hAnsi="宋体" w:cs="宋体"/>
          <w:szCs w:val="24"/>
          <w:highlight w:val="none"/>
        </w:rPr>
        <w:t>14.8下列任何情况发生时，视为投标人违约，其投标保证金将被没收：</w:t>
      </w:r>
    </w:p>
    <w:p w14:paraId="0CA618B8">
      <w:pPr>
        <w:spacing w:line="360" w:lineRule="auto"/>
        <w:ind w:firstLine="480" w:firstLineChars="200"/>
        <w:rPr>
          <w:rFonts w:hAnsi="宋体" w:cs="宋体"/>
          <w:szCs w:val="24"/>
          <w:highlight w:val="none"/>
        </w:rPr>
      </w:pPr>
      <w:r>
        <w:rPr>
          <w:rFonts w:hint="eastAsia" w:hAnsi="宋体" w:cs="宋体"/>
          <w:szCs w:val="24"/>
          <w:highlight w:val="none"/>
        </w:rPr>
        <w:t>1) 投标人在投标有效期内撤回其投标；</w:t>
      </w:r>
    </w:p>
    <w:p w14:paraId="45370CD4">
      <w:pPr>
        <w:spacing w:line="360" w:lineRule="auto"/>
        <w:ind w:firstLine="480" w:firstLineChars="200"/>
        <w:rPr>
          <w:rFonts w:hAnsi="宋体" w:cs="宋体"/>
          <w:szCs w:val="24"/>
          <w:highlight w:val="none"/>
        </w:rPr>
      </w:pPr>
      <w:r>
        <w:rPr>
          <w:rFonts w:hint="eastAsia" w:hAnsi="宋体" w:cs="宋体"/>
          <w:szCs w:val="24"/>
          <w:highlight w:val="none"/>
        </w:rPr>
        <w:t>2) 投标人中标后放弃成交、未能按规定签订合同</w:t>
      </w:r>
      <w:bookmarkStart w:id="43" w:name="OLE_LINK3"/>
      <w:r>
        <w:rPr>
          <w:rFonts w:hint="eastAsia" w:hAnsi="宋体" w:cs="宋体"/>
          <w:szCs w:val="24"/>
          <w:highlight w:val="none"/>
        </w:rPr>
        <w:t>、</w:t>
      </w:r>
      <w:bookmarkEnd w:id="43"/>
      <w:r>
        <w:rPr>
          <w:rFonts w:hint="eastAsia" w:hAnsi="宋体" w:cs="宋体"/>
          <w:szCs w:val="24"/>
          <w:highlight w:val="none"/>
        </w:rPr>
        <w:t>未按招标文件规定提交履约担保；</w:t>
      </w:r>
    </w:p>
    <w:p w14:paraId="36349BD3">
      <w:pPr>
        <w:spacing w:line="360" w:lineRule="auto"/>
        <w:ind w:firstLine="480" w:firstLineChars="200"/>
        <w:rPr>
          <w:rFonts w:hAnsi="宋体" w:cs="宋体"/>
          <w:szCs w:val="24"/>
          <w:highlight w:val="none"/>
        </w:rPr>
      </w:pPr>
      <w:r>
        <w:rPr>
          <w:rFonts w:hint="eastAsia" w:hAnsi="宋体" w:cs="宋体"/>
          <w:szCs w:val="24"/>
          <w:highlight w:val="none"/>
        </w:rPr>
        <w:t>3）投标人中标后将中标项目转让给他人，或者在投标文件中未说明，且未经招标人同意，将中标项目分包给他人的；</w:t>
      </w:r>
    </w:p>
    <w:p w14:paraId="7BB9FFA6">
      <w:pPr>
        <w:spacing w:line="360" w:lineRule="auto"/>
        <w:ind w:firstLine="480" w:firstLineChars="200"/>
        <w:rPr>
          <w:rFonts w:hAnsi="宋体" w:cs="宋体"/>
          <w:szCs w:val="24"/>
          <w:highlight w:val="none"/>
        </w:rPr>
      </w:pPr>
      <w:r>
        <w:rPr>
          <w:rFonts w:hint="eastAsia" w:hAnsi="宋体" w:cs="宋体"/>
          <w:szCs w:val="24"/>
          <w:highlight w:val="none"/>
        </w:rPr>
        <w:t>4）投标人事先未通告无故不参加投标活动的；</w:t>
      </w:r>
    </w:p>
    <w:p w14:paraId="5A301121">
      <w:pPr>
        <w:spacing w:line="360" w:lineRule="auto"/>
        <w:ind w:firstLine="480" w:firstLineChars="200"/>
        <w:rPr>
          <w:rFonts w:hAnsi="宋体" w:cs="宋体"/>
          <w:szCs w:val="24"/>
          <w:highlight w:val="none"/>
        </w:rPr>
      </w:pPr>
      <w:r>
        <w:rPr>
          <w:rFonts w:hint="eastAsia" w:hAnsi="宋体" w:cs="宋体"/>
          <w:szCs w:val="24"/>
          <w:highlight w:val="none"/>
        </w:rPr>
        <w:t>5）投标人在投标文件中提供伪造、套改、虚假资料参加投标的；</w:t>
      </w:r>
    </w:p>
    <w:p w14:paraId="0A6319D1">
      <w:pPr>
        <w:spacing w:line="360" w:lineRule="auto"/>
        <w:ind w:firstLine="480" w:firstLineChars="200"/>
        <w:rPr>
          <w:rFonts w:hAnsi="宋体" w:cs="宋体"/>
          <w:szCs w:val="24"/>
          <w:highlight w:val="none"/>
        </w:rPr>
      </w:pPr>
      <w:r>
        <w:rPr>
          <w:rFonts w:hint="eastAsia" w:hAnsi="宋体" w:cs="宋体"/>
          <w:szCs w:val="24"/>
          <w:highlight w:val="none"/>
        </w:rPr>
        <w:t>6）投标人不按法定程序进行质疑和投诉,捏造事实，查无实据，造成恶劣影响</w:t>
      </w:r>
    </w:p>
    <w:p w14:paraId="3D830147">
      <w:pPr>
        <w:spacing w:line="360" w:lineRule="auto"/>
        <w:ind w:firstLine="480" w:firstLineChars="200"/>
        <w:rPr>
          <w:rFonts w:hAnsi="宋体" w:cs="宋体"/>
          <w:szCs w:val="24"/>
          <w:highlight w:val="none"/>
        </w:rPr>
      </w:pPr>
      <w:r>
        <w:rPr>
          <w:rFonts w:hint="eastAsia" w:hAnsi="宋体" w:cs="宋体"/>
          <w:szCs w:val="24"/>
          <w:highlight w:val="none"/>
        </w:rPr>
        <w:t>导致采购活动无法正常进行的；</w:t>
      </w:r>
    </w:p>
    <w:p w14:paraId="7B3BBF6E">
      <w:pPr>
        <w:spacing w:line="360" w:lineRule="auto"/>
        <w:ind w:firstLine="480" w:firstLineChars="200"/>
        <w:rPr>
          <w:rFonts w:hAnsi="宋体" w:cs="宋体"/>
          <w:szCs w:val="24"/>
          <w:highlight w:val="none"/>
        </w:rPr>
      </w:pPr>
      <w:r>
        <w:rPr>
          <w:rFonts w:hint="eastAsia" w:hAnsi="宋体" w:cs="宋体"/>
          <w:szCs w:val="24"/>
          <w:highlight w:val="none"/>
        </w:rPr>
        <w:t>14.9投标保证金的有</w:t>
      </w:r>
      <w:bookmarkStart w:id="44" w:name="OLE_LINK47"/>
      <w:r>
        <w:rPr>
          <w:rFonts w:hint="eastAsia" w:hAnsi="宋体" w:cs="宋体"/>
          <w:szCs w:val="24"/>
          <w:highlight w:val="none"/>
        </w:rPr>
        <w:t>效</w:t>
      </w:r>
      <w:bookmarkEnd w:id="44"/>
      <w:r>
        <w:rPr>
          <w:rFonts w:hint="eastAsia" w:hAnsi="宋体" w:cs="宋体"/>
          <w:szCs w:val="24"/>
          <w:highlight w:val="none"/>
        </w:rPr>
        <w:t>期与投标有效期一致，担保机构出具的保函有效期为投标有效期延长一个月。</w:t>
      </w:r>
    </w:p>
    <w:p w14:paraId="013E3C95">
      <w:pPr>
        <w:spacing w:line="500" w:lineRule="exact"/>
        <w:rPr>
          <w:rFonts w:hAnsi="宋体" w:cs="宋体"/>
          <w:b/>
          <w:szCs w:val="24"/>
          <w:highlight w:val="none"/>
        </w:rPr>
      </w:pPr>
      <w:r>
        <w:rPr>
          <w:rFonts w:hint="eastAsia" w:hAnsi="宋体" w:cs="宋体"/>
          <w:b/>
          <w:szCs w:val="24"/>
          <w:highlight w:val="none"/>
        </w:rPr>
        <w:t>15.投标有效期</w:t>
      </w:r>
    </w:p>
    <w:p w14:paraId="374078A1">
      <w:pPr>
        <w:spacing w:line="500" w:lineRule="exact"/>
        <w:ind w:firstLine="480" w:firstLineChars="200"/>
        <w:rPr>
          <w:rFonts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14:paraId="53A9347C">
      <w:pPr>
        <w:spacing w:line="500" w:lineRule="exact"/>
        <w:ind w:firstLine="480" w:firstLineChars="200"/>
        <w:rPr>
          <w:rFonts w:hAnsi="宋体" w:cs="宋体"/>
          <w:szCs w:val="24"/>
          <w:highlight w:val="none"/>
        </w:rPr>
      </w:pPr>
      <w:r>
        <w:rPr>
          <w:rFonts w:hint="eastAsia" w:hAnsi="宋体" w:cs="宋体"/>
          <w:szCs w:val="24"/>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r>
        <w:rPr>
          <w:rFonts w:hint="eastAsia" w:hAnsi="宋体" w:cs="宋体"/>
          <w:highlight w:val="none"/>
        </w:rPr>
        <w:t>。</w:t>
      </w:r>
    </w:p>
    <w:p w14:paraId="6823ADD6">
      <w:pPr>
        <w:numPr>
          <w:ilvl w:val="0"/>
          <w:numId w:val="3"/>
        </w:numPr>
        <w:spacing w:line="500" w:lineRule="exact"/>
        <w:rPr>
          <w:rFonts w:hAnsi="宋体" w:cs="宋体"/>
          <w:b/>
          <w:szCs w:val="24"/>
          <w:highlight w:val="none"/>
        </w:rPr>
      </w:pPr>
      <w:r>
        <w:rPr>
          <w:rFonts w:hint="eastAsia" w:hAnsi="宋体" w:cs="宋体"/>
          <w:b/>
          <w:szCs w:val="24"/>
          <w:highlight w:val="none"/>
        </w:rPr>
        <w:t>投标文件的式样和签署</w:t>
      </w:r>
    </w:p>
    <w:p w14:paraId="589E8A13">
      <w:pPr>
        <w:spacing w:line="360" w:lineRule="auto"/>
        <w:ind w:firstLine="480" w:firstLineChars="200"/>
        <w:rPr>
          <w:rFonts w:hAnsi="宋体" w:cs="宋体"/>
          <w:b/>
          <w:bCs/>
          <w:spacing w:val="-2"/>
          <w:highlight w:val="none"/>
        </w:rPr>
      </w:pPr>
      <w:r>
        <w:rPr>
          <w:rFonts w:hint="eastAsia" w:hAnsi="宋体" w:cs="宋体"/>
          <w:szCs w:val="24"/>
          <w:highlight w:val="none"/>
        </w:rPr>
        <w:t>16.1供应商应按照本章供应商须知的要求, 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同时提供与投标文件正本内容一致的电子版（U盘）一份及开标一览表一份，并标注供应商全称、项目名称、项目编号，与投标文件同时递交。</w:t>
      </w:r>
      <w:r>
        <w:rPr>
          <w:rFonts w:hint="eastAsia" w:hAnsi="宋体" w:cs="宋体"/>
          <w:b/>
          <w:bCs/>
          <w:spacing w:val="4"/>
          <w:highlight w:val="none"/>
        </w:rPr>
        <w:t>投标文件</w:t>
      </w:r>
      <w:r>
        <w:rPr>
          <w:rFonts w:hint="eastAsia" w:hAnsi="宋体" w:cs="宋体"/>
          <w:b/>
          <w:bCs/>
          <w:szCs w:val="24"/>
          <w:highlight w:val="none"/>
        </w:rPr>
        <w:t>电子版为正本签字盖章后的PDF格式扫描件，与正本具有同等法律效力。</w:t>
      </w:r>
    </w:p>
    <w:p w14:paraId="0B4C8712">
      <w:pPr>
        <w:spacing w:line="500" w:lineRule="exact"/>
        <w:ind w:firstLine="480" w:firstLineChars="200"/>
        <w:rPr>
          <w:rFonts w:hAnsi="宋体" w:cs="宋体"/>
          <w:szCs w:val="24"/>
          <w:highlight w:val="none"/>
        </w:rPr>
      </w:pPr>
      <w:r>
        <w:rPr>
          <w:rFonts w:hint="eastAsia" w:hAnsi="宋体" w:cs="宋体"/>
          <w:szCs w:val="24"/>
          <w:highlight w:val="none"/>
        </w:rPr>
        <w:t>16.2投标文件的正本和副本均需打印或用不褪色、不变质的墨水书写，并由供应商的法定代表人或负责人或其授权代表在规定签章处签字和盖章（招标文件要求投标文件中法定代表人或负责人签字处由法定代表人或负责人签署，要求授权代表签字处由授权代表签署）。投标文件副本可采用正本的复印件。</w:t>
      </w:r>
    </w:p>
    <w:p w14:paraId="3EB0C090">
      <w:pPr>
        <w:spacing w:line="500" w:lineRule="exact"/>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16.3任何行间插字、涂改和增删，必须由供应商的法定代表人或负责人或其授权代表在旁边签字方有效。</w:t>
      </w:r>
    </w:p>
    <w:p w14:paraId="7412C4F5">
      <w:pPr>
        <w:spacing w:line="500" w:lineRule="exact"/>
        <w:ind w:firstLine="480" w:firstLineChars="200"/>
        <w:rPr>
          <w:rFonts w:hAnsi="宋体" w:cs="宋体"/>
          <w:highlight w:val="none"/>
        </w:rPr>
      </w:pPr>
      <w:r>
        <w:rPr>
          <w:rFonts w:hint="eastAsia" w:hAnsi="宋体" w:cs="宋体"/>
          <w:highlight w:val="none"/>
        </w:rPr>
        <w:t>16.4供应商名称应填写全称，投标文件正本要求盖章部分必须加盖供应商鲜章。</w:t>
      </w:r>
    </w:p>
    <w:p w14:paraId="3393A184">
      <w:pPr>
        <w:spacing w:line="500" w:lineRule="exact"/>
        <w:ind w:firstLine="480" w:firstLineChars="200"/>
        <w:rPr>
          <w:rFonts w:hAnsi="宋体" w:cs="宋体"/>
          <w:szCs w:val="24"/>
          <w:highlight w:val="none"/>
        </w:rPr>
      </w:pPr>
      <w:r>
        <w:rPr>
          <w:rFonts w:hint="eastAsia" w:hAnsi="宋体" w:cs="宋体"/>
          <w:szCs w:val="24"/>
          <w:highlight w:val="none"/>
        </w:rPr>
        <w:t>16.5 投标文件正本和副本按照招标文件第六章规定的顺序编排、并应</w:t>
      </w:r>
      <w:r>
        <w:rPr>
          <w:rFonts w:hint="eastAsia" w:hAnsi="宋体" w:cs="宋体"/>
          <w:szCs w:val="24"/>
          <w:highlight w:val="none"/>
          <w:lang w:val="zh-CN"/>
        </w:rPr>
        <w:t>编制目录，</w:t>
      </w:r>
      <w:r>
        <w:rPr>
          <w:rFonts w:hint="eastAsia" w:hAnsi="宋体" w:cs="宋体"/>
          <w:szCs w:val="24"/>
          <w:highlight w:val="none"/>
        </w:rPr>
        <w:t>逐页标注连续页码，并分别</w:t>
      </w:r>
      <w:r>
        <w:rPr>
          <w:rFonts w:hint="eastAsia" w:hAnsi="宋体" w:cs="宋体"/>
          <w:szCs w:val="24"/>
          <w:highlight w:val="none"/>
          <w:lang w:val="zh-CN"/>
        </w:rPr>
        <w:t>胶装成册</w:t>
      </w:r>
      <w:r>
        <w:rPr>
          <w:rFonts w:hint="eastAsia" w:hAnsi="宋体" w:cs="宋体"/>
          <w:szCs w:val="24"/>
          <w:highlight w:val="none"/>
        </w:rPr>
        <w:t>。</w:t>
      </w:r>
    </w:p>
    <w:p w14:paraId="6F8D7BF5">
      <w:pPr>
        <w:spacing w:line="500" w:lineRule="exact"/>
        <w:ind w:firstLine="480" w:firstLineChars="200"/>
        <w:rPr>
          <w:rFonts w:hAnsi="宋体" w:cs="宋体"/>
          <w:szCs w:val="24"/>
          <w:highlight w:val="none"/>
        </w:rPr>
      </w:pPr>
      <w:r>
        <w:rPr>
          <w:rFonts w:hint="eastAsia" w:hAnsi="宋体" w:cs="宋体"/>
          <w:szCs w:val="24"/>
          <w:highlight w:val="none"/>
        </w:rPr>
        <w:t>16.6因字迹潦草、表述不清或不按招标文件格式编制的投标文件，所引起的对供应商不利的后果，由供应商自行负责。</w:t>
      </w:r>
    </w:p>
    <w:p w14:paraId="5B776E5F">
      <w:pPr>
        <w:tabs>
          <w:tab w:val="left" w:pos="1080"/>
        </w:tabs>
        <w:spacing w:line="500" w:lineRule="exact"/>
        <w:ind w:firstLine="460" w:firstLineChars="192"/>
        <w:rPr>
          <w:rFonts w:hAnsi="宋体" w:cs="宋体"/>
          <w:highlight w:val="none"/>
        </w:rPr>
      </w:pPr>
      <w:r>
        <w:rPr>
          <w:rFonts w:hint="eastAsia" w:hAnsi="宋体" w:cs="宋体"/>
          <w:szCs w:val="24"/>
          <w:highlight w:val="none"/>
        </w:rPr>
        <w:t>16.7投标文件的副本、电子版须和正本保持一致。</w:t>
      </w:r>
      <w:r>
        <w:rPr>
          <w:rFonts w:hint="eastAsia" w:hAnsi="宋体" w:cs="宋体"/>
          <w:highlight w:val="none"/>
        </w:rPr>
        <w:t>若正本、副本和电子版有不一致的内容，以正本为准。</w:t>
      </w:r>
    </w:p>
    <w:p w14:paraId="5428A186">
      <w:pPr>
        <w:spacing w:before="333" w:beforeLines="100" w:after="333" w:afterLines="100" w:line="500" w:lineRule="exact"/>
        <w:jc w:val="center"/>
        <w:rPr>
          <w:rFonts w:hAnsi="宋体" w:cs="宋体"/>
          <w:b/>
          <w:sz w:val="32"/>
          <w:szCs w:val="32"/>
          <w:highlight w:val="none"/>
        </w:rPr>
      </w:pPr>
      <w:bookmarkStart w:id="45" w:name="_Toc363473975"/>
      <w:bookmarkStart w:id="46" w:name="_Toc403077642"/>
      <w:bookmarkStart w:id="47" w:name="_Toc363474020"/>
      <w:r>
        <w:rPr>
          <w:rFonts w:hint="eastAsia" w:hAnsi="宋体" w:cs="宋体"/>
          <w:b/>
          <w:sz w:val="32"/>
          <w:szCs w:val="32"/>
          <w:highlight w:val="none"/>
        </w:rPr>
        <w:t>四.投标文件的递交</w:t>
      </w:r>
      <w:bookmarkEnd w:id="45"/>
      <w:bookmarkEnd w:id="46"/>
      <w:bookmarkEnd w:id="47"/>
    </w:p>
    <w:p w14:paraId="2B09456C">
      <w:pPr>
        <w:spacing w:line="500" w:lineRule="exact"/>
        <w:rPr>
          <w:rFonts w:hAnsi="宋体" w:cs="宋体"/>
          <w:b/>
          <w:szCs w:val="24"/>
          <w:highlight w:val="none"/>
        </w:rPr>
      </w:pPr>
      <w:r>
        <w:rPr>
          <w:rFonts w:hint="eastAsia" w:hAnsi="宋体" w:cs="宋体"/>
          <w:b/>
          <w:szCs w:val="24"/>
          <w:highlight w:val="none"/>
        </w:rPr>
        <w:t>17.投标文件的密封和标记</w:t>
      </w:r>
    </w:p>
    <w:p w14:paraId="2B1B59EF">
      <w:pPr>
        <w:spacing w:line="500" w:lineRule="exact"/>
        <w:ind w:firstLine="480" w:firstLineChars="200"/>
        <w:rPr>
          <w:rFonts w:hAnsi="宋体" w:cs="宋体"/>
          <w:szCs w:val="24"/>
          <w:highlight w:val="none"/>
        </w:rPr>
      </w:pPr>
      <w:r>
        <w:rPr>
          <w:rFonts w:hint="eastAsia" w:hAnsi="宋体" w:cs="宋体"/>
          <w:szCs w:val="24"/>
          <w:highlight w:val="none"/>
        </w:rPr>
        <w:t>17.1</w:t>
      </w:r>
      <w:r>
        <w:rPr>
          <w:rFonts w:hint="eastAsia" w:hAnsi="宋体" w:cs="宋体"/>
          <w:highlight w:val="none"/>
        </w:rPr>
        <w:t>为方便开标唱标，开标一览表除投标文件内装订外，再制作一份单独密封在封袋中。封线处加贴封条并加盖供应商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14:paraId="497DF43E">
      <w:pPr>
        <w:spacing w:line="500" w:lineRule="exact"/>
        <w:ind w:firstLine="480" w:firstLineChars="200"/>
        <w:rPr>
          <w:rFonts w:hAnsi="宋体" w:cs="宋体"/>
          <w:szCs w:val="24"/>
          <w:highlight w:val="none"/>
        </w:rPr>
      </w:pPr>
      <w:r>
        <w:rPr>
          <w:rFonts w:hint="eastAsia" w:hAnsi="宋体" w:cs="宋体"/>
          <w:szCs w:val="24"/>
          <w:highlight w:val="none"/>
        </w:rPr>
        <w:t>17.2供应商应将投标文件正本、所有的副本、电子版本、开标一览表分别单独密封装在封袋中（封袋不得有破损），且在封袋正面标明“正本”“副本”“电子版本”“开标一览表”字样。封袋应加贴封条，并在封线处加盖供应商公章，封袋正面要粘贴供应商全称、项目名称、项目编号等标识。</w:t>
      </w:r>
    </w:p>
    <w:p w14:paraId="09EBA9A9">
      <w:pPr>
        <w:spacing w:line="500" w:lineRule="exact"/>
        <w:ind w:firstLine="480" w:firstLineChars="200"/>
        <w:rPr>
          <w:rFonts w:hAnsi="宋体" w:cs="宋体"/>
          <w:szCs w:val="24"/>
          <w:highlight w:val="none"/>
        </w:rPr>
      </w:pPr>
      <w:r>
        <w:rPr>
          <w:rFonts w:hint="eastAsia" w:hAnsi="宋体" w:cs="宋体"/>
          <w:szCs w:val="24"/>
          <w:highlight w:val="none"/>
        </w:rPr>
        <w:t>17.3外层包装请按以下要求标记：</w:t>
      </w:r>
    </w:p>
    <w:p w14:paraId="60083A5D">
      <w:pPr>
        <w:spacing w:line="500" w:lineRule="exact"/>
        <w:ind w:firstLine="480" w:firstLineChars="200"/>
        <w:rPr>
          <w:rFonts w:hAnsi="宋体" w:cs="宋体"/>
          <w:szCs w:val="24"/>
          <w:highlight w:val="none"/>
        </w:rPr>
      </w:pPr>
      <w:r>
        <w:rPr>
          <w:rFonts w:hint="eastAsia" w:hAnsi="宋体" w:cs="宋体"/>
          <w:szCs w:val="24"/>
          <w:highlight w:val="none"/>
        </w:rPr>
        <w:t xml:space="preserve">   （1) 供应商的全称；</w:t>
      </w:r>
    </w:p>
    <w:p w14:paraId="237B7EA8">
      <w:pPr>
        <w:spacing w:line="500" w:lineRule="exact"/>
        <w:ind w:firstLine="480" w:firstLineChars="200"/>
        <w:rPr>
          <w:rFonts w:hAnsi="宋体" w:cs="宋体"/>
          <w:szCs w:val="24"/>
          <w:highlight w:val="none"/>
        </w:rPr>
      </w:pPr>
      <w:r>
        <w:rPr>
          <w:rFonts w:hint="eastAsia" w:hAnsi="宋体" w:cs="宋体"/>
          <w:szCs w:val="24"/>
          <w:highlight w:val="none"/>
        </w:rPr>
        <w:t xml:space="preserve">   （2) 投标项目名称、项目编号；</w:t>
      </w:r>
    </w:p>
    <w:p w14:paraId="38E2A0CE">
      <w:pPr>
        <w:spacing w:line="500" w:lineRule="exact"/>
        <w:ind w:firstLine="480" w:firstLineChars="200"/>
        <w:rPr>
          <w:rFonts w:hAnsi="宋体" w:cs="宋体"/>
          <w:szCs w:val="24"/>
          <w:highlight w:val="none"/>
        </w:rPr>
      </w:pPr>
      <w:r>
        <w:rPr>
          <w:rFonts w:hint="eastAsia" w:hAnsi="宋体" w:cs="宋体"/>
          <w:szCs w:val="24"/>
          <w:highlight w:val="none"/>
        </w:rPr>
        <w:t xml:space="preserve">   （3）正本或副本、电子版本、开标一览表“请勿在＿＿＿＿(开标时间)之前启封”。</w:t>
      </w:r>
    </w:p>
    <w:p w14:paraId="2276EC8A">
      <w:pPr>
        <w:spacing w:line="500" w:lineRule="exact"/>
        <w:ind w:firstLine="480" w:firstLineChars="200"/>
        <w:rPr>
          <w:rFonts w:hAnsi="宋体" w:cs="宋体"/>
          <w:szCs w:val="24"/>
          <w:highlight w:val="none"/>
        </w:rPr>
      </w:pPr>
      <w:r>
        <w:rPr>
          <w:rFonts w:hint="eastAsia" w:hAnsi="宋体" w:cs="宋体"/>
          <w:szCs w:val="24"/>
          <w:highlight w:val="none"/>
        </w:rPr>
        <w:t>17.4如果供应商未对投标文件按上述要求进行完好密封，由此产生的不利后果由供应商自行承担。</w:t>
      </w:r>
    </w:p>
    <w:p w14:paraId="2DE89101">
      <w:pPr>
        <w:spacing w:line="500" w:lineRule="exact"/>
        <w:rPr>
          <w:rFonts w:hAnsi="宋体" w:cs="宋体"/>
          <w:b/>
          <w:szCs w:val="24"/>
          <w:highlight w:val="none"/>
        </w:rPr>
      </w:pPr>
      <w:r>
        <w:rPr>
          <w:rFonts w:hint="eastAsia" w:hAnsi="宋体" w:cs="宋体"/>
          <w:b/>
          <w:szCs w:val="24"/>
          <w:highlight w:val="none"/>
        </w:rPr>
        <w:t>18．投标文件的递交</w:t>
      </w:r>
    </w:p>
    <w:p w14:paraId="5FFB8AAA">
      <w:pPr>
        <w:spacing w:line="500" w:lineRule="exact"/>
        <w:ind w:firstLine="480" w:firstLineChars="200"/>
        <w:rPr>
          <w:rFonts w:hAnsi="宋体" w:cs="宋体"/>
          <w:szCs w:val="24"/>
          <w:highlight w:val="none"/>
        </w:rPr>
      </w:pPr>
      <w:r>
        <w:rPr>
          <w:rFonts w:hint="eastAsia" w:hAnsi="宋体" w:cs="宋体"/>
          <w:szCs w:val="24"/>
          <w:highlight w:val="none"/>
        </w:rPr>
        <w:t>18.1供应商应按照招标公告中规定的时间、地点，在规定的投标文件递交截止时间前将全部投标文件和投标资料递交至采购代理机构投标文件接收人。</w:t>
      </w:r>
    </w:p>
    <w:p w14:paraId="19480C4A">
      <w:pPr>
        <w:spacing w:line="500" w:lineRule="exact"/>
        <w:ind w:firstLine="480" w:firstLineChars="200"/>
        <w:rPr>
          <w:rFonts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14:paraId="37DBF72F">
      <w:pPr>
        <w:spacing w:line="500" w:lineRule="exact"/>
        <w:ind w:firstLine="480" w:firstLineChars="200"/>
        <w:rPr>
          <w:rFonts w:hAnsi="宋体" w:cs="宋体"/>
          <w:szCs w:val="24"/>
          <w:highlight w:val="none"/>
        </w:rPr>
      </w:pPr>
      <w:r>
        <w:rPr>
          <w:rFonts w:hint="eastAsia" w:hAnsi="宋体" w:cs="宋体"/>
          <w:szCs w:val="24"/>
          <w:highlight w:val="none"/>
        </w:rPr>
        <w:t>18.3采购代理机构收到投标文件后，向供应商出具签收回执。</w:t>
      </w:r>
    </w:p>
    <w:p w14:paraId="5AAF80F0">
      <w:pPr>
        <w:spacing w:line="500" w:lineRule="exact"/>
        <w:ind w:firstLine="480" w:firstLineChars="200"/>
        <w:rPr>
          <w:rFonts w:hAnsi="宋体" w:cs="宋体"/>
          <w:spacing w:val="-2"/>
          <w:highlight w:val="none"/>
        </w:rPr>
      </w:pPr>
      <w:r>
        <w:rPr>
          <w:rFonts w:hint="eastAsia" w:hAnsi="宋体" w:cs="宋体"/>
          <w:szCs w:val="24"/>
          <w:highlight w:val="none"/>
        </w:rPr>
        <w:t>18.4无论供应商中标与否，其投标文件</w:t>
      </w:r>
      <w:r>
        <w:rPr>
          <w:rFonts w:hint="eastAsia" w:hAnsi="宋体" w:cs="宋体"/>
          <w:highlight w:val="none"/>
        </w:rPr>
        <w:t>恕不退还。</w:t>
      </w:r>
    </w:p>
    <w:p w14:paraId="749BA5EB">
      <w:pPr>
        <w:spacing w:line="500" w:lineRule="exact"/>
        <w:rPr>
          <w:rFonts w:hAnsi="宋体" w:cs="宋体"/>
          <w:b/>
          <w:szCs w:val="24"/>
          <w:highlight w:val="none"/>
        </w:rPr>
      </w:pPr>
      <w:r>
        <w:rPr>
          <w:rFonts w:hint="eastAsia" w:hAnsi="宋体" w:cs="宋体"/>
          <w:b/>
          <w:szCs w:val="24"/>
          <w:highlight w:val="none"/>
        </w:rPr>
        <w:t>19．迟交的投标文件</w:t>
      </w:r>
    </w:p>
    <w:p w14:paraId="01C746EC">
      <w:pPr>
        <w:spacing w:line="500" w:lineRule="exact"/>
        <w:ind w:firstLine="480" w:firstLineChars="200"/>
        <w:rPr>
          <w:rFonts w:hAnsi="宋体" w:cs="宋体"/>
          <w:szCs w:val="24"/>
          <w:highlight w:val="none"/>
        </w:rPr>
      </w:pPr>
      <w:r>
        <w:rPr>
          <w:rFonts w:hint="eastAsia" w:hAnsi="宋体" w:cs="宋体"/>
          <w:szCs w:val="24"/>
          <w:highlight w:val="none"/>
        </w:rPr>
        <w:t>19.1按照招标文件的规定，在递交投标文件的截止时间之后送达的投标文件，为无效投标文件，采购代理机构将拒绝接收。</w:t>
      </w:r>
    </w:p>
    <w:p w14:paraId="1A375D94">
      <w:pPr>
        <w:spacing w:line="500" w:lineRule="exact"/>
        <w:rPr>
          <w:rFonts w:hAnsi="宋体" w:cs="宋体"/>
          <w:b/>
          <w:szCs w:val="24"/>
          <w:highlight w:val="none"/>
        </w:rPr>
      </w:pPr>
      <w:r>
        <w:rPr>
          <w:rFonts w:hint="eastAsia" w:hAnsi="宋体" w:cs="宋体"/>
          <w:b/>
          <w:szCs w:val="24"/>
          <w:highlight w:val="none"/>
        </w:rPr>
        <w:t>20．投标的修改与撤回</w:t>
      </w:r>
    </w:p>
    <w:p w14:paraId="704A54BA">
      <w:pPr>
        <w:spacing w:line="500" w:lineRule="exact"/>
        <w:ind w:firstLine="480" w:firstLineChars="200"/>
        <w:rPr>
          <w:rFonts w:hAnsi="宋体" w:cs="宋体"/>
          <w:szCs w:val="24"/>
          <w:highlight w:val="none"/>
        </w:rPr>
      </w:pPr>
      <w:r>
        <w:rPr>
          <w:rFonts w:hint="eastAsia" w:hAnsi="宋体" w:cs="宋体"/>
          <w:szCs w:val="24"/>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14:paraId="04811046">
      <w:pPr>
        <w:spacing w:line="500" w:lineRule="exact"/>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5685A6FB">
      <w:pPr>
        <w:spacing w:line="500" w:lineRule="exact"/>
        <w:ind w:firstLine="480" w:firstLineChars="200"/>
        <w:rPr>
          <w:rFonts w:hAnsi="宋体" w:cs="宋体"/>
          <w:szCs w:val="24"/>
          <w:highlight w:val="none"/>
        </w:rPr>
      </w:pPr>
      <w:r>
        <w:rPr>
          <w:rFonts w:hint="eastAsia" w:hAnsi="宋体" w:cs="宋体"/>
          <w:szCs w:val="24"/>
          <w:highlight w:val="none"/>
        </w:rPr>
        <w:t>20.3 在投标文件递交截止时间之后，供应商不得对其投标做任何修改或撤回。</w:t>
      </w:r>
    </w:p>
    <w:p w14:paraId="3AE93FAB">
      <w:pPr>
        <w:spacing w:line="500" w:lineRule="exact"/>
        <w:rPr>
          <w:rFonts w:hAnsi="宋体" w:cs="宋体"/>
          <w:highlight w:val="none"/>
        </w:rPr>
      </w:pPr>
    </w:p>
    <w:p w14:paraId="15C92348">
      <w:pPr>
        <w:spacing w:line="500" w:lineRule="exact"/>
        <w:jc w:val="center"/>
        <w:rPr>
          <w:rFonts w:hAnsi="宋体" w:cs="宋体"/>
          <w:b/>
          <w:sz w:val="32"/>
          <w:szCs w:val="32"/>
          <w:highlight w:val="none"/>
        </w:rPr>
      </w:pPr>
      <w:bookmarkStart w:id="48" w:name="_Toc363474021"/>
      <w:bookmarkStart w:id="49" w:name="_Toc363473976"/>
      <w:bookmarkStart w:id="50" w:name="_Toc403077643"/>
      <w:r>
        <w:rPr>
          <w:rFonts w:hint="eastAsia" w:hAnsi="宋体" w:cs="宋体"/>
          <w:b/>
          <w:sz w:val="32"/>
          <w:szCs w:val="32"/>
          <w:highlight w:val="none"/>
        </w:rPr>
        <w:t>五.开标与评标</w:t>
      </w:r>
      <w:bookmarkEnd w:id="48"/>
      <w:bookmarkEnd w:id="49"/>
      <w:bookmarkEnd w:id="50"/>
    </w:p>
    <w:p w14:paraId="28D73D4A">
      <w:pPr>
        <w:spacing w:line="500" w:lineRule="exact"/>
        <w:rPr>
          <w:rFonts w:hAnsi="宋体" w:cs="宋体"/>
          <w:b/>
          <w:szCs w:val="24"/>
          <w:highlight w:val="none"/>
        </w:rPr>
      </w:pPr>
      <w:r>
        <w:rPr>
          <w:rFonts w:hint="eastAsia" w:hAnsi="宋体" w:cs="宋体"/>
          <w:b/>
          <w:szCs w:val="24"/>
          <w:highlight w:val="none"/>
        </w:rPr>
        <w:t>21.开标</w:t>
      </w:r>
    </w:p>
    <w:p w14:paraId="399FAA7D">
      <w:pPr>
        <w:spacing w:line="500" w:lineRule="exact"/>
        <w:ind w:firstLine="480" w:firstLineChars="200"/>
        <w:rPr>
          <w:rFonts w:hAnsi="宋体" w:cs="宋体"/>
          <w:szCs w:val="24"/>
          <w:highlight w:val="none"/>
        </w:rPr>
      </w:pPr>
      <w:r>
        <w:rPr>
          <w:rFonts w:hint="eastAsia" w:hAnsi="宋体" w:cs="宋体"/>
          <w:szCs w:val="24"/>
          <w:highlight w:val="none"/>
        </w:rPr>
        <w:t>21.1 采购代理机构在规定的时间和地点组织公开开标。开标时所有供应商代表自愿参加，参加开标的代表应签名报到以证明其出席。</w:t>
      </w:r>
    </w:p>
    <w:p w14:paraId="6C67C993">
      <w:pPr>
        <w:spacing w:line="500" w:lineRule="exact"/>
        <w:ind w:firstLine="480" w:firstLineChars="200"/>
        <w:rPr>
          <w:rFonts w:hAnsi="宋体" w:cs="宋体"/>
          <w:szCs w:val="24"/>
          <w:highlight w:val="none"/>
        </w:rPr>
      </w:pPr>
      <w:r>
        <w:rPr>
          <w:rFonts w:hint="eastAsia" w:hAnsi="宋体" w:cs="宋体"/>
          <w:szCs w:val="24"/>
          <w:highlight w:val="none"/>
        </w:rPr>
        <w:t>21.2 开标时，由监标人和供应商或者其推选的代表检查投标文件的密封情况。检查完毕后，采购代理机构当众宣读供应商名称、投标价格、价格折扣、修改或撤回或变动价格的书面通知（如果有），以及采购代理机构认为合适的其他内容。未在开标时宣读的投标价格和价格折扣，评标时不予承认。</w:t>
      </w:r>
    </w:p>
    <w:p w14:paraId="0959BC77">
      <w:pPr>
        <w:spacing w:line="500" w:lineRule="exact"/>
        <w:ind w:firstLine="480" w:firstLineChars="200"/>
        <w:rPr>
          <w:rFonts w:hAnsi="宋体" w:cs="宋体"/>
          <w:szCs w:val="24"/>
          <w:highlight w:val="none"/>
        </w:rPr>
      </w:pPr>
      <w:r>
        <w:rPr>
          <w:rFonts w:hint="eastAsia" w:hAnsi="宋体" w:cs="宋体"/>
          <w:szCs w:val="24"/>
          <w:highlight w:val="none"/>
        </w:rPr>
        <w:t>21.3只有在开标时唱出的价格和价格变动声明，评标时才能考虑。</w:t>
      </w:r>
    </w:p>
    <w:p w14:paraId="488DBBDD">
      <w:pPr>
        <w:spacing w:line="500" w:lineRule="exact"/>
        <w:ind w:firstLine="480" w:firstLineChars="200"/>
        <w:rPr>
          <w:rFonts w:hAnsi="宋体" w:cs="宋体"/>
          <w:szCs w:val="24"/>
          <w:highlight w:val="none"/>
        </w:rPr>
      </w:pPr>
      <w:r>
        <w:rPr>
          <w:rFonts w:hint="eastAsia" w:hAnsi="宋体" w:cs="宋体"/>
          <w:szCs w:val="24"/>
          <w:highlight w:val="none"/>
        </w:rPr>
        <w:t>21.4在开标时没有启封和宣读的投标文件将原封退回给供应商。</w:t>
      </w:r>
    </w:p>
    <w:p w14:paraId="237E8AD6">
      <w:pPr>
        <w:spacing w:line="500" w:lineRule="exact"/>
        <w:ind w:firstLine="480" w:firstLineChars="200"/>
        <w:rPr>
          <w:rFonts w:hAnsi="宋体" w:cs="宋体"/>
          <w:szCs w:val="24"/>
          <w:highlight w:val="none"/>
        </w:rPr>
      </w:pPr>
      <w:r>
        <w:rPr>
          <w:rFonts w:hint="eastAsia" w:hAnsi="宋体" w:cs="宋体"/>
          <w:szCs w:val="24"/>
          <w:highlight w:val="none"/>
        </w:rPr>
        <w:t>21.5 采购代理机构将做开标记录，存档备查。</w:t>
      </w:r>
    </w:p>
    <w:p w14:paraId="46BD698A">
      <w:pPr>
        <w:spacing w:line="500" w:lineRule="exact"/>
        <w:rPr>
          <w:rFonts w:hAnsi="宋体" w:cs="宋体"/>
          <w:b/>
          <w:szCs w:val="24"/>
          <w:highlight w:val="none"/>
        </w:rPr>
      </w:pPr>
      <w:r>
        <w:rPr>
          <w:rFonts w:hint="eastAsia" w:hAnsi="宋体" w:cs="宋体"/>
          <w:b/>
          <w:szCs w:val="24"/>
          <w:highlight w:val="none"/>
        </w:rPr>
        <w:t>22．评标组织及评标原则</w:t>
      </w:r>
    </w:p>
    <w:p w14:paraId="0971DB23">
      <w:pPr>
        <w:spacing w:line="500" w:lineRule="exact"/>
        <w:ind w:firstLine="480" w:firstLineChars="200"/>
        <w:rPr>
          <w:rFonts w:hAnsi="宋体" w:cs="宋体"/>
          <w:szCs w:val="24"/>
          <w:highlight w:val="none"/>
        </w:rPr>
      </w:pPr>
      <w:r>
        <w:rPr>
          <w:rFonts w:hint="eastAsia" w:hAnsi="宋体" w:cs="宋体"/>
          <w:szCs w:val="24"/>
          <w:highlight w:val="none"/>
        </w:rPr>
        <w:t>22.1</w:t>
      </w:r>
      <w:r>
        <w:rPr>
          <w:rFonts w:hint="eastAsia" w:hAnsi="宋体"/>
          <w:szCs w:val="21"/>
          <w:highlight w:val="none"/>
        </w:rPr>
        <w:t>按照《中华人民共和国政府采购法》、中华人民共和国</w:t>
      </w:r>
      <w:r>
        <w:rPr>
          <w:rFonts w:hAnsi="宋体"/>
          <w:szCs w:val="21"/>
          <w:highlight w:val="none"/>
        </w:rPr>
        <w:t>2015</w:t>
      </w:r>
      <w:r>
        <w:rPr>
          <w:rFonts w:hint="eastAsia" w:hAnsi="宋体"/>
          <w:szCs w:val="21"/>
          <w:highlight w:val="none"/>
        </w:rPr>
        <w:t>年第</w:t>
      </w:r>
      <w:r>
        <w:rPr>
          <w:rFonts w:hAnsi="宋体"/>
          <w:szCs w:val="21"/>
          <w:highlight w:val="none"/>
        </w:rPr>
        <w:t>658</w:t>
      </w:r>
      <w:r>
        <w:rPr>
          <w:rFonts w:hint="eastAsia" w:hAnsi="宋体"/>
          <w:szCs w:val="21"/>
          <w:highlight w:val="none"/>
        </w:rPr>
        <w:t>号国务院令</w:t>
      </w:r>
      <w:r>
        <w:rPr>
          <w:rFonts w:hAnsi="宋体"/>
          <w:szCs w:val="21"/>
          <w:highlight w:val="none"/>
        </w:rPr>
        <w:t>--</w:t>
      </w:r>
      <w:r>
        <w:rPr>
          <w:rFonts w:hint="eastAsia" w:hAnsi="宋体"/>
          <w:szCs w:val="21"/>
          <w:highlight w:val="none"/>
        </w:rPr>
        <w:t>《中华人民共和国政府采购法实施条例》和中华人民共和国财政部</w:t>
      </w:r>
      <w:r>
        <w:rPr>
          <w:rFonts w:hAnsi="宋体"/>
          <w:szCs w:val="21"/>
          <w:highlight w:val="none"/>
        </w:rPr>
        <w:t>2017</w:t>
      </w:r>
      <w:r>
        <w:rPr>
          <w:rFonts w:hint="eastAsia" w:hAnsi="宋体"/>
          <w:szCs w:val="21"/>
          <w:highlight w:val="none"/>
        </w:rPr>
        <w:t>年第</w:t>
      </w:r>
      <w:r>
        <w:rPr>
          <w:rFonts w:hAnsi="宋体"/>
          <w:szCs w:val="21"/>
          <w:highlight w:val="none"/>
        </w:rPr>
        <w:t>87</w:t>
      </w:r>
      <w:r>
        <w:rPr>
          <w:rFonts w:hint="eastAsia" w:hAnsi="宋体"/>
          <w:szCs w:val="21"/>
          <w:highlight w:val="none"/>
        </w:rPr>
        <w:t>号部长令</w:t>
      </w:r>
      <w:r>
        <w:rPr>
          <w:rFonts w:hAnsi="宋体"/>
          <w:szCs w:val="21"/>
          <w:highlight w:val="none"/>
        </w:rPr>
        <w:t>--</w:t>
      </w:r>
      <w:r>
        <w:rPr>
          <w:rFonts w:hint="eastAsia" w:hAnsi="宋体"/>
          <w:szCs w:val="21"/>
          <w:highlight w:val="none"/>
        </w:rPr>
        <w:t>《政府采购服务和服务招标投标管理办法》的规定，依法组建评标委员会。评标委员会按照招标文件规定的评标方法独立进行评标工作</w:t>
      </w:r>
      <w:r>
        <w:rPr>
          <w:rFonts w:hint="eastAsia" w:hAnsi="宋体" w:cs="宋体"/>
          <w:szCs w:val="24"/>
          <w:highlight w:val="none"/>
        </w:rPr>
        <w:t>。</w:t>
      </w:r>
    </w:p>
    <w:p w14:paraId="2BBB52E0">
      <w:pPr>
        <w:spacing w:line="500" w:lineRule="exact"/>
        <w:ind w:firstLine="480" w:firstLineChars="200"/>
        <w:rPr>
          <w:rFonts w:hAnsi="宋体" w:cs="宋体"/>
          <w:szCs w:val="24"/>
          <w:highlight w:val="none"/>
        </w:rPr>
      </w:pPr>
      <w:r>
        <w:rPr>
          <w:rFonts w:hint="eastAsia" w:hAnsi="宋体" w:cs="宋体"/>
          <w:szCs w:val="24"/>
          <w:highlight w:val="none"/>
        </w:rPr>
        <w:t>22.2 评标委员会负责具体评标事务，并独立履行下列职责：</w:t>
      </w:r>
    </w:p>
    <w:p w14:paraId="203B16EB">
      <w:pPr>
        <w:spacing w:line="500" w:lineRule="exact"/>
        <w:ind w:firstLine="480" w:firstLineChars="200"/>
        <w:rPr>
          <w:rFonts w:hAnsi="宋体" w:cs="宋体"/>
          <w:szCs w:val="24"/>
          <w:highlight w:val="none"/>
        </w:rPr>
      </w:pPr>
      <w:r>
        <w:rPr>
          <w:rFonts w:hint="eastAsia" w:hAnsi="宋体" w:cs="宋体"/>
          <w:szCs w:val="24"/>
          <w:highlight w:val="none"/>
        </w:rPr>
        <w:t>（1）审查、评价投标文件是否符合招标文件的商务、技术、服务等实质性要求；</w:t>
      </w:r>
    </w:p>
    <w:p w14:paraId="2016486E">
      <w:pPr>
        <w:spacing w:line="500" w:lineRule="exact"/>
        <w:ind w:firstLine="480" w:firstLineChars="200"/>
        <w:rPr>
          <w:rFonts w:hAnsi="宋体" w:cs="宋体"/>
          <w:szCs w:val="24"/>
          <w:highlight w:val="none"/>
        </w:rPr>
      </w:pPr>
      <w:r>
        <w:rPr>
          <w:rFonts w:hint="eastAsia" w:hAnsi="宋体" w:cs="宋体"/>
          <w:szCs w:val="24"/>
          <w:highlight w:val="none"/>
        </w:rPr>
        <w:t>（2）要求供应商对投标文件有关事项作出澄清或者说明；</w:t>
      </w:r>
    </w:p>
    <w:p w14:paraId="5107B864">
      <w:pPr>
        <w:spacing w:line="500" w:lineRule="exact"/>
        <w:ind w:firstLine="480" w:firstLineChars="200"/>
        <w:rPr>
          <w:rFonts w:hAnsi="宋体" w:cs="宋体"/>
          <w:szCs w:val="24"/>
          <w:highlight w:val="none"/>
        </w:rPr>
      </w:pPr>
      <w:r>
        <w:rPr>
          <w:rFonts w:hint="eastAsia" w:hAnsi="宋体" w:cs="宋体"/>
          <w:szCs w:val="24"/>
          <w:highlight w:val="none"/>
        </w:rPr>
        <w:t>（3）对投标文件进行比较和评价；</w:t>
      </w:r>
    </w:p>
    <w:p w14:paraId="2D08983A">
      <w:pPr>
        <w:spacing w:line="500" w:lineRule="exact"/>
        <w:ind w:firstLine="480" w:firstLineChars="200"/>
        <w:rPr>
          <w:rFonts w:hAnsi="宋体" w:cs="宋体"/>
          <w:szCs w:val="24"/>
          <w:highlight w:val="none"/>
        </w:rPr>
      </w:pPr>
      <w:r>
        <w:rPr>
          <w:rFonts w:hint="eastAsia" w:hAnsi="宋体" w:cs="宋体"/>
          <w:szCs w:val="24"/>
          <w:highlight w:val="none"/>
        </w:rPr>
        <w:t>（4）确定中标候选人名单，以及根据采购人委托直接确定中标人；</w:t>
      </w:r>
    </w:p>
    <w:p w14:paraId="314C8BB3">
      <w:pPr>
        <w:spacing w:line="500" w:lineRule="exact"/>
        <w:ind w:firstLine="480" w:firstLineChars="200"/>
        <w:rPr>
          <w:rFonts w:hAnsi="宋体" w:cs="宋体"/>
          <w:szCs w:val="24"/>
          <w:highlight w:val="none"/>
        </w:rPr>
      </w:pPr>
      <w:r>
        <w:rPr>
          <w:rFonts w:hint="eastAsia" w:hAnsi="宋体" w:cs="宋体"/>
          <w:szCs w:val="24"/>
          <w:highlight w:val="none"/>
        </w:rPr>
        <w:t>（5）向采购人、采购代理机构或者有关部门报告评标中发现的违法行为。</w:t>
      </w:r>
    </w:p>
    <w:p w14:paraId="21F0A649">
      <w:pPr>
        <w:spacing w:line="500" w:lineRule="exact"/>
        <w:ind w:firstLine="480" w:firstLineChars="200"/>
        <w:rPr>
          <w:rFonts w:hAnsi="宋体" w:cs="宋体"/>
          <w:szCs w:val="24"/>
          <w:highlight w:val="none"/>
        </w:rPr>
      </w:pPr>
      <w:r>
        <w:rPr>
          <w:rFonts w:hint="eastAsia" w:hAnsi="宋体" w:cs="宋体"/>
          <w:szCs w:val="24"/>
          <w:highlight w:val="none"/>
        </w:rPr>
        <w:t>22.3 采购代理机构负责组织评标工作并履行下列职责：</w:t>
      </w:r>
    </w:p>
    <w:p w14:paraId="0BE4841D">
      <w:pPr>
        <w:spacing w:line="500" w:lineRule="exact"/>
        <w:ind w:firstLine="480" w:firstLineChars="200"/>
        <w:rPr>
          <w:rFonts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14:paraId="51B95622">
      <w:pPr>
        <w:spacing w:line="500" w:lineRule="exact"/>
        <w:ind w:firstLine="480" w:firstLineChars="200"/>
        <w:rPr>
          <w:rFonts w:hAnsi="宋体" w:cs="宋体"/>
          <w:szCs w:val="24"/>
          <w:highlight w:val="none"/>
        </w:rPr>
      </w:pPr>
      <w:r>
        <w:rPr>
          <w:rFonts w:hint="eastAsia" w:hAnsi="宋体" w:cs="宋体"/>
          <w:szCs w:val="24"/>
          <w:highlight w:val="none"/>
        </w:rPr>
        <w:t>（2）宣布评标纪律；</w:t>
      </w:r>
    </w:p>
    <w:p w14:paraId="6E7CF6D3">
      <w:pPr>
        <w:spacing w:line="500" w:lineRule="exact"/>
        <w:ind w:firstLine="480" w:firstLineChars="200"/>
        <w:rPr>
          <w:rFonts w:hAnsi="宋体" w:cs="宋体"/>
          <w:szCs w:val="24"/>
          <w:highlight w:val="none"/>
        </w:rPr>
      </w:pPr>
      <w:r>
        <w:rPr>
          <w:rFonts w:hint="eastAsia" w:hAnsi="宋体" w:cs="宋体"/>
          <w:szCs w:val="24"/>
          <w:highlight w:val="none"/>
        </w:rPr>
        <w:t>（3）公布供应商名单，告知评标专家应当回避的情形；</w:t>
      </w:r>
    </w:p>
    <w:p w14:paraId="36F050B2">
      <w:pPr>
        <w:spacing w:line="500" w:lineRule="exact"/>
        <w:ind w:firstLine="480" w:firstLineChars="200"/>
        <w:rPr>
          <w:rFonts w:hAnsi="宋体" w:cs="宋体"/>
          <w:szCs w:val="24"/>
          <w:highlight w:val="none"/>
        </w:rPr>
      </w:pPr>
      <w:r>
        <w:rPr>
          <w:rFonts w:hint="eastAsia" w:hAnsi="宋体" w:cs="宋体"/>
          <w:szCs w:val="24"/>
          <w:highlight w:val="none"/>
        </w:rPr>
        <w:t>（4）组织评标委员会推选评标组长，采购人代表不得担任组长；</w:t>
      </w:r>
    </w:p>
    <w:p w14:paraId="28355024">
      <w:pPr>
        <w:spacing w:line="500" w:lineRule="exact"/>
        <w:ind w:firstLine="480" w:firstLineChars="200"/>
        <w:rPr>
          <w:rFonts w:hAnsi="宋体" w:cs="宋体"/>
          <w:szCs w:val="24"/>
          <w:highlight w:val="none"/>
        </w:rPr>
      </w:pPr>
      <w:r>
        <w:rPr>
          <w:rFonts w:hint="eastAsia" w:hAnsi="宋体" w:cs="宋体"/>
          <w:szCs w:val="24"/>
          <w:highlight w:val="none"/>
        </w:rPr>
        <w:t>（5）在评标期间采取必要的通讯管理措施，保证评标活动不受外界干扰；</w:t>
      </w:r>
    </w:p>
    <w:p w14:paraId="270CD18A">
      <w:pPr>
        <w:spacing w:line="500" w:lineRule="exact"/>
        <w:ind w:firstLine="480" w:firstLineChars="200"/>
        <w:rPr>
          <w:rFonts w:hAnsi="宋体" w:cs="宋体"/>
          <w:szCs w:val="24"/>
          <w:highlight w:val="none"/>
        </w:rPr>
      </w:pPr>
      <w:r>
        <w:rPr>
          <w:rFonts w:hint="eastAsia" w:hAnsi="宋体" w:cs="宋体"/>
          <w:szCs w:val="24"/>
          <w:highlight w:val="none"/>
        </w:rPr>
        <w:t>（6）根据评标委员会的要求介绍政府采购相关政策法规、招标文件；</w:t>
      </w:r>
    </w:p>
    <w:p w14:paraId="4FA1F508">
      <w:pPr>
        <w:spacing w:line="500" w:lineRule="exact"/>
        <w:ind w:firstLine="480" w:firstLineChars="200"/>
        <w:rPr>
          <w:rFonts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14:paraId="1D99F5BF">
      <w:pPr>
        <w:spacing w:line="500" w:lineRule="exact"/>
        <w:ind w:firstLine="480" w:firstLineChars="200"/>
        <w:rPr>
          <w:rFonts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14:paraId="3D9D8906">
      <w:pPr>
        <w:spacing w:line="500" w:lineRule="exact"/>
        <w:ind w:firstLine="480" w:firstLineChars="200"/>
        <w:rPr>
          <w:rFonts w:hAnsi="宋体" w:cs="宋体"/>
          <w:szCs w:val="24"/>
          <w:highlight w:val="none"/>
        </w:rPr>
      </w:pPr>
      <w:r>
        <w:rPr>
          <w:rFonts w:hint="eastAsia" w:hAnsi="宋体" w:cs="宋体"/>
          <w:szCs w:val="24"/>
          <w:highlight w:val="none"/>
        </w:rPr>
        <w:t>（9）评审工作完成后，按照规定向评审专家支付劳务报酬和异地评审差旅费；</w:t>
      </w:r>
    </w:p>
    <w:p w14:paraId="77B547DC">
      <w:pPr>
        <w:spacing w:line="500" w:lineRule="exact"/>
        <w:ind w:firstLine="480" w:firstLineChars="200"/>
        <w:rPr>
          <w:rFonts w:hAnsi="宋体" w:cs="宋体"/>
          <w:szCs w:val="24"/>
          <w:highlight w:val="none"/>
        </w:rPr>
      </w:pPr>
      <w:r>
        <w:rPr>
          <w:rFonts w:hint="eastAsia" w:hAnsi="宋体" w:cs="宋体"/>
          <w:szCs w:val="24"/>
          <w:highlight w:val="none"/>
        </w:rPr>
        <w:t>（10）处理与评标有关的其他事项。</w:t>
      </w:r>
    </w:p>
    <w:p w14:paraId="05AC577A">
      <w:pPr>
        <w:spacing w:line="500" w:lineRule="exact"/>
        <w:ind w:firstLine="480" w:firstLineChars="200"/>
        <w:rPr>
          <w:rFonts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22.4招标文件和投标文件是评标的依据。在评标中，不得改变招标文件中规定的评标标准、方法和中标条件。供应商不得在开标后使用任何方式对投标文件的实质性内容做任何更改。</w:t>
      </w:r>
    </w:p>
    <w:p w14:paraId="15233D2D">
      <w:pPr>
        <w:spacing w:line="500" w:lineRule="exact"/>
        <w:ind w:firstLine="480" w:firstLineChars="200"/>
        <w:rPr>
          <w:rFonts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要求供应商作出必要的澄清、说明或者纠正。供应商的澄清、说明或者补正应当采用书面形式，由其授权的代表签字，并不得超出投标文件的范围或者改变投标文件的实质性内容。</w:t>
      </w:r>
    </w:p>
    <w:p w14:paraId="6D9DB57F">
      <w:pPr>
        <w:spacing w:line="500" w:lineRule="exact"/>
        <w:ind w:firstLine="480" w:firstLineChars="200"/>
        <w:rPr>
          <w:rFonts w:hAnsi="宋体" w:cs="宋体"/>
          <w:szCs w:val="24"/>
          <w:highlight w:val="none"/>
        </w:rPr>
      </w:pPr>
      <w:r>
        <w:rPr>
          <w:rFonts w:hint="eastAsia" w:hAnsi="宋体" w:cs="宋体"/>
          <w:szCs w:val="24"/>
          <w:highlight w:val="none"/>
        </w:rPr>
        <w:t>22.6如果供应商在澄清规定期限内，未能答复或拒绝答复评委会提出的澄清要求，将由评委会根据其投标文件按最大风险进行评标。</w:t>
      </w:r>
    </w:p>
    <w:p w14:paraId="7FC00C4A">
      <w:pPr>
        <w:spacing w:line="500" w:lineRule="exact"/>
        <w:ind w:firstLine="480" w:firstLineChars="200"/>
        <w:rPr>
          <w:rFonts w:hAnsi="宋体" w:cs="宋体"/>
          <w:szCs w:val="24"/>
          <w:highlight w:val="none"/>
        </w:rPr>
      </w:pPr>
      <w:r>
        <w:rPr>
          <w:rFonts w:hint="eastAsia" w:hAnsi="宋体" w:cs="宋体"/>
          <w:szCs w:val="24"/>
          <w:highlight w:val="none"/>
        </w:rPr>
        <w:t>22.7投标文件的初审（含资格性、符合性审查）</w:t>
      </w:r>
    </w:p>
    <w:p w14:paraId="46463943">
      <w:pPr>
        <w:spacing w:line="500" w:lineRule="exact"/>
        <w:ind w:firstLine="480" w:firstLineChars="200"/>
        <w:rPr>
          <w:rFonts w:hAnsi="宋体" w:cs="宋体"/>
          <w:szCs w:val="24"/>
          <w:highlight w:val="none"/>
        </w:rPr>
      </w:pPr>
      <w:r>
        <w:rPr>
          <w:rFonts w:hint="eastAsia" w:hAnsi="宋体" w:cs="宋体"/>
          <w:szCs w:val="24"/>
          <w:highlight w:val="none"/>
        </w:rPr>
        <w:t>22.7.1采购人或采购代理机构将审查资格证明文件是否合格齐全，评标委员会审查投标文件是否完整、有效、响应等。</w:t>
      </w:r>
    </w:p>
    <w:p w14:paraId="317A9F47">
      <w:pPr>
        <w:spacing w:line="500" w:lineRule="exact"/>
        <w:ind w:firstLine="480" w:firstLineChars="200"/>
        <w:rPr>
          <w:rFonts w:hAnsi="宋体" w:cs="宋体"/>
          <w:szCs w:val="24"/>
          <w:highlight w:val="none"/>
        </w:rPr>
      </w:pPr>
      <w:r>
        <w:rPr>
          <w:rFonts w:hint="eastAsia" w:hAnsi="宋体" w:cs="宋体"/>
          <w:szCs w:val="24"/>
          <w:highlight w:val="none"/>
        </w:rPr>
        <w:t>22.7.2投标文件报价出现前后不一致的，按照下列规定修正：</w:t>
      </w:r>
    </w:p>
    <w:p w14:paraId="13EC083F">
      <w:pPr>
        <w:numPr>
          <w:ilvl w:val="0"/>
          <w:numId w:val="4"/>
        </w:numPr>
        <w:spacing w:line="500" w:lineRule="exact"/>
        <w:ind w:firstLine="480" w:firstLineChars="200"/>
        <w:rPr>
          <w:rFonts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115A3472">
      <w:pPr>
        <w:numPr>
          <w:ilvl w:val="0"/>
          <w:numId w:val="4"/>
        </w:numPr>
        <w:spacing w:line="500" w:lineRule="exact"/>
        <w:ind w:firstLine="480" w:firstLineChars="200"/>
        <w:rPr>
          <w:rFonts w:hAnsi="宋体" w:cs="宋体"/>
          <w:szCs w:val="24"/>
          <w:highlight w:val="none"/>
        </w:rPr>
      </w:pPr>
      <w:r>
        <w:rPr>
          <w:rFonts w:hint="eastAsia" w:hAnsi="宋体" w:cs="宋体"/>
          <w:szCs w:val="24"/>
          <w:highlight w:val="none"/>
        </w:rPr>
        <w:t>投标文件的大写金额和小写金额不一致的，以大写金额为准；</w:t>
      </w:r>
    </w:p>
    <w:p w14:paraId="2FB924E6">
      <w:pPr>
        <w:numPr>
          <w:ilvl w:val="0"/>
          <w:numId w:val="4"/>
        </w:numPr>
        <w:spacing w:line="500" w:lineRule="exact"/>
        <w:ind w:firstLine="480" w:firstLineChars="200"/>
        <w:rPr>
          <w:rFonts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14:paraId="55489721">
      <w:pPr>
        <w:numPr>
          <w:ilvl w:val="0"/>
          <w:numId w:val="4"/>
        </w:numPr>
        <w:spacing w:line="500" w:lineRule="exact"/>
        <w:ind w:firstLine="480" w:firstLineChars="200"/>
        <w:rPr>
          <w:rFonts w:hAnsi="宋体" w:cs="宋体"/>
          <w:szCs w:val="24"/>
          <w:highlight w:val="none"/>
        </w:rPr>
      </w:pPr>
      <w:r>
        <w:rPr>
          <w:rFonts w:hint="eastAsia" w:hAnsi="宋体" w:cs="宋体"/>
          <w:szCs w:val="24"/>
          <w:highlight w:val="none"/>
        </w:rPr>
        <w:t>总价金额与按单价汇总金额不一致的，以单价金额计算结果为准。</w:t>
      </w:r>
    </w:p>
    <w:p w14:paraId="533CF0EC">
      <w:pPr>
        <w:widowControl/>
        <w:autoSpaceDE w:val="0"/>
        <w:autoSpaceDN w:val="0"/>
        <w:spacing w:line="500" w:lineRule="exact"/>
        <w:ind w:right="51" w:firstLine="482" w:firstLineChars="200"/>
        <w:textAlignment w:val="bottom"/>
        <w:rPr>
          <w:rFonts w:hAnsi="宋体" w:cs="宋体"/>
          <w:szCs w:val="24"/>
          <w:highlight w:val="none"/>
        </w:rPr>
      </w:pPr>
      <w:r>
        <w:rPr>
          <w:rFonts w:hint="eastAsia" w:hAnsi="宋体" w:cs="宋体"/>
          <w:b/>
          <w:highlight w:val="none"/>
        </w:rPr>
        <w:t>按上述修正的顺序和方法调整的投标报价应对供应商具有约束力。如果供应商不接受修正后的价格，其投标将按无效投标处理。</w:t>
      </w:r>
    </w:p>
    <w:p w14:paraId="4CEF3CAC">
      <w:pPr>
        <w:spacing w:line="500" w:lineRule="exact"/>
        <w:ind w:firstLine="480" w:firstLineChars="200"/>
        <w:rPr>
          <w:rFonts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579B131D">
      <w:pPr>
        <w:spacing w:line="500" w:lineRule="exact"/>
        <w:ind w:firstLine="482" w:firstLineChars="200"/>
        <w:rPr>
          <w:rFonts w:hAnsi="宋体" w:cs="宋体"/>
          <w:b/>
          <w:bCs/>
          <w:szCs w:val="24"/>
          <w:highlight w:val="none"/>
        </w:rPr>
      </w:pPr>
      <w:r>
        <w:rPr>
          <w:rFonts w:hint="eastAsia" w:hAnsi="宋体" w:cs="宋体"/>
          <w:b/>
          <w:bCs/>
          <w:szCs w:val="24"/>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14:paraId="4850437E">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1）没有按照招标文件要求提供投标文件或投标文件构成有重大缺项；</w:t>
      </w:r>
    </w:p>
    <w:p w14:paraId="4ACDB14C">
      <w:pPr>
        <w:kinsoku w:val="0"/>
        <w:spacing w:line="500" w:lineRule="exact"/>
        <w:ind w:firstLine="480" w:firstLineChars="200"/>
        <w:rPr>
          <w:rFonts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14:paraId="29A0B7E6">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3）供应商未按招标文件要求提交投标保证金或保函的；</w:t>
      </w:r>
    </w:p>
    <w:p w14:paraId="2A8352FA">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4）不具备招标文件中规定的资格要求的；</w:t>
      </w:r>
    </w:p>
    <w:p w14:paraId="74A18598">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14:paraId="104B8483">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6）存在有重大缺漏项和重大技术偏离的投标</w:t>
      </w:r>
      <w:r>
        <w:rPr>
          <w:rFonts w:hint="eastAsia" w:hAnsi="宋体" w:cs="宋体"/>
          <w:highlight w:val="none"/>
        </w:rPr>
        <w:t>货物（产品）</w:t>
      </w:r>
      <w:r>
        <w:rPr>
          <w:rFonts w:hint="eastAsia" w:hAnsi="宋体" w:cs="宋体"/>
          <w:szCs w:val="24"/>
          <w:highlight w:val="none"/>
        </w:rPr>
        <w:t>；</w:t>
      </w:r>
    </w:p>
    <w:p w14:paraId="4D858684">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7）供应商有串通投标、以他人名义投标、弄虚作假、行贿等违法行为的；</w:t>
      </w:r>
    </w:p>
    <w:p w14:paraId="0C3076C1">
      <w:pPr>
        <w:spacing w:line="500" w:lineRule="exact"/>
        <w:ind w:firstLine="480" w:firstLineChars="200"/>
        <w:rPr>
          <w:rFonts w:hAnsi="宋体" w:cs="宋体"/>
          <w:szCs w:val="24"/>
          <w:highlight w:val="none"/>
        </w:rPr>
      </w:pPr>
      <w:r>
        <w:rPr>
          <w:rFonts w:hint="eastAsia" w:hAnsi="宋体" w:cs="宋体"/>
          <w:szCs w:val="24"/>
          <w:highlight w:val="none"/>
        </w:rPr>
        <w:t>8）投标总报价超过招标文件公布的采购预算或者最高限价的；</w:t>
      </w:r>
    </w:p>
    <w:p w14:paraId="3DFEA8ED">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9）投标文件含有采购人不能接受的附加条件的；</w:t>
      </w:r>
    </w:p>
    <w:p w14:paraId="37B1EE4E">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10）供应商被列入失信被执行人、重大税收违法案件当事人名单、政府采购严重违法失信行为记录名单的；</w:t>
      </w:r>
    </w:p>
    <w:p w14:paraId="342EF815">
      <w:pPr>
        <w:spacing w:line="500" w:lineRule="exact"/>
        <w:ind w:firstLine="480" w:firstLineChars="200"/>
        <w:rPr>
          <w:rFonts w:hAnsi="宋体" w:cs="宋体"/>
          <w:szCs w:val="24"/>
          <w:highlight w:val="none"/>
        </w:rPr>
      </w:pPr>
      <w:r>
        <w:rPr>
          <w:rFonts w:hint="eastAsia" w:hAnsi="宋体" w:cs="宋体"/>
          <w:szCs w:val="24"/>
          <w:highlight w:val="none"/>
        </w:rPr>
        <w:t>11）法律、法规规定的其他无效情形。</w:t>
      </w:r>
    </w:p>
    <w:p w14:paraId="142DE93E">
      <w:pPr>
        <w:spacing w:line="500" w:lineRule="exact"/>
        <w:ind w:firstLine="480" w:firstLineChars="200"/>
        <w:rPr>
          <w:rFonts w:hAnsi="宋体" w:cs="宋体"/>
          <w:szCs w:val="24"/>
          <w:highlight w:val="none"/>
        </w:rPr>
      </w:pPr>
      <w:r>
        <w:rPr>
          <w:rFonts w:hint="eastAsia" w:hAnsi="宋体" w:cs="宋体"/>
          <w:szCs w:val="24"/>
          <w:highlight w:val="none"/>
        </w:rPr>
        <w:t>22.8投标文件的详细评审</w:t>
      </w:r>
    </w:p>
    <w:p w14:paraId="5A3417D5">
      <w:pPr>
        <w:spacing w:line="500" w:lineRule="exact"/>
        <w:ind w:firstLine="480" w:firstLineChars="200"/>
        <w:rPr>
          <w:rFonts w:hAnsi="宋体" w:cs="宋体"/>
          <w:szCs w:val="24"/>
          <w:highlight w:val="none"/>
        </w:rPr>
      </w:pPr>
      <w:r>
        <w:rPr>
          <w:rFonts w:hint="eastAsia" w:hAnsi="宋体" w:cs="宋体"/>
          <w:szCs w:val="24"/>
          <w:highlight w:val="none"/>
        </w:rPr>
        <w:t>22.8.1评标委员会将按照本须知第22.5.4条规定，只对确定为实质性响应招标文件要求的投标进行详细评审。</w:t>
      </w:r>
    </w:p>
    <w:p w14:paraId="0666D9A6">
      <w:pPr>
        <w:spacing w:line="500" w:lineRule="exact"/>
        <w:ind w:firstLine="480" w:firstLineChars="200"/>
        <w:rPr>
          <w:rFonts w:hAnsi="宋体" w:cs="宋体"/>
          <w:szCs w:val="24"/>
          <w:highlight w:val="none"/>
        </w:rPr>
      </w:pPr>
      <w:r>
        <w:rPr>
          <w:rFonts w:hint="eastAsia" w:hAnsi="宋体" w:cs="宋体"/>
          <w:szCs w:val="24"/>
          <w:highlight w:val="none"/>
        </w:rPr>
        <w:t>22.8.2详细评审按照第五章“评标方法”的评标方法进行。</w:t>
      </w:r>
    </w:p>
    <w:p w14:paraId="59CAB712">
      <w:pPr>
        <w:spacing w:line="500" w:lineRule="exact"/>
        <w:ind w:firstLine="480" w:firstLineChars="200"/>
        <w:rPr>
          <w:rFonts w:hAnsi="宋体" w:cs="宋体"/>
          <w:szCs w:val="24"/>
          <w:highlight w:val="none"/>
        </w:rPr>
      </w:pPr>
      <w:r>
        <w:rPr>
          <w:rFonts w:hint="eastAsia" w:hAnsi="宋体" w:cs="宋体"/>
          <w:szCs w:val="24"/>
          <w:highlight w:val="none"/>
        </w:rPr>
        <w:t>22.9中标候选人的确定</w:t>
      </w:r>
    </w:p>
    <w:p w14:paraId="7C91795C">
      <w:pPr>
        <w:spacing w:line="500" w:lineRule="exact"/>
        <w:ind w:firstLine="480" w:firstLineChars="200"/>
        <w:rPr>
          <w:rFonts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14:paraId="165F4D2B">
      <w:pPr>
        <w:spacing w:line="500" w:lineRule="exact"/>
        <w:rPr>
          <w:rFonts w:hAnsi="宋体" w:cs="宋体"/>
          <w:b/>
          <w:szCs w:val="24"/>
          <w:highlight w:val="none"/>
        </w:rPr>
      </w:pPr>
      <w:r>
        <w:rPr>
          <w:rFonts w:hint="eastAsia" w:hAnsi="宋体" w:cs="宋体"/>
          <w:b/>
          <w:szCs w:val="24"/>
          <w:highlight w:val="none"/>
        </w:rPr>
        <w:t>23．评标过程的保密</w:t>
      </w:r>
    </w:p>
    <w:p w14:paraId="034A7DED">
      <w:pPr>
        <w:spacing w:line="500" w:lineRule="exact"/>
        <w:ind w:firstLine="480" w:firstLineChars="200"/>
        <w:rPr>
          <w:rFonts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14:paraId="165A01CC">
      <w:pPr>
        <w:spacing w:line="500" w:lineRule="exact"/>
        <w:ind w:firstLine="480" w:firstLineChars="200"/>
        <w:rPr>
          <w:rFonts w:hAnsi="宋体" w:cs="宋体"/>
          <w:szCs w:val="24"/>
          <w:highlight w:val="none"/>
        </w:rPr>
      </w:pPr>
      <w:r>
        <w:rPr>
          <w:rFonts w:hint="eastAsia" w:hAnsi="宋体" w:cs="宋体"/>
          <w:szCs w:val="24"/>
          <w:highlight w:val="none"/>
        </w:rPr>
        <w:t>23.2在评标过程中，如果供应商试图在投标文件的评审和比较、中标候选人的推荐以及与评标有关的其他方面，向评标人、采购人和采购代理机构施加任何影响，其投标应做无效投标处理。</w:t>
      </w:r>
    </w:p>
    <w:p w14:paraId="38EB480F">
      <w:pPr>
        <w:spacing w:line="500" w:lineRule="exact"/>
        <w:rPr>
          <w:rFonts w:hAnsi="宋体" w:cs="宋体"/>
          <w:b/>
          <w:szCs w:val="24"/>
          <w:highlight w:val="none"/>
        </w:rPr>
      </w:pPr>
      <w:r>
        <w:rPr>
          <w:rFonts w:hint="eastAsia" w:hAnsi="宋体" w:cs="宋体"/>
          <w:b/>
          <w:szCs w:val="24"/>
          <w:highlight w:val="none"/>
        </w:rPr>
        <w:t>24．评标方法</w:t>
      </w:r>
    </w:p>
    <w:p w14:paraId="18732EF5">
      <w:pPr>
        <w:spacing w:line="500" w:lineRule="exact"/>
        <w:ind w:firstLine="480" w:firstLineChars="200"/>
        <w:rPr>
          <w:rFonts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14:paraId="5F874E50">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1）最低评标价法，即在全部满足招标文件实质性要求前提下，且投标报价最低的供应商为中标候选人的评标方法。</w:t>
      </w:r>
    </w:p>
    <w:p w14:paraId="0FB5103F">
      <w:pPr>
        <w:spacing w:line="500" w:lineRule="exact"/>
        <w:ind w:firstLine="480" w:firstLineChars="200"/>
        <w:rPr>
          <w:rFonts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14:paraId="0DC08968">
      <w:pPr>
        <w:spacing w:line="500" w:lineRule="exact"/>
        <w:rPr>
          <w:rFonts w:hAnsi="宋体" w:cs="宋体"/>
          <w:b/>
          <w:szCs w:val="24"/>
          <w:highlight w:val="none"/>
        </w:rPr>
      </w:pPr>
      <w:r>
        <w:rPr>
          <w:rFonts w:hint="eastAsia" w:hAnsi="宋体" w:cs="宋体"/>
          <w:b/>
          <w:szCs w:val="24"/>
          <w:highlight w:val="none"/>
        </w:rPr>
        <w:t>25．评标程序</w:t>
      </w:r>
    </w:p>
    <w:p w14:paraId="0E5C05AC">
      <w:pPr>
        <w:spacing w:line="500" w:lineRule="exact"/>
        <w:ind w:firstLine="480" w:firstLineChars="200"/>
        <w:rPr>
          <w:rFonts w:hAnsi="宋体" w:cs="宋体"/>
          <w:highlight w:val="none"/>
        </w:rPr>
      </w:pPr>
      <w:r>
        <w:rPr>
          <w:rFonts w:hint="eastAsia" w:hAnsi="宋体" w:cs="宋体"/>
          <w:szCs w:val="24"/>
          <w:highlight w:val="none"/>
        </w:rPr>
        <w:t>按照投标文件初审、澄清有关问题、比较与评价、推荐中标候选人名单的工作程序进行评标。在上一步评审中供应商被认定无效投标者，不进入下一步的评审。</w:t>
      </w:r>
    </w:p>
    <w:p w14:paraId="0C48C04B">
      <w:pPr>
        <w:spacing w:line="500" w:lineRule="exact"/>
        <w:jc w:val="center"/>
        <w:rPr>
          <w:rFonts w:hAnsi="宋体" w:cs="宋体"/>
          <w:b/>
          <w:sz w:val="32"/>
          <w:szCs w:val="32"/>
          <w:highlight w:val="none"/>
        </w:rPr>
      </w:pPr>
      <w:bookmarkStart w:id="51" w:name="_Toc403077644"/>
      <w:bookmarkStart w:id="52" w:name="_Toc363474022"/>
      <w:bookmarkStart w:id="53" w:name="_Toc363473977"/>
      <w:r>
        <w:rPr>
          <w:rFonts w:hint="eastAsia" w:hAnsi="宋体" w:cs="宋体"/>
          <w:b/>
          <w:sz w:val="32"/>
          <w:szCs w:val="32"/>
          <w:highlight w:val="none"/>
        </w:rPr>
        <w:t>六.定标、中标通知与签约</w:t>
      </w:r>
      <w:bookmarkEnd w:id="51"/>
      <w:bookmarkEnd w:id="52"/>
      <w:bookmarkEnd w:id="53"/>
    </w:p>
    <w:p w14:paraId="66DAB07D">
      <w:pPr>
        <w:spacing w:line="500" w:lineRule="exact"/>
        <w:rPr>
          <w:rFonts w:hAnsi="宋体" w:cs="宋体"/>
          <w:b/>
          <w:szCs w:val="24"/>
          <w:highlight w:val="none"/>
        </w:rPr>
      </w:pPr>
      <w:r>
        <w:rPr>
          <w:rFonts w:hint="eastAsia" w:hAnsi="宋体" w:cs="宋体"/>
          <w:b/>
          <w:szCs w:val="24"/>
          <w:highlight w:val="none"/>
        </w:rPr>
        <w:t>26．定标程序</w:t>
      </w:r>
    </w:p>
    <w:p w14:paraId="18188600">
      <w:pPr>
        <w:spacing w:line="500" w:lineRule="exact"/>
        <w:ind w:firstLine="480" w:firstLineChars="200"/>
        <w:rPr>
          <w:rFonts w:hAnsi="宋体" w:cs="宋体"/>
          <w:szCs w:val="24"/>
          <w:highlight w:val="none"/>
        </w:rPr>
      </w:pPr>
      <w:r>
        <w:rPr>
          <w:rFonts w:hint="eastAsia" w:hAnsi="宋体" w:cs="宋体"/>
          <w:szCs w:val="24"/>
          <w:highlight w:val="none"/>
        </w:rPr>
        <w:t>26.1评标委员会根据评标方法的规定对供应商进行评审排序，推荐3名中标候选人，作为评标结果。评标结果由评标委员会成员签字确认。</w:t>
      </w:r>
    </w:p>
    <w:p w14:paraId="73084166">
      <w:pPr>
        <w:spacing w:line="500" w:lineRule="exact"/>
        <w:ind w:firstLine="420" w:firstLineChars="175"/>
        <w:rPr>
          <w:rFonts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14:paraId="0C840B61">
      <w:pPr>
        <w:spacing w:line="500" w:lineRule="exact"/>
        <w:ind w:firstLine="480" w:firstLineChars="200"/>
        <w:rPr>
          <w:rFonts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14:paraId="4C5114E3">
      <w:pPr>
        <w:spacing w:line="500" w:lineRule="exact"/>
        <w:ind w:firstLine="480" w:firstLineChars="200"/>
        <w:rPr>
          <w:rFonts w:hAnsi="宋体" w:cs="宋体"/>
          <w:szCs w:val="24"/>
          <w:highlight w:val="none"/>
        </w:rPr>
      </w:pPr>
      <w:r>
        <w:rPr>
          <w:rFonts w:hint="eastAsia" w:hAnsi="宋体" w:cs="宋体"/>
          <w:szCs w:val="24"/>
          <w:highlight w:val="none"/>
        </w:rPr>
        <w:t>26.4采购人也可以授权评标委员会评标后直接确定中标人。</w:t>
      </w:r>
    </w:p>
    <w:p w14:paraId="4C78AF16">
      <w:pPr>
        <w:spacing w:line="500" w:lineRule="exact"/>
        <w:ind w:firstLine="480" w:firstLineChars="200"/>
        <w:rPr>
          <w:rFonts w:hAnsi="宋体" w:cs="宋体"/>
          <w:szCs w:val="24"/>
          <w:highlight w:val="none"/>
        </w:rPr>
      </w:pPr>
      <w:r>
        <w:rPr>
          <w:rFonts w:hint="eastAsia" w:hAnsi="宋体" w:cs="宋体"/>
          <w:szCs w:val="24"/>
          <w:highlight w:val="none"/>
        </w:rPr>
        <w:t>26.5中标人确定之后，中标结果将在财政部门指定的政府采购信息发布媒体上公告。</w:t>
      </w:r>
    </w:p>
    <w:p w14:paraId="79AF6376">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26.6供应商或者其他利害关系人对评标结果有异议的，应当在法律规定的时间内提出。</w:t>
      </w:r>
    </w:p>
    <w:p w14:paraId="755A06F9">
      <w:pPr>
        <w:spacing w:line="500" w:lineRule="exact"/>
        <w:rPr>
          <w:rFonts w:hAnsi="宋体" w:cs="宋体"/>
          <w:b/>
          <w:szCs w:val="24"/>
          <w:highlight w:val="none"/>
        </w:rPr>
      </w:pPr>
      <w:r>
        <w:rPr>
          <w:rFonts w:hint="eastAsia" w:hAnsi="宋体" w:cs="宋体"/>
          <w:b/>
          <w:szCs w:val="24"/>
          <w:highlight w:val="none"/>
        </w:rPr>
        <w:t>27．中标和落标通知</w:t>
      </w:r>
    </w:p>
    <w:p w14:paraId="47FD2CFE">
      <w:pPr>
        <w:spacing w:line="500" w:lineRule="exact"/>
        <w:ind w:firstLine="480" w:firstLineChars="200"/>
        <w:rPr>
          <w:rFonts w:hAnsi="宋体" w:cs="宋体"/>
          <w:szCs w:val="24"/>
          <w:highlight w:val="none"/>
        </w:rPr>
      </w:pPr>
      <w:r>
        <w:rPr>
          <w:rFonts w:hint="eastAsia" w:hAnsi="宋体" w:cs="宋体"/>
          <w:szCs w:val="24"/>
          <w:highlight w:val="none"/>
        </w:rPr>
        <w:t>27.1 采购代理机构在发布中标公告后，向中标人发出《中标通知书》。</w:t>
      </w:r>
      <w:r>
        <w:rPr>
          <w:rFonts w:hint="eastAsia" w:hAnsi="宋体" w:cs="宋体"/>
          <w:b/>
          <w:bCs/>
          <w:szCs w:val="24"/>
          <w:highlight w:val="none"/>
        </w:rPr>
        <w:t>中标人领取中标通知书时须携带法定代表人或负责人授权书及加盖单位公章的被授权人身份证复印件。</w:t>
      </w:r>
    </w:p>
    <w:p w14:paraId="5C14FFAE">
      <w:pPr>
        <w:spacing w:line="500" w:lineRule="exact"/>
        <w:ind w:firstLine="480" w:firstLineChars="200"/>
        <w:rPr>
          <w:rFonts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14:paraId="55EB7B28">
      <w:pPr>
        <w:spacing w:line="500" w:lineRule="exact"/>
        <w:rPr>
          <w:rFonts w:hAnsi="宋体" w:cs="宋体"/>
          <w:b/>
          <w:szCs w:val="24"/>
          <w:highlight w:val="none"/>
        </w:rPr>
      </w:pPr>
      <w:r>
        <w:rPr>
          <w:rFonts w:hint="eastAsia" w:hAnsi="宋体" w:cs="宋体"/>
          <w:b/>
          <w:szCs w:val="24"/>
          <w:highlight w:val="none"/>
        </w:rPr>
        <w:t>28. 中标合同的签订</w:t>
      </w:r>
    </w:p>
    <w:p w14:paraId="79FD5AED">
      <w:pPr>
        <w:spacing w:line="500" w:lineRule="exact"/>
        <w:ind w:firstLine="480" w:firstLineChars="200"/>
        <w:rPr>
          <w:rFonts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36A9113B">
      <w:pPr>
        <w:spacing w:line="500" w:lineRule="exact"/>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39A412EF">
      <w:pPr>
        <w:spacing w:line="500" w:lineRule="exact"/>
        <w:rPr>
          <w:rFonts w:hAnsi="宋体" w:cs="宋体"/>
          <w:b/>
          <w:szCs w:val="24"/>
          <w:highlight w:val="none"/>
        </w:rPr>
      </w:pPr>
      <w:r>
        <w:rPr>
          <w:rFonts w:hint="eastAsia" w:hAnsi="宋体" w:cs="宋体"/>
          <w:b/>
          <w:szCs w:val="24"/>
          <w:highlight w:val="none"/>
        </w:rPr>
        <w:t>29．招标代理服务费</w:t>
      </w:r>
    </w:p>
    <w:p w14:paraId="4E5F8C47">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招标代理服务费的计算方法：以中标金额为基数，依据国家计委颁布《招标代理服务收费管理暂行办法》（计价格[2002]1980号）文件的有关规定执行。</w:t>
      </w:r>
    </w:p>
    <w:p w14:paraId="523CADB3">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中标单位在领取中标通知书前，须向采购代理机构一次性支付招标代理服务费。</w:t>
      </w:r>
    </w:p>
    <w:p w14:paraId="6518C765">
      <w:pPr>
        <w:spacing w:line="500" w:lineRule="exact"/>
        <w:rPr>
          <w:rFonts w:hAnsi="宋体" w:cs="宋体"/>
          <w:b/>
          <w:bCs/>
          <w:szCs w:val="24"/>
          <w:highlight w:val="none"/>
        </w:rPr>
      </w:pPr>
      <w:r>
        <w:rPr>
          <w:rFonts w:hint="eastAsia" w:hAnsi="宋体" w:cs="宋体"/>
          <w:b/>
          <w:bCs/>
          <w:szCs w:val="24"/>
          <w:highlight w:val="none"/>
        </w:rPr>
        <w:t>30.质疑</w:t>
      </w:r>
    </w:p>
    <w:p w14:paraId="07307E4D">
      <w:pPr>
        <w:spacing w:line="500" w:lineRule="exact"/>
        <w:ind w:right="12" w:firstLine="480"/>
        <w:rPr>
          <w:rFonts w:hAnsi="宋体" w:cs="宋体"/>
          <w:szCs w:val="24"/>
          <w:highlight w:val="none"/>
        </w:rPr>
      </w:pPr>
      <w:r>
        <w:rPr>
          <w:rFonts w:hint="eastAsia" w:hAnsi="宋体" w:cs="宋体"/>
          <w:szCs w:val="24"/>
          <w:highlight w:val="none"/>
        </w:rPr>
        <w:t>30.1供应商认为招标文件、招标过程、中标结果使自己的权益受到损害的，可以在知道或者应知其权益受到损害之日起7个工作日内，以书面形式向采购人、采购代理机构提出质疑。</w:t>
      </w:r>
    </w:p>
    <w:p w14:paraId="4531B79F">
      <w:pPr>
        <w:spacing w:line="500" w:lineRule="exact"/>
        <w:ind w:right="12" w:firstLine="480"/>
        <w:rPr>
          <w:rStyle w:val="26"/>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243C3305">
      <w:pPr>
        <w:spacing w:line="500" w:lineRule="exact"/>
        <w:ind w:left="3" w:firstLine="518" w:firstLineChars="216"/>
        <w:rPr>
          <w:rStyle w:val="26"/>
          <w:rFonts w:hAnsi="宋体" w:cs="宋体"/>
          <w:b w:val="0"/>
          <w:szCs w:val="24"/>
          <w:highlight w:val="none"/>
          <w:shd w:val="clear" w:color="auto" w:fill="FFFFFF"/>
        </w:rPr>
      </w:pPr>
      <w:r>
        <w:rPr>
          <w:rStyle w:val="26"/>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5FBED9F6">
      <w:pPr>
        <w:spacing w:line="500" w:lineRule="exact"/>
        <w:ind w:left="3" w:firstLine="518" w:firstLineChars="216"/>
        <w:rPr>
          <w:rStyle w:val="26"/>
          <w:rFonts w:hAnsi="宋体" w:cs="宋体"/>
          <w:b w:val="0"/>
          <w:szCs w:val="24"/>
          <w:highlight w:val="none"/>
          <w:shd w:val="clear" w:color="auto" w:fill="FFFFFF"/>
        </w:rPr>
      </w:pPr>
      <w:r>
        <w:rPr>
          <w:rStyle w:val="26"/>
          <w:rFonts w:hint="eastAsia" w:hAnsi="宋体" w:cs="宋体"/>
          <w:b w:val="0"/>
          <w:szCs w:val="24"/>
          <w:highlight w:val="none"/>
          <w:shd w:val="clear" w:color="auto" w:fill="FFFFFF"/>
        </w:rPr>
        <w:t>30.4以联合体形式参加政府采购活动的，其质疑应当由组成联合体的所有供应商共同提出。</w:t>
      </w:r>
    </w:p>
    <w:p w14:paraId="70BC2852">
      <w:pPr>
        <w:spacing w:line="500" w:lineRule="exact"/>
        <w:ind w:right="12" w:firstLine="48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70DC91B0">
      <w:pPr>
        <w:spacing w:line="500" w:lineRule="exact"/>
        <w:ind w:right="12" w:firstLine="480"/>
        <w:rPr>
          <w:rFonts w:hAnsi="宋体" w:cs="宋体"/>
          <w:szCs w:val="24"/>
          <w:highlight w:val="none"/>
        </w:rPr>
      </w:pPr>
      <w:r>
        <w:rPr>
          <w:rFonts w:hint="eastAsia" w:hAnsi="宋体" w:cs="宋体"/>
          <w:szCs w:val="24"/>
          <w:highlight w:val="none"/>
        </w:rPr>
        <w:t>30.5.1供应商的姓名或者名称、地址、邮编、联系人及联系电话；</w:t>
      </w:r>
    </w:p>
    <w:p w14:paraId="1F7802B2">
      <w:pPr>
        <w:spacing w:line="500" w:lineRule="exact"/>
        <w:ind w:right="12" w:firstLine="480"/>
        <w:rPr>
          <w:rFonts w:hAnsi="宋体" w:cs="宋体"/>
          <w:szCs w:val="24"/>
          <w:highlight w:val="none"/>
        </w:rPr>
      </w:pPr>
      <w:r>
        <w:rPr>
          <w:rFonts w:hint="eastAsia" w:hAnsi="宋体" w:cs="宋体"/>
          <w:szCs w:val="24"/>
          <w:highlight w:val="none"/>
        </w:rPr>
        <w:t>30.5.2质疑项目的名称、编号；</w:t>
      </w:r>
    </w:p>
    <w:p w14:paraId="1DEC1A92">
      <w:pPr>
        <w:spacing w:line="500" w:lineRule="exact"/>
        <w:ind w:right="12" w:firstLine="480"/>
        <w:rPr>
          <w:rFonts w:hAnsi="宋体" w:cs="宋体"/>
          <w:szCs w:val="24"/>
          <w:highlight w:val="none"/>
        </w:rPr>
      </w:pPr>
      <w:r>
        <w:rPr>
          <w:rFonts w:hint="eastAsia" w:hAnsi="宋体" w:cs="宋体"/>
          <w:szCs w:val="24"/>
          <w:highlight w:val="none"/>
        </w:rPr>
        <w:t>30.5.3具体、明确的质疑事项和与质疑事项相关的请求；</w:t>
      </w:r>
    </w:p>
    <w:p w14:paraId="633F7DEF">
      <w:pPr>
        <w:spacing w:line="500" w:lineRule="exact"/>
        <w:ind w:right="12" w:firstLine="480"/>
        <w:rPr>
          <w:rFonts w:hAnsi="宋体" w:cs="宋体"/>
          <w:szCs w:val="24"/>
          <w:highlight w:val="none"/>
        </w:rPr>
      </w:pPr>
      <w:r>
        <w:rPr>
          <w:rFonts w:hint="eastAsia" w:hAnsi="宋体" w:cs="宋体"/>
          <w:szCs w:val="24"/>
          <w:highlight w:val="none"/>
        </w:rPr>
        <w:t>30.5.4事实依据；</w:t>
      </w:r>
    </w:p>
    <w:p w14:paraId="26335FF3">
      <w:pPr>
        <w:spacing w:line="500" w:lineRule="exact"/>
        <w:ind w:right="12" w:firstLine="480"/>
        <w:rPr>
          <w:rFonts w:hAnsi="宋体" w:cs="宋体"/>
          <w:szCs w:val="24"/>
          <w:highlight w:val="none"/>
        </w:rPr>
      </w:pPr>
      <w:r>
        <w:rPr>
          <w:rFonts w:hint="eastAsia" w:hAnsi="宋体" w:cs="宋体"/>
          <w:szCs w:val="24"/>
          <w:highlight w:val="none"/>
        </w:rPr>
        <w:t>30.5.5必要的法律依据；</w:t>
      </w:r>
    </w:p>
    <w:p w14:paraId="3CB35CED">
      <w:pPr>
        <w:spacing w:line="500" w:lineRule="exact"/>
        <w:ind w:right="12" w:firstLine="480"/>
        <w:rPr>
          <w:rFonts w:hAnsi="宋体" w:cs="宋体"/>
          <w:szCs w:val="24"/>
          <w:highlight w:val="none"/>
        </w:rPr>
      </w:pPr>
      <w:r>
        <w:rPr>
          <w:rFonts w:hint="eastAsia" w:hAnsi="宋体" w:cs="宋体"/>
          <w:szCs w:val="24"/>
          <w:highlight w:val="none"/>
        </w:rPr>
        <w:t>30.5.6提出质疑的日期。</w:t>
      </w:r>
    </w:p>
    <w:p w14:paraId="0ED309E9">
      <w:pPr>
        <w:spacing w:line="500" w:lineRule="exact"/>
        <w:ind w:right="12" w:firstLine="480"/>
        <w:rPr>
          <w:rFonts w:hAnsi="宋体" w:cs="宋体"/>
          <w:szCs w:val="24"/>
          <w:highlight w:val="none"/>
        </w:rPr>
      </w:pPr>
      <w:r>
        <w:rPr>
          <w:rFonts w:hint="eastAsia" w:hAnsi="宋体" w:cs="宋体"/>
          <w:szCs w:val="24"/>
          <w:highlight w:val="none"/>
        </w:rPr>
        <w:t>30.6有下列情形之一的，属于无效质疑，采购代理机构和采购人不予受理：</w:t>
      </w:r>
    </w:p>
    <w:p w14:paraId="237A2401">
      <w:pPr>
        <w:spacing w:line="500" w:lineRule="exact"/>
        <w:ind w:right="12" w:firstLine="480"/>
        <w:rPr>
          <w:rFonts w:hAnsi="宋体" w:cs="宋体"/>
          <w:szCs w:val="24"/>
          <w:highlight w:val="none"/>
        </w:rPr>
      </w:pPr>
      <w:r>
        <w:rPr>
          <w:rFonts w:hint="eastAsia" w:hAnsi="宋体" w:cs="宋体"/>
          <w:szCs w:val="24"/>
          <w:highlight w:val="none"/>
        </w:rPr>
        <w:t>30.6.1质疑供应商不是参与本次政府采购项目的供应商；</w:t>
      </w:r>
    </w:p>
    <w:p w14:paraId="0B18F90E">
      <w:pPr>
        <w:spacing w:line="500" w:lineRule="exact"/>
        <w:ind w:right="12" w:firstLine="480"/>
        <w:rPr>
          <w:rFonts w:hAnsi="宋体" w:cs="宋体"/>
          <w:szCs w:val="24"/>
          <w:highlight w:val="none"/>
        </w:rPr>
      </w:pPr>
      <w:r>
        <w:rPr>
          <w:rFonts w:hint="eastAsia" w:hAnsi="宋体" w:cs="宋体"/>
          <w:szCs w:val="24"/>
          <w:highlight w:val="none"/>
        </w:rPr>
        <w:t>30.6.2质疑供应商与质疑事项不存在利害关系的；</w:t>
      </w:r>
    </w:p>
    <w:p w14:paraId="320BF5C4">
      <w:pPr>
        <w:spacing w:line="500" w:lineRule="exact"/>
        <w:ind w:right="12" w:firstLine="480"/>
        <w:rPr>
          <w:rFonts w:hAnsi="宋体" w:cs="宋体"/>
          <w:szCs w:val="24"/>
          <w:highlight w:val="none"/>
        </w:rPr>
      </w:pPr>
      <w:r>
        <w:rPr>
          <w:rFonts w:hint="eastAsia" w:hAnsi="宋体" w:cs="宋体"/>
          <w:szCs w:val="24"/>
          <w:highlight w:val="none"/>
        </w:rPr>
        <w:t>30.6.3未在法定期限内提出质疑的；</w:t>
      </w:r>
    </w:p>
    <w:p w14:paraId="2961D61A">
      <w:pPr>
        <w:spacing w:line="500" w:lineRule="exact"/>
        <w:ind w:right="12" w:firstLine="480"/>
        <w:rPr>
          <w:rFonts w:hAnsi="宋体" w:cs="宋体"/>
          <w:szCs w:val="24"/>
          <w:highlight w:val="none"/>
        </w:rPr>
      </w:pPr>
      <w:r>
        <w:rPr>
          <w:rFonts w:hint="eastAsia" w:hAnsi="宋体" w:cs="宋体"/>
          <w:szCs w:val="24"/>
          <w:highlight w:val="none"/>
        </w:rPr>
        <w:t>30.6.4质疑未以书面形式提出，或质疑函主要内容构成不完整的；</w:t>
      </w:r>
    </w:p>
    <w:p w14:paraId="3D1B0F2B">
      <w:pPr>
        <w:spacing w:line="500" w:lineRule="exact"/>
        <w:ind w:right="12" w:firstLine="480"/>
        <w:rPr>
          <w:rFonts w:hAnsi="宋体" w:cs="宋体"/>
          <w:szCs w:val="24"/>
          <w:highlight w:val="none"/>
        </w:rPr>
      </w:pPr>
      <w:r>
        <w:rPr>
          <w:rFonts w:hint="eastAsia" w:hAnsi="宋体" w:cs="宋体"/>
          <w:szCs w:val="24"/>
          <w:highlight w:val="none"/>
        </w:rPr>
        <w:t>30.6.5应当提交授权书而未提交的；</w:t>
      </w:r>
    </w:p>
    <w:p w14:paraId="76E1C05D">
      <w:pPr>
        <w:spacing w:line="500" w:lineRule="exact"/>
        <w:ind w:right="12" w:firstLine="480"/>
        <w:rPr>
          <w:rFonts w:hAnsi="宋体" w:cs="宋体"/>
          <w:szCs w:val="24"/>
          <w:highlight w:val="none"/>
        </w:rPr>
      </w:pPr>
      <w:r>
        <w:rPr>
          <w:rFonts w:hint="eastAsia" w:hAnsi="宋体" w:cs="宋体"/>
          <w:szCs w:val="24"/>
          <w:highlight w:val="none"/>
        </w:rPr>
        <w:t>30.6.6以非法手段取得证据、材料的；</w:t>
      </w:r>
    </w:p>
    <w:p w14:paraId="2C059302">
      <w:pPr>
        <w:spacing w:line="500" w:lineRule="exact"/>
        <w:ind w:right="12" w:firstLine="480"/>
        <w:rPr>
          <w:rFonts w:hAnsi="宋体" w:cs="宋体"/>
          <w:szCs w:val="24"/>
          <w:highlight w:val="none"/>
        </w:rPr>
      </w:pPr>
      <w:r>
        <w:rPr>
          <w:rFonts w:hint="eastAsia" w:hAnsi="宋体" w:cs="宋体"/>
          <w:szCs w:val="24"/>
          <w:highlight w:val="none"/>
        </w:rPr>
        <w:t>30.6.7质疑答复后，同一质疑人就同一事项或同一采购程序环节再次提出质疑的；</w:t>
      </w:r>
    </w:p>
    <w:p w14:paraId="7B9C2CD6">
      <w:pPr>
        <w:spacing w:line="500" w:lineRule="exact"/>
        <w:ind w:right="12" w:firstLine="480"/>
        <w:rPr>
          <w:rFonts w:hAnsi="宋体" w:cs="宋体"/>
          <w:szCs w:val="24"/>
          <w:highlight w:val="none"/>
        </w:rPr>
      </w:pPr>
      <w:r>
        <w:rPr>
          <w:rFonts w:hint="eastAsia" w:hAnsi="宋体" w:cs="宋体"/>
          <w:szCs w:val="24"/>
          <w:highlight w:val="none"/>
        </w:rPr>
        <w:t>30.6.8不符合法律、法规、规章和政府采购监管机构规定的其他条件的。</w:t>
      </w:r>
    </w:p>
    <w:p w14:paraId="14B0B8F1">
      <w:pPr>
        <w:spacing w:line="500" w:lineRule="exact"/>
        <w:ind w:right="12" w:firstLine="480"/>
        <w:rPr>
          <w:rFonts w:hAnsi="宋体" w:cs="宋体"/>
          <w:szCs w:val="24"/>
          <w:highlight w:val="none"/>
        </w:rPr>
      </w:pPr>
      <w:r>
        <w:rPr>
          <w:rFonts w:hint="eastAsia" w:hAnsi="宋体" w:cs="宋体"/>
          <w:szCs w:val="24"/>
          <w:highlight w:val="none"/>
        </w:rPr>
        <w:t>30.7质疑答复</w:t>
      </w:r>
    </w:p>
    <w:p w14:paraId="7A3B4D5B">
      <w:pPr>
        <w:spacing w:line="500" w:lineRule="exact"/>
        <w:ind w:right="12" w:firstLine="480"/>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46FB6FDB">
      <w:pPr>
        <w:spacing w:line="500" w:lineRule="exact"/>
        <w:ind w:right="12" w:firstLine="480"/>
        <w:rPr>
          <w:rFonts w:hAnsi="宋体" w:cs="宋体"/>
          <w:szCs w:val="24"/>
          <w:highlight w:val="none"/>
        </w:rPr>
      </w:pPr>
      <w:r>
        <w:rPr>
          <w:rFonts w:hint="eastAsia" w:hAnsi="宋体" w:cs="宋体"/>
          <w:szCs w:val="24"/>
          <w:highlight w:val="none"/>
        </w:rPr>
        <w:t>30.7.2质疑供应商对采购人、采购代理机构的答复不满意，或者采购人、采购代理机构未在规定时间内作出答复的，可以在答复期满后15个工作日内向项目主管财政部门提起投诉。</w:t>
      </w:r>
    </w:p>
    <w:p w14:paraId="4220EC6C">
      <w:pPr>
        <w:spacing w:line="500" w:lineRule="exact"/>
        <w:ind w:right="12" w:firstLine="480"/>
        <w:rPr>
          <w:rFonts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0E465106">
      <w:pPr>
        <w:pStyle w:val="30"/>
        <w:spacing w:line="500" w:lineRule="exact"/>
        <w:ind w:firstLine="480" w:firstLineChars="0"/>
        <w:jc w:val="left"/>
        <w:rPr>
          <w:rFonts w:hAnsi="宋体" w:cs="宋体"/>
          <w:szCs w:val="24"/>
          <w:highlight w:val="none"/>
        </w:rPr>
      </w:pPr>
      <w:r>
        <w:rPr>
          <w:rFonts w:hint="eastAsia" w:hAnsi="宋体" w:cs="宋体"/>
          <w:szCs w:val="24"/>
          <w:highlight w:val="none"/>
        </w:rPr>
        <w:t>http://gks.mof.gov.cn/zhengfucaigouguanli/201802/t20180201_2804589.html</w:t>
      </w:r>
    </w:p>
    <w:p w14:paraId="4211C98E">
      <w:pPr>
        <w:pStyle w:val="30"/>
        <w:spacing w:line="500" w:lineRule="exact"/>
        <w:ind w:firstLine="480" w:firstLineChars="0"/>
        <w:jc w:val="left"/>
        <w:rPr>
          <w:rFonts w:hAnsi="宋体" w:cs="宋体"/>
          <w:szCs w:val="24"/>
          <w:highlight w:val="none"/>
        </w:rPr>
      </w:pPr>
      <w:r>
        <w:rPr>
          <w:rFonts w:hint="eastAsia" w:hAnsi="宋体" w:cs="宋体"/>
          <w:szCs w:val="24"/>
          <w:highlight w:val="none"/>
        </w:rPr>
        <w:t>30.8.2接收质疑函的方式：书面形式</w:t>
      </w:r>
    </w:p>
    <w:p w14:paraId="32D47FF5">
      <w:pPr>
        <w:pStyle w:val="30"/>
        <w:spacing w:line="500" w:lineRule="exact"/>
        <w:ind w:firstLine="480" w:firstLineChars="0"/>
        <w:jc w:val="left"/>
        <w:rPr>
          <w:rFonts w:hAnsi="宋体" w:cs="宋体"/>
          <w:szCs w:val="24"/>
          <w:highlight w:val="none"/>
        </w:rPr>
      </w:pPr>
      <w:r>
        <w:rPr>
          <w:rFonts w:hint="eastAsia" w:hAnsi="宋体" w:cs="宋体"/>
          <w:szCs w:val="24"/>
          <w:highlight w:val="none"/>
        </w:rPr>
        <w:t>30.8.3联系部门：陕西至诚项目管理集团有限公司前台</w:t>
      </w:r>
    </w:p>
    <w:p w14:paraId="7F539DF6">
      <w:pPr>
        <w:pStyle w:val="30"/>
        <w:spacing w:line="500" w:lineRule="exact"/>
        <w:ind w:firstLine="480" w:firstLineChars="0"/>
        <w:jc w:val="left"/>
        <w:rPr>
          <w:rFonts w:hAnsi="宋体" w:cs="宋体"/>
          <w:szCs w:val="24"/>
          <w:highlight w:val="none"/>
        </w:rPr>
      </w:pPr>
      <w:r>
        <w:rPr>
          <w:rFonts w:hint="eastAsia" w:hAnsi="宋体" w:cs="宋体"/>
          <w:szCs w:val="24"/>
          <w:highlight w:val="none"/>
        </w:rPr>
        <w:t>30.8.4联系电话：029-88219779</w:t>
      </w:r>
    </w:p>
    <w:p w14:paraId="76014D74">
      <w:pPr>
        <w:pStyle w:val="30"/>
        <w:spacing w:line="500" w:lineRule="exact"/>
        <w:ind w:firstLine="480" w:firstLineChars="0"/>
        <w:jc w:val="left"/>
        <w:rPr>
          <w:rFonts w:hAnsi="宋体" w:cs="宋体"/>
          <w:szCs w:val="24"/>
          <w:highlight w:val="none"/>
        </w:rPr>
      </w:pPr>
      <w:r>
        <w:rPr>
          <w:rFonts w:hint="eastAsia" w:hAnsi="宋体" w:cs="宋体"/>
          <w:szCs w:val="24"/>
          <w:highlight w:val="none"/>
        </w:rPr>
        <w:t>31.8.5通讯地址：陕西省西安市经济技术开发区未央路171-1号银池道拉斯财富中心21楼</w:t>
      </w:r>
    </w:p>
    <w:p w14:paraId="0C99E139">
      <w:pPr>
        <w:spacing w:line="500" w:lineRule="exact"/>
        <w:rPr>
          <w:rFonts w:hAnsi="宋体" w:cs="宋体"/>
          <w:szCs w:val="24"/>
          <w:highlight w:val="none"/>
        </w:rPr>
      </w:pPr>
      <w:r>
        <w:rPr>
          <w:rFonts w:hint="eastAsia" w:hAnsi="宋体" w:cs="宋体"/>
          <w:b/>
          <w:bCs/>
          <w:szCs w:val="24"/>
          <w:highlight w:val="none"/>
        </w:rPr>
        <w:t>32.其他</w:t>
      </w:r>
    </w:p>
    <w:p w14:paraId="67EAED10">
      <w:pPr>
        <w:spacing w:line="500" w:lineRule="exact"/>
        <w:ind w:firstLine="480" w:firstLineChars="200"/>
        <w:rPr>
          <w:rFonts w:hAnsi="宋体" w:cs="宋体"/>
          <w:highlight w:val="none"/>
        </w:rPr>
      </w:pPr>
      <w:r>
        <w:rPr>
          <w:rFonts w:hint="eastAsia" w:hAnsi="宋体" w:cs="宋体"/>
          <w:highlight w:val="none"/>
        </w:rPr>
        <w:t>32.1 废标的情形</w:t>
      </w:r>
    </w:p>
    <w:p w14:paraId="4BE9010E">
      <w:pPr>
        <w:spacing w:line="500" w:lineRule="exact"/>
        <w:ind w:firstLine="480" w:firstLineChars="200"/>
        <w:rPr>
          <w:rFonts w:hAnsi="宋体" w:cs="宋体"/>
          <w:highlight w:val="none"/>
        </w:rPr>
      </w:pPr>
      <w:r>
        <w:rPr>
          <w:rFonts w:hint="eastAsia" w:hAnsi="宋体" w:cs="宋体"/>
          <w:highlight w:val="none"/>
        </w:rPr>
        <w:t>32.1.1招标采购中，出现下列情形之一的，应予以废标：</w:t>
      </w:r>
    </w:p>
    <w:p w14:paraId="20F814FF">
      <w:pPr>
        <w:spacing w:line="500" w:lineRule="exact"/>
        <w:ind w:firstLine="480" w:firstLineChars="200"/>
        <w:rPr>
          <w:rFonts w:hAnsi="宋体" w:cs="宋体"/>
          <w:highlight w:val="none"/>
        </w:rPr>
      </w:pPr>
      <w:r>
        <w:rPr>
          <w:rFonts w:hint="eastAsia" w:hAnsi="宋体" w:cs="宋体"/>
          <w:highlight w:val="none"/>
        </w:rPr>
        <w:t>（1）符合专业条件的供应商或者对招标文件作实质响应的供应商不足3家的；</w:t>
      </w:r>
    </w:p>
    <w:p w14:paraId="5246FC3A">
      <w:pPr>
        <w:spacing w:line="500" w:lineRule="exact"/>
        <w:ind w:firstLine="480" w:firstLineChars="200"/>
        <w:rPr>
          <w:rFonts w:hAnsi="宋体" w:cs="宋体"/>
          <w:highlight w:val="none"/>
        </w:rPr>
      </w:pPr>
      <w:r>
        <w:rPr>
          <w:rFonts w:hint="eastAsia" w:hAnsi="宋体" w:cs="宋体"/>
          <w:highlight w:val="none"/>
        </w:rPr>
        <w:t>（2）出现影响采购公正的违法、违规行为的；</w:t>
      </w:r>
    </w:p>
    <w:p w14:paraId="2C2582CF">
      <w:pPr>
        <w:spacing w:line="500" w:lineRule="exact"/>
        <w:ind w:firstLine="480" w:firstLineChars="200"/>
        <w:rPr>
          <w:rFonts w:hAnsi="宋体" w:cs="宋体"/>
          <w:highlight w:val="none"/>
        </w:rPr>
      </w:pPr>
      <w:r>
        <w:rPr>
          <w:rFonts w:hint="eastAsia" w:hAnsi="宋体" w:cs="宋体"/>
          <w:highlight w:val="none"/>
        </w:rPr>
        <w:t>（3）供应商的报价均超过了采购预算，采购人不能支付的；</w:t>
      </w:r>
    </w:p>
    <w:p w14:paraId="4887B93F">
      <w:pPr>
        <w:spacing w:line="500" w:lineRule="exact"/>
        <w:ind w:firstLine="480" w:firstLineChars="200"/>
        <w:rPr>
          <w:rFonts w:hAnsi="宋体" w:cs="宋体"/>
          <w:highlight w:val="none"/>
        </w:rPr>
      </w:pPr>
      <w:r>
        <w:rPr>
          <w:rFonts w:hint="eastAsia" w:hAnsi="宋体" w:cs="宋体"/>
          <w:highlight w:val="none"/>
        </w:rPr>
        <w:t>（4）因重大变故，采购任务取消的。</w:t>
      </w:r>
    </w:p>
    <w:p w14:paraId="6683F38A">
      <w:pPr>
        <w:spacing w:line="500" w:lineRule="exact"/>
        <w:ind w:firstLine="480" w:firstLineChars="200"/>
        <w:rPr>
          <w:rFonts w:hAnsi="宋体" w:cs="宋体"/>
          <w:highlight w:val="none"/>
        </w:rPr>
      </w:pPr>
      <w:r>
        <w:rPr>
          <w:rFonts w:hint="eastAsia" w:hAnsi="宋体" w:cs="宋体"/>
          <w:highlight w:val="none"/>
        </w:rPr>
        <w:t>32.1.2废标后，采购代理机构应在财政部门指定采购网上公告，并公告废标的详细理由。</w:t>
      </w:r>
    </w:p>
    <w:p w14:paraId="2759BDA6">
      <w:pPr>
        <w:spacing w:line="500" w:lineRule="exact"/>
        <w:ind w:firstLine="480" w:firstLineChars="200"/>
        <w:rPr>
          <w:rFonts w:hAnsi="宋体" w:cs="宋体"/>
          <w:highlight w:val="none"/>
        </w:rPr>
      </w:pPr>
      <w:r>
        <w:rPr>
          <w:rFonts w:hint="eastAsia" w:hAnsi="宋体" w:cs="宋体"/>
          <w:highlight w:val="none"/>
        </w:rPr>
        <w:t>32.2变更采购方式</w:t>
      </w:r>
    </w:p>
    <w:p w14:paraId="7B2F592B">
      <w:pPr>
        <w:spacing w:line="500" w:lineRule="exact"/>
        <w:ind w:firstLine="480" w:firstLineChars="200"/>
        <w:rPr>
          <w:rFonts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14:paraId="7377D729">
      <w:pPr>
        <w:spacing w:line="500" w:lineRule="exact"/>
        <w:ind w:firstLine="480" w:firstLineChars="200"/>
        <w:rPr>
          <w:rFonts w:hAnsi="宋体" w:cs="宋体"/>
          <w:highlight w:val="none"/>
        </w:rPr>
      </w:pPr>
      <w:r>
        <w:rPr>
          <w:rFonts w:hint="eastAsia" w:hAnsi="宋体" w:cs="宋体"/>
          <w:highlight w:val="none"/>
        </w:rPr>
        <w:t>（1）投标截止后参加投标的人不足3家的；</w:t>
      </w:r>
    </w:p>
    <w:p w14:paraId="6A640EB7">
      <w:pPr>
        <w:spacing w:line="500" w:lineRule="exact"/>
        <w:ind w:firstLine="480" w:firstLineChars="200"/>
        <w:rPr>
          <w:rFonts w:hAnsi="宋体" w:cs="宋体"/>
          <w:highlight w:val="none"/>
        </w:rPr>
      </w:pPr>
      <w:r>
        <w:rPr>
          <w:rFonts w:hint="eastAsia" w:hAnsi="宋体" w:cs="宋体"/>
          <w:highlight w:val="none"/>
        </w:rPr>
        <w:t>（2）通过资格审查的供应商不足3家的；</w:t>
      </w:r>
    </w:p>
    <w:p w14:paraId="5A4878EE">
      <w:pPr>
        <w:spacing w:line="500" w:lineRule="exact"/>
        <w:ind w:firstLine="480" w:firstLineChars="200"/>
        <w:rPr>
          <w:rFonts w:hAnsi="宋体" w:cs="宋体"/>
          <w:highlight w:val="none"/>
        </w:rPr>
      </w:pPr>
      <w:r>
        <w:rPr>
          <w:rFonts w:hint="eastAsia" w:hAnsi="宋体" w:cs="宋体"/>
          <w:highlight w:val="none"/>
        </w:rPr>
        <w:t>（3）通过符合性审查的供应商不足3家的。</w:t>
      </w:r>
    </w:p>
    <w:p w14:paraId="01CA87F0">
      <w:pPr>
        <w:spacing w:line="500" w:lineRule="exact"/>
        <w:ind w:firstLine="480" w:firstLineChars="200"/>
        <w:rPr>
          <w:rFonts w:hAnsi="宋体" w:cs="宋体"/>
          <w:highlight w:val="none"/>
        </w:rPr>
      </w:pPr>
      <w:r>
        <w:rPr>
          <w:rFonts w:hint="eastAsia" w:hAnsi="宋体" w:cs="宋体"/>
          <w:highlight w:val="none"/>
        </w:rPr>
        <w:t>32.2.2通过符合性审查的供应商只有2家时，采购人经同级财政部门同意后，可以按《政府采购非招标采购方式管理办法》（财政部第74号令）的规定与该2家供应商进行竞争性谈判采购。</w:t>
      </w:r>
    </w:p>
    <w:p w14:paraId="283ACA82">
      <w:pPr>
        <w:spacing w:line="500" w:lineRule="exact"/>
        <w:rPr>
          <w:rFonts w:hAnsi="宋体" w:cs="宋体"/>
          <w:b/>
          <w:bCs/>
          <w:highlight w:val="none"/>
        </w:rPr>
      </w:pPr>
      <w:bookmarkStart w:id="54" w:name="_Toc6721"/>
      <w:bookmarkStart w:id="55" w:name="_Toc363474023"/>
      <w:r>
        <w:rPr>
          <w:rFonts w:hint="eastAsia" w:hAnsi="宋体" w:cs="宋体"/>
          <w:b/>
          <w:bCs/>
          <w:highlight w:val="none"/>
        </w:rPr>
        <w:t>33 同品牌投标</w:t>
      </w:r>
    </w:p>
    <w:p w14:paraId="3465450F">
      <w:pPr>
        <w:spacing w:line="500" w:lineRule="exact"/>
        <w:ind w:firstLine="480" w:firstLineChars="200"/>
        <w:rPr>
          <w:rFonts w:hAnsi="宋体" w:cs="宋体"/>
          <w:highlight w:val="none"/>
        </w:rPr>
      </w:pPr>
      <w:r>
        <w:rPr>
          <w:rFonts w:hint="eastAsia" w:hAnsi="宋体" w:cs="宋体"/>
          <w:highlight w:val="none"/>
        </w:rPr>
        <w:t>33.1采用最低评标价法的采购项目，提供相同品牌产品的不同投标人参加同一合同项下投标的，以其中通过资格审查、符合性审查且报价最低的参加评标；报价相同的，由采购人自行确定一个参加评标的投标人，其他投标无效。</w:t>
      </w:r>
    </w:p>
    <w:p w14:paraId="6CC39203">
      <w:pPr>
        <w:spacing w:line="500" w:lineRule="exact"/>
        <w:ind w:firstLine="480" w:firstLineChars="200"/>
        <w:rPr>
          <w:rFonts w:hAnsi="宋体" w:cs="宋体"/>
          <w:highlight w:val="none"/>
        </w:rPr>
      </w:pPr>
      <w:r>
        <w:rPr>
          <w:rFonts w:hint="eastAsia" w:hAnsi="宋体" w:cs="宋体"/>
          <w:highlight w:val="none"/>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确定一个投标人获得中标人推荐资格，其他同品牌投标人不作为中标候选人。</w:t>
      </w:r>
    </w:p>
    <w:p w14:paraId="4584945C">
      <w:pPr>
        <w:spacing w:line="500" w:lineRule="exact"/>
        <w:ind w:firstLine="480" w:firstLineChars="200"/>
        <w:rPr>
          <w:rFonts w:hAnsi="宋体" w:cs="宋体"/>
          <w:sz w:val="36"/>
          <w:szCs w:val="36"/>
          <w:highlight w:val="none"/>
        </w:rPr>
      </w:pPr>
      <w:r>
        <w:rPr>
          <w:rFonts w:hint="eastAsia" w:hAnsi="宋体" w:cs="宋体"/>
          <w:highlight w:val="none"/>
        </w:rPr>
        <w:t>33.3非单一产品采购项目，在第二章投标人须知前附表中载明核心产品。多家投标人提供的核心产品品牌相同的，按前两款规定处理。</w:t>
      </w:r>
    </w:p>
    <w:p w14:paraId="428E8EC7">
      <w:pPr>
        <w:rPr>
          <w:rFonts w:hAnsi="宋体" w:cs="宋体"/>
          <w:sz w:val="36"/>
          <w:szCs w:val="36"/>
          <w:highlight w:val="none"/>
        </w:rPr>
      </w:pPr>
      <w:r>
        <w:rPr>
          <w:rFonts w:hint="eastAsia" w:hAnsi="宋体" w:cs="宋体"/>
          <w:sz w:val="36"/>
          <w:szCs w:val="36"/>
          <w:highlight w:val="none"/>
        </w:rPr>
        <w:br w:type="page"/>
      </w:r>
    </w:p>
    <w:p w14:paraId="222AE6B5">
      <w:pPr>
        <w:pStyle w:val="2"/>
        <w:jc w:val="center"/>
        <w:rPr>
          <w:rFonts w:ascii="宋体" w:eastAsia="宋体" w:cs="宋体"/>
          <w:sz w:val="36"/>
          <w:szCs w:val="36"/>
          <w:highlight w:val="none"/>
        </w:rPr>
      </w:pPr>
      <w:bookmarkStart w:id="56" w:name="_Toc29164"/>
      <w:r>
        <w:rPr>
          <w:rFonts w:hint="eastAsia" w:ascii="宋体" w:eastAsia="宋体" w:cs="宋体"/>
          <w:sz w:val="36"/>
          <w:szCs w:val="36"/>
          <w:highlight w:val="none"/>
        </w:rPr>
        <w:t>第三章  合同条款及格式</w:t>
      </w:r>
      <w:bookmarkEnd w:id="54"/>
      <w:bookmarkEnd w:id="56"/>
    </w:p>
    <w:p w14:paraId="7B9DD3DC">
      <w:pPr>
        <w:pStyle w:val="3"/>
        <w:jc w:val="center"/>
        <w:rPr>
          <w:rFonts w:ascii="宋体" w:hAnsi="宋体" w:cs="宋体"/>
          <w:highlight w:val="none"/>
        </w:rPr>
      </w:pPr>
      <w:bookmarkStart w:id="57" w:name="_Toc426457695"/>
      <w:bookmarkStart w:id="58" w:name="_Toc28117"/>
      <w:bookmarkStart w:id="59" w:name="_Toc476"/>
      <w:bookmarkStart w:id="60" w:name="_Toc26935"/>
      <w:bookmarkStart w:id="61" w:name="_Toc1025"/>
      <w:bookmarkStart w:id="62" w:name="_Toc23856"/>
      <w:bookmarkStart w:id="63" w:name="_Toc2711"/>
      <w:bookmarkStart w:id="64" w:name="_Toc389582038"/>
      <w:bookmarkStart w:id="65" w:name="_Toc4053"/>
      <w:bookmarkStart w:id="66" w:name="_Toc20481"/>
      <w:bookmarkStart w:id="67" w:name="_Toc317530110"/>
      <w:bookmarkStart w:id="68" w:name="_Toc11450"/>
      <w:r>
        <w:rPr>
          <w:rFonts w:hint="eastAsia"/>
          <w:highlight w:val="none"/>
        </w:rPr>
        <w:t>合同条款及格式前附表</w:t>
      </w:r>
      <w:bookmarkEnd w:id="57"/>
      <w:bookmarkEnd w:id="58"/>
      <w:bookmarkEnd w:id="59"/>
      <w:bookmarkEnd w:id="60"/>
    </w:p>
    <w:p w14:paraId="2AA95980">
      <w:pPr>
        <w:rPr>
          <w:rFonts w:hint="eastAsia"/>
          <w:b/>
          <w:bCs/>
          <w:highlight w:val="none"/>
        </w:rPr>
      </w:pPr>
      <w:r>
        <w:rPr>
          <w:rFonts w:hint="eastAsia"/>
          <w:b/>
          <w:bCs/>
          <w:highlight w:val="none"/>
        </w:rPr>
        <w:t>本表是对合同条款的具体补充和修改，如有矛盾，应以本资料表为准。</w:t>
      </w:r>
    </w:p>
    <w:tbl>
      <w:tblPr>
        <w:tblStyle w:val="23"/>
        <w:tblW w:w="499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33"/>
        <w:gridCol w:w="8286"/>
      </w:tblGrid>
      <w:tr w14:paraId="0C29B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7" w:type="pct"/>
            <w:noWrap w:val="0"/>
            <w:vAlign w:val="center"/>
          </w:tcPr>
          <w:p w14:paraId="23E16685">
            <w:pPr>
              <w:spacing w:line="360" w:lineRule="auto"/>
              <w:jc w:val="center"/>
              <w:rPr>
                <w:rFonts w:hAnsi="宋体" w:cs="宋体"/>
                <w:b/>
                <w:szCs w:val="24"/>
                <w:highlight w:val="none"/>
              </w:rPr>
            </w:pPr>
            <w:r>
              <w:rPr>
                <w:rFonts w:hint="eastAsia" w:hAnsi="宋体" w:cs="宋体"/>
                <w:b/>
                <w:szCs w:val="24"/>
                <w:highlight w:val="none"/>
              </w:rPr>
              <w:t>序号</w:t>
            </w:r>
          </w:p>
        </w:tc>
        <w:tc>
          <w:tcPr>
            <w:tcW w:w="4542" w:type="pct"/>
            <w:noWrap w:val="0"/>
            <w:vAlign w:val="center"/>
          </w:tcPr>
          <w:p w14:paraId="6F2B8D68">
            <w:pPr>
              <w:spacing w:line="360" w:lineRule="auto"/>
              <w:jc w:val="center"/>
              <w:rPr>
                <w:rFonts w:hAnsi="宋体" w:cs="宋体"/>
                <w:b/>
                <w:szCs w:val="24"/>
                <w:highlight w:val="none"/>
              </w:rPr>
            </w:pPr>
            <w:r>
              <w:rPr>
                <w:rFonts w:hint="eastAsia" w:hAnsi="宋体" w:cs="宋体"/>
                <w:b/>
                <w:szCs w:val="24"/>
                <w:highlight w:val="none"/>
              </w:rPr>
              <w:t>内      容</w:t>
            </w:r>
          </w:p>
        </w:tc>
      </w:tr>
      <w:tr w14:paraId="343CE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57" w:type="pct"/>
            <w:noWrap w:val="0"/>
            <w:vAlign w:val="center"/>
          </w:tcPr>
          <w:p w14:paraId="3F80E8F9">
            <w:pPr>
              <w:spacing w:line="360" w:lineRule="auto"/>
              <w:jc w:val="center"/>
              <w:rPr>
                <w:rFonts w:hAnsi="宋体" w:cs="宋体"/>
                <w:szCs w:val="24"/>
                <w:highlight w:val="none"/>
              </w:rPr>
            </w:pPr>
            <w:r>
              <w:rPr>
                <w:rFonts w:hint="eastAsia" w:hAnsi="宋体" w:cs="宋体"/>
                <w:szCs w:val="24"/>
                <w:highlight w:val="none"/>
              </w:rPr>
              <w:t>1</w:t>
            </w:r>
          </w:p>
        </w:tc>
        <w:tc>
          <w:tcPr>
            <w:tcW w:w="4542" w:type="pct"/>
            <w:noWrap w:val="0"/>
            <w:vAlign w:val="center"/>
          </w:tcPr>
          <w:p w14:paraId="2BDC8ACA">
            <w:pPr>
              <w:spacing w:line="360" w:lineRule="auto"/>
              <w:rPr>
                <w:rFonts w:hint="eastAsia" w:hAnsi="宋体" w:eastAsia="宋体" w:cs="宋体"/>
                <w:b w:val="0"/>
                <w:bCs/>
                <w:szCs w:val="24"/>
                <w:highlight w:val="none"/>
                <w:lang w:eastAsia="zh-CN"/>
              </w:rPr>
            </w:pPr>
            <w:r>
              <w:rPr>
                <w:rFonts w:hint="eastAsia" w:hAnsi="宋体" w:cs="宋体"/>
                <w:b/>
                <w:szCs w:val="24"/>
                <w:highlight w:val="none"/>
              </w:rPr>
              <w:t>采购人名称</w:t>
            </w:r>
            <w:r>
              <w:rPr>
                <w:rFonts w:hint="eastAsia" w:hAnsi="宋体" w:cs="宋体"/>
                <w:szCs w:val="24"/>
                <w:highlight w:val="none"/>
              </w:rPr>
              <w:t>：</w:t>
            </w:r>
            <w:r>
              <w:rPr>
                <w:rFonts w:hint="eastAsia" w:hAnsi="宋体" w:cs="宋体"/>
                <w:b w:val="0"/>
                <w:bCs/>
                <w:szCs w:val="24"/>
                <w:highlight w:val="none"/>
                <w:lang w:eastAsia="zh-CN"/>
              </w:rPr>
              <w:t>汉中市人民医院</w:t>
            </w:r>
          </w:p>
          <w:p w14:paraId="2F68AE0B">
            <w:pPr>
              <w:spacing w:line="360" w:lineRule="auto"/>
              <w:rPr>
                <w:rFonts w:hint="eastAsia" w:hAnsi="宋体" w:cs="宋体"/>
                <w:b w:val="0"/>
                <w:bCs/>
                <w:szCs w:val="24"/>
                <w:highlight w:val="none"/>
                <w:lang w:eastAsia="zh-CN"/>
              </w:rPr>
            </w:pPr>
            <w:r>
              <w:rPr>
                <w:rFonts w:hint="eastAsia" w:hAnsi="宋体" w:cs="宋体"/>
                <w:b/>
                <w:szCs w:val="24"/>
                <w:highlight w:val="none"/>
              </w:rPr>
              <w:t>地址：</w:t>
            </w:r>
            <w:r>
              <w:rPr>
                <w:rFonts w:hint="eastAsia" w:hAnsi="宋体" w:cs="宋体"/>
                <w:b w:val="0"/>
                <w:bCs/>
                <w:szCs w:val="24"/>
                <w:highlight w:val="none"/>
                <w:lang w:eastAsia="zh-CN"/>
              </w:rPr>
              <w:t>汉中市汉台区北团结街251号</w:t>
            </w:r>
          </w:p>
          <w:p w14:paraId="2B687074">
            <w:pPr>
              <w:spacing w:line="360" w:lineRule="auto"/>
              <w:rPr>
                <w:rFonts w:hint="eastAsia" w:hAnsi="宋体" w:cs="宋体"/>
                <w:szCs w:val="24"/>
                <w:highlight w:val="none"/>
                <w:lang w:eastAsia="zh-CN"/>
              </w:rPr>
            </w:pPr>
            <w:r>
              <w:rPr>
                <w:rFonts w:hint="eastAsia" w:hAnsi="宋体" w:cs="宋体"/>
                <w:b/>
                <w:szCs w:val="24"/>
                <w:highlight w:val="none"/>
              </w:rPr>
              <w:t>项目名称</w:t>
            </w:r>
            <w:r>
              <w:rPr>
                <w:rFonts w:hint="eastAsia" w:hAnsi="宋体" w:cs="宋体"/>
                <w:szCs w:val="24"/>
                <w:highlight w:val="none"/>
              </w:rPr>
              <w:t>：</w:t>
            </w:r>
            <w:r>
              <w:rPr>
                <w:rFonts w:hint="eastAsia" w:hAnsi="宋体" w:cs="宋体"/>
                <w:szCs w:val="24"/>
                <w:highlight w:val="none"/>
                <w:lang w:eastAsia="zh-CN"/>
              </w:rPr>
              <w:t>互联网二期升级改造（银医合作）采购项目</w:t>
            </w:r>
          </w:p>
          <w:p w14:paraId="34FB4C23">
            <w:pPr>
              <w:spacing w:line="360" w:lineRule="auto"/>
              <w:rPr>
                <w:rFonts w:hint="eastAsia" w:hAnsi="宋体" w:eastAsia="宋体" w:cs="宋体"/>
                <w:szCs w:val="24"/>
                <w:highlight w:val="none"/>
                <w:lang w:eastAsia="zh-CN"/>
              </w:rPr>
            </w:pPr>
            <w:r>
              <w:rPr>
                <w:rFonts w:hint="eastAsia" w:hAnsi="宋体" w:cs="宋体"/>
                <w:b/>
                <w:szCs w:val="24"/>
                <w:highlight w:val="none"/>
              </w:rPr>
              <w:t>资金来源：</w:t>
            </w:r>
            <w:r>
              <w:rPr>
                <w:rFonts w:hint="eastAsia" w:hAnsi="宋体" w:cs="宋体"/>
                <w:szCs w:val="24"/>
                <w:highlight w:val="none"/>
                <w:lang w:val="en-US" w:eastAsia="zh-CN"/>
              </w:rPr>
              <w:t>自筹</w:t>
            </w:r>
          </w:p>
        </w:tc>
      </w:tr>
      <w:tr w14:paraId="19A05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7" w:type="pct"/>
            <w:noWrap w:val="0"/>
            <w:vAlign w:val="center"/>
          </w:tcPr>
          <w:p w14:paraId="708F1F82">
            <w:pPr>
              <w:spacing w:line="360" w:lineRule="auto"/>
              <w:jc w:val="center"/>
              <w:rPr>
                <w:rFonts w:hAnsi="宋体" w:cs="宋体"/>
                <w:szCs w:val="24"/>
                <w:highlight w:val="none"/>
              </w:rPr>
            </w:pPr>
            <w:r>
              <w:rPr>
                <w:rFonts w:hint="eastAsia" w:hAnsi="宋体" w:cs="宋体"/>
                <w:szCs w:val="24"/>
                <w:highlight w:val="none"/>
              </w:rPr>
              <w:t>2</w:t>
            </w:r>
          </w:p>
        </w:tc>
        <w:tc>
          <w:tcPr>
            <w:tcW w:w="4542" w:type="pct"/>
            <w:noWrap w:val="0"/>
            <w:vAlign w:val="center"/>
          </w:tcPr>
          <w:p w14:paraId="75A76736">
            <w:pPr>
              <w:spacing w:line="360" w:lineRule="auto"/>
              <w:rPr>
                <w:rFonts w:hAnsi="宋体" w:cs="宋体"/>
                <w:szCs w:val="24"/>
                <w:highlight w:val="none"/>
              </w:rPr>
            </w:pPr>
            <w:r>
              <w:rPr>
                <w:rFonts w:hint="eastAsia" w:hAnsi="宋体" w:cs="宋体"/>
                <w:b/>
                <w:szCs w:val="24"/>
                <w:highlight w:val="none"/>
              </w:rPr>
              <w:t>名词解释：</w:t>
            </w:r>
            <w:r>
              <w:rPr>
                <w:rFonts w:hint="eastAsia" w:hAnsi="宋体" w:cs="宋体"/>
                <w:szCs w:val="24"/>
                <w:highlight w:val="none"/>
              </w:rPr>
              <w:t>本章节中出现的 “投标人”，在招标投标阶段措辞为“投标人”；在项目招标结束，中标结果确定后，措辞由“投标人”转为“中标人”；在采购人与中标人签订合同，履约、实施阶段，措辞由“中标人”转为“投标人”。</w:t>
            </w:r>
          </w:p>
        </w:tc>
      </w:tr>
      <w:tr w14:paraId="61249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7" w:type="pct"/>
            <w:noWrap w:val="0"/>
            <w:vAlign w:val="center"/>
          </w:tcPr>
          <w:p w14:paraId="42A98F31">
            <w:pPr>
              <w:spacing w:line="360" w:lineRule="auto"/>
              <w:jc w:val="center"/>
              <w:rPr>
                <w:rFonts w:hAnsi="宋体" w:cs="宋体"/>
                <w:szCs w:val="24"/>
                <w:highlight w:val="none"/>
              </w:rPr>
            </w:pPr>
            <w:r>
              <w:rPr>
                <w:rFonts w:hint="eastAsia" w:hAnsi="宋体" w:cs="宋体"/>
                <w:szCs w:val="24"/>
                <w:highlight w:val="none"/>
              </w:rPr>
              <w:t>3</w:t>
            </w:r>
          </w:p>
        </w:tc>
        <w:tc>
          <w:tcPr>
            <w:tcW w:w="4542" w:type="pct"/>
            <w:noWrap w:val="0"/>
            <w:vAlign w:val="center"/>
          </w:tcPr>
          <w:p w14:paraId="506F0BDF">
            <w:pPr>
              <w:spacing w:line="360" w:lineRule="auto"/>
              <w:rPr>
                <w:rFonts w:hAnsi="宋体" w:cs="宋体"/>
                <w:b/>
                <w:szCs w:val="24"/>
                <w:highlight w:val="none"/>
              </w:rPr>
            </w:pPr>
            <w:r>
              <w:rPr>
                <w:rFonts w:hint="eastAsia" w:hAnsi="宋体" w:cs="宋体"/>
                <w:b/>
                <w:szCs w:val="24"/>
                <w:highlight w:val="none"/>
              </w:rPr>
              <w:t>服务地点：采购人指定地点。</w:t>
            </w:r>
          </w:p>
        </w:tc>
      </w:tr>
      <w:tr w14:paraId="192F8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7" w:type="pct"/>
            <w:noWrap w:val="0"/>
            <w:vAlign w:val="center"/>
          </w:tcPr>
          <w:p w14:paraId="618C9CA9">
            <w:pPr>
              <w:spacing w:line="360" w:lineRule="auto"/>
              <w:jc w:val="center"/>
              <w:rPr>
                <w:rFonts w:hAnsi="宋体" w:cs="宋体"/>
                <w:szCs w:val="24"/>
                <w:highlight w:val="none"/>
              </w:rPr>
            </w:pPr>
            <w:r>
              <w:rPr>
                <w:rFonts w:hint="eastAsia" w:hAnsi="宋体" w:cs="宋体"/>
                <w:szCs w:val="24"/>
                <w:highlight w:val="none"/>
              </w:rPr>
              <w:t>4</w:t>
            </w:r>
          </w:p>
        </w:tc>
        <w:tc>
          <w:tcPr>
            <w:tcW w:w="4542" w:type="pct"/>
            <w:noWrap w:val="0"/>
            <w:vAlign w:val="center"/>
          </w:tcPr>
          <w:p w14:paraId="1EC904C3">
            <w:pPr>
              <w:spacing w:line="360" w:lineRule="auto"/>
              <w:rPr>
                <w:rFonts w:hint="eastAsia" w:hAnsi="宋体" w:cs="宋体"/>
                <w:b/>
                <w:szCs w:val="24"/>
                <w:highlight w:val="none"/>
              </w:rPr>
            </w:pPr>
            <w:r>
              <w:rPr>
                <w:rFonts w:hint="eastAsia" w:hAnsi="宋体" w:cs="宋体"/>
                <w:b/>
                <w:szCs w:val="24"/>
                <w:highlight w:val="none"/>
              </w:rPr>
              <w:t>建设周期：合同签订后6个月内完成系统的上线使用。</w:t>
            </w:r>
          </w:p>
          <w:p w14:paraId="34C33177">
            <w:pPr>
              <w:spacing w:line="360" w:lineRule="auto"/>
              <w:rPr>
                <w:rFonts w:hint="eastAsia" w:hAnsi="宋体" w:eastAsia="宋体" w:cs="宋体"/>
                <w:b/>
                <w:szCs w:val="24"/>
                <w:highlight w:val="none"/>
                <w:lang w:val="en-US" w:eastAsia="zh-CN"/>
              </w:rPr>
            </w:pPr>
            <w:r>
              <w:rPr>
                <w:rFonts w:hint="eastAsia" w:hAnsi="宋体" w:cs="宋体"/>
                <w:b/>
                <w:szCs w:val="24"/>
                <w:highlight w:val="none"/>
                <w:lang w:val="en-US" w:eastAsia="zh-CN"/>
              </w:rPr>
              <w:t>质保期：</w:t>
            </w:r>
            <w:r>
              <w:rPr>
                <w:rFonts w:hint="eastAsia" w:ascii="宋体" w:hAnsi="宋体" w:eastAsia="宋体" w:cs="宋体"/>
                <w:b/>
                <w:szCs w:val="24"/>
                <w:highlight w:val="none"/>
              </w:rPr>
              <w:t>自项目最终验收通过之日起</w:t>
            </w:r>
            <w:r>
              <w:rPr>
                <w:rFonts w:hint="eastAsia" w:hAnsi="宋体" w:cs="宋体"/>
                <w:b/>
                <w:szCs w:val="24"/>
                <w:highlight w:val="none"/>
                <w:lang w:val="en-US" w:eastAsia="zh-CN"/>
              </w:rPr>
              <w:t>1年</w:t>
            </w:r>
            <w:bookmarkStart w:id="212" w:name="_GoBack"/>
            <w:bookmarkEnd w:id="212"/>
            <w:r>
              <w:rPr>
                <w:rFonts w:hint="eastAsia" w:ascii="宋体" w:hAnsi="宋体" w:eastAsia="宋体" w:cs="宋体"/>
                <w:b/>
                <w:szCs w:val="24"/>
                <w:highlight w:val="none"/>
                <w:lang w:eastAsia="zh-CN"/>
              </w:rPr>
              <w:t>。</w:t>
            </w:r>
          </w:p>
        </w:tc>
      </w:tr>
      <w:tr w14:paraId="6B490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7" w:type="pct"/>
            <w:noWrap w:val="0"/>
            <w:vAlign w:val="center"/>
          </w:tcPr>
          <w:p w14:paraId="2B96BC81">
            <w:pPr>
              <w:spacing w:line="360" w:lineRule="auto"/>
              <w:jc w:val="center"/>
              <w:rPr>
                <w:rFonts w:hint="eastAsia" w:hAnsi="宋体" w:cs="宋体"/>
                <w:szCs w:val="24"/>
                <w:highlight w:val="none"/>
              </w:rPr>
            </w:pPr>
            <w:r>
              <w:rPr>
                <w:rFonts w:hint="eastAsia" w:hAnsi="宋体" w:cs="宋体"/>
                <w:szCs w:val="24"/>
                <w:highlight w:val="none"/>
              </w:rPr>
              <w:t>5</w:t>
            </w:r>
          </w:p>
        </w:tc>
        <w:tc>
          <w:tcPr>
            <w:tcW w:w="4542" w:type="pct"/>
            <w:noWrap w:val="0"/>
            <w:vAlign w:val="center"/>
          </w:tcPr>
          <w:p w14:paraId="311BCBD1">
            <w:pPr>
              <w:spacing w:line="360" w:lineRule="auto"/>
              <w:rPr>
                <w:rFonts w:hAnsi="宋体" w:cs="宋体"/>
                <w:b/>
                <w:szCs w:val="24"/>
                <w:highlight w:val="none"/>
              </w:rPr>
            </w:pPr>
            <w:r>
              <w:rPr>
                <w:rFonts w:hint="eastAsia" w:hAnsi="宋体" w:cs="宋体"/>
                <w:b/>
                <w:szCs w:val="24"/>
                <w:highlight w:val="none"/>
              </w:rPr>
              <w:t>付款：</w:t>
            </w:r>
          </w:p>
          <w:p w14:paraId="04D6814F">
            <w:pPr>
              <w:spacing w:line="360" w:lineRule="auto"/>
              <w:rPr>
                <w:rFonts w:hAnsi="宋体" w:cs="宋体"/>
                <w:bCs/>
                <w:szCs w:val="24"/>
                <w:highlight w:val="none"/>
              </w:rPr>
            </w:pPr>
            <w:r>
              <w:rPr>
                <w:rFonts w:hint="eastAsia" w:hAnsi="宋体" w:cs="宋体"/>
                <w:bCs/>
                <w:szCs w:val="24"/>
                <w:highlight w:val="none"/>
              </w:rPr>
              <w:t>1.合同总价即中标价，不受市场价变化或实际工作量变化的影响。</w:t>
            </w:r>
          </w:p>
          <w:p w14:paraId="408E14CD">
            <w:pPr>
              <w:spacing w:line="360" w:lineRule="auto"/>
              <w:rPr>
                <w:rFonts w:hAnsi="宋体" w:cs="宋体"/>
                <w:bCs/>
                <w:szCs w:val="24"/>
                <w:highlight w:val="none"/>
              </w:rPr>
            </w:pPr>
            <w:r>
              <w:rPr>
                <w:rFonts w:hint="eastAsia" w:hAnsi="宋体" w:cs="宋体"/>
                <w:bCs/>
                <w:szCs w:val="24"/>
                <w:highlight w:val="none"/>
              </w:rPr>
              <w:t>2.付款方式和程序：</w:t>
            </w:r>
          </w:p>
          <w:p w14:paraId="2E115894">
            <w:pPr>
              <w:spacing w:line="360" w:lineRule="auto"/>
              <w:ind w:firstLine="480" w:firstLineChars="200"/>
              <w:rPr>
                <w:rFonts w:hAnsi="宋体" w:cs="宋体"/>
                <w:bCs/>
                <w:szCs w:val="24"/>
                <w:highlight w:val="none"/>
              </w:rPr>
            </w:pPr>
            <w:r>
              <w:rPr>
                <w:rFonts w:hint="eastAsia" w:hAnsi="宋体" w:cs="宋体"/>
                <w:bCs/>
                <w:szCs w:val="24"/>
                <w:highlight w:val="none"/>
              </w:rPr>
              <w:t>2.1由采购人负责结算，在付款前，投标人必须开具</w:t>
            </w:r>
            <w:r>
              <w:rPr>
                <w:rFonts w:hint="eastAsia" w:hAnsi="宋体" w:cs="宋体"/>
                <w:bCs/>
                <w:szCs w:val="24"/>
                <w:highlight w:val="none"/>
                <w:lang w:val="en-US" w:eastAsia="zh-CN"/>
              </w:rPr>
              <w:t>审价后价款的</w:t>
            </w:r>
            <w:r>
              <w:rPr>
                <w:rFonts w:hint="eastAsia" w:hAnsi="宋体" w:cs="宋体"/>
                <w:bCs/>
                <w:szCs w:val="24"/>
                <w:highlight w:val="none"/>
              </w:rPr>
              <w:t>全额发票给采购人 。</w:t>
            </w:r>
          </w:p>
          <w:p w14:paraId="75393A22">
            <w:pPr>
              <w:spacing w:line="360" w:lineRule="auto"/>
              <w:ind w:firstLine="482" w:firstLineChars="200"/>
              <w:rPr>
                <w:rFonts w:hAnsi="宋体" w:cs="宋体"/>
                <w:bCs/>
                <w:szCs w:val="24"/>
                <w:highlight w:val="none"/>
              </w:rPr>
            </w:pPr>
            <w:r>
              <w:rPr>
                <w:rFonts w:hint="eastAsia" w:hAnsi="宋体" w:cs="宋体"/>
                <w:b/>
                <w:szCs w:val="24"/>
                <w:highlight w:val="none"/>
              </w:rPr>
              <w:t>2.2付款方式：</w:t>
            </w:r>
          </w:p>
          <w:p w14:paraId="4C992D85">
            <w:pPr>
              <w:spacing w:line="360" w:lineRule="auto"/>
              <w:ind w:firstLine="480" w:firstLineChars="200"/>
              <w:rPr>
                <w:rFonts w:hint="eastAsia" w:ascii="宋体" w:hAnsi="宋体" w:eastAsia="宋体" w:cs="宋体"/>
                <w:bCs/>
                <w:szCs w:val="24"/>
                <w:highlight w:val="none"/>
                <w:lang w:val="en-US" w:eastAsia="zh-CN"/>
              </w:rPr>
            </w:pPr>
            <w:r>
              <w:rPr>
                <w:rFonts w:hint="eastAsia" w:ascii="宋体" w:hAnsi="宋体" w:eastAsia="宋体" w:cs="宋体"/>
                <w:bCs/>
                <w:szCs w:val="24"/>
                <w:highlight w:val="none"/>
                <w:lang w:val="en-US" w:eastAsia="zh-CN"/>
              </w:rPr>
              <w:t>项目验收合格后次月支付合同金额的40%；项目验收合格后第10个月支付合同金额的55%；项目质保期到期后支付合同金额的5%。</w:t>
            </w:r>
          </w:p>
          <w:p w14:paraId="7641858E">
            <w:pPr>
              <w:spacing w:line="360" w:lineRule="auto"/>
              <w:ind w:firstLine="482" w:firstLineChars="200"/>
              <w:rPr>
                <w:rFonts w:hAnsi="宋体" w:cs="宋体"/>
                <w:b/>
                <w:szCs w:val="24"/>
                <w:highlight w:val="none"/>
              </w:rPr>
            </w:pPr>
            <w:r>
              <w:rPr>
                <w:rFonts w:hint="eastAsia" w:hAnsi="宋体" w:cs="宋体"/>
                <w:b/>
                <w:szCs w:val="24"/>
                <w:highlight w:val="none"/>
              </w:rPr>
              <w:t>2.3支付方式：银行转账</w:t>
            </w:r>
          </w:p>
        </w:tc>
      </w:tr>
      <w:tr w14:paraId="07081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57" w:type="pct"/>
            <w:noWrap w:val="0"/>
            <w:vAlign w:val="center"/>
          </w:tcPr>
          <w:p w14:paraId="75175954">
            <w:pPr>
              <w:spacing w:line="360" w:lineRule="auto"/>
              <w:jc w:val="center"/>
              <w:rPr>
                <w:rFonts w:hint="eastAsia" w:hAnsi="宋体" w:cs="宋体"/>
                <w:szCs w:val="24"/>
                <w:highlight w:val="none"/>
              </w:rPr>
            </w:pPr>
            <w:r>
              <w:rPr>
                <w:rFonts w:hint="eastAsia" w:hAnsi="宋体" w:cs="宋体"/>
                <w:szCs w:val="24"/>
                <w:highlight w:val="none"/>
              </w:rPr>
              <w:t>6</w:t>
            </w:r>
          </w:p>
        </w:tc>
        <w:tc>
          <w:tcPr>
            <w:tcW w:w="4542" w:type="pct"/>
            <w:noWrap w:val="0"/>
            <w:vAlign w:val="center"/>
          </w:tcPr>
          <w:p w14:paraId="15888DAF">
            <w:pPr>
              <w:ind w:firstLine="480"/>
              <w:rPr>
                <w:rFonts w:hint="eastAsia" w:hAnsi="宋体" w:cs="宋体"/>
                <w:b/>
                <w:bCs/>
                <w:szCs w:val="24"/>
                <w:highlight w:val="none"/>
              </w:rPr>
            </w:pPr>
            <w:r>
              <w:rPr>
                <w:rFonts w:hint="eastAsia" w:hAnsi="宋体" w:cs="宋体"/>
                <w:b/>
                <w:bCs/>
                <w:szCs w:val="24"/>
                <w:highlight w:val="none"/>
              </w:rPr>
              <w:t>技术要求：</w:t>
            </w:r>
          </w:p>
          <w:p w14:paraId="511952E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一）技术资料：</w:t>
            </w:r>
          </w:p>
          <w:p w14:paraId="15B4E4E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技术资料：</w:t>
            </w:r>
          </w:p>
          <w:p w14:paraId="6C7AB5C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成交供应商应随同服务提供相应的中文技术文件。</w:t>
            </w:r>
          </w:p>
          <w:p w14:paraId="01E35033">
            <w:pPr>
              <w:tabs>
                <w:tab w:val="left" w:pos="480"/>
              </w:tabs>
              <w:spacing w:line="360" w:lineRule="auto"/>
              <w:ind w:firstLine="480" w:firstLineChars="200"/>
              <w:rPr>
                <w:rFonts w:hAnsi="宋体" w:cs="宋体"/>
                <w:szCs w:val="24"/>
                <w:highlight w:val="none"/>
              </w:rPr>
            </w:pPr>
            <w:r>
              <w:rPr>
                <w:rFonts w:hint="eastAsia" w:hAnsi="宋体" w:cs="宋体"/>
                <w:szCs w:val="21"/>
                <w:highlight w:val="none"/>
              </w:rPr>
              <w:t>（二）服务承诺：以</w:t>
            </w:r>
            <w:r>
              <w:rPr>
                <w:rFonts w:hint="eastAsia" w:hAnsi="宋体" w:cs="宋体"/>
                <w:szCs w:val="21"/>
                <w:highlight w:val="none"/>
                <w:lang w:eastAsia="zh-CN"/>
              </w:rPr>
              <w:t>投标文件</w:t>
            </w:r>
            <w:r>
              <w:rPr>
                <w:rFonts w:hint="eastAsia" w:hAnsi="宋体" w:cs="宋体"/>
                <w:szCs w:val="21"/>
                <w:highlight w:val="none"/>
              </w:rPr>
              <w:t>、澄清表（函）、合同和随货物的相关文件为准。</w:t>
            </w:r>
          </w:p>
        </w:tc>
      </w:tr>
      <w:tr w14:paraId="04125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6" w:hRule="atLeast"/>
        </w:trPr>
        <w:tc>
          <w:tcPr>
            <w:tcW w:w="457" w:type="pct"/>
            <w:noWrap w:val="0"/>
            <w:vAlign w:val="center"/>
          </w:tcPr>
          <w:p w14:paraId="255719DB">
            <w:pPr>
              <w:pStyle w:val="13"/>
              <w:spacing w:line="360" w:lineRule="auto"/>
              <w:jc w:val="center"/>
              <w:rPr>
                <w:rFonts w:hint="eastAsia" w:hAnsi="宋体" w:cs="宋体"/>
                <w:b/>
                <w:bCs/>
                <w:kern w:val="0"/>
                <w:sz w:val="24"/>
                <w:szCs w:val="24"/>
                <w:highlight w:val="none"/>
              </w:rPr>
            </w:pPr>
            <w:r>
              <w:rPr>
                <w:rFonts w:hint="eastAsia" w:hAnsi="宋体" w:cs="宋体"/>
                <w:kern w:val="0"/>
                <w:sz w:val="24"/>
                <w:szCs w:val="24"/>
                <w:highlight w:val="none"/>
              </w:rPr>
              <w:t>7</w:t>
            </w:r>
          </w:p>
        </w:tc>
        <w:tc>
          <w:tcPr>
            <w:tcW w:w="4542" w:type="pct"/>
            <w:noWrap w:val="0"/>
            <w:vAlign w:val="center"/>
          </w:tcPr>
          <w:p w14:paraId="0038E773">
            <w:pPr>
              <w:spacing w:line="360" w:lineRule="auto"/>
              <w:rPr>
                <w:rFonts w:hAnsi="宋体" w:cs="宋体"/>
                <w:b/>
                <w:szCs w:val="24"/>
                <w:highlight w:val="none"/>
              </w:rPr>
            </w:pPr>
            <w:r>
              <w:rPr>
                <w:rFonts w:hint="eastAsia" w:hAnsi="宋体" w:cs="宋体"/>
                <w:b/>
                <w:szCs w:val="24"/>
                <w:highlight w:val="none"/>
              </w:rPr>
              <w:t>验收：</w:t>
            </w:r>
          </w:p>
          <w:p w14:paraId="16135A46">
            <w:pPr>
              <w:tabs>
                <w:tab w:val="left" w:pos="480"/>
              </w:tabs>
              <w:spacing w:line="360" w:lineRule="auto"/>
              <w:ind w:firstLine="480" w:firstLineChars="200"/>
              <w:outlineLvl w:val="1"/>
              <w:rPr>
                <w:rFonts w:hint="eastAsia"/>
                <w:highlight w:val="none"/>
              </w:rPr>
            </w:pPr>
            <w:r>
              <w:rPr>
                <w:rFonts w:hint="eastAsia"/>
                <w:highlight w:val="none"/>
                <w:lang w:val="en-US" w:eastAsia="zh-CN"/>
              </w:rPr>
              <w:t>7.1</w:t>
            </w:r>
            <w:r>
              <w:rPr>
                <w:rFonts w:hint="eastAsia"/>
                <w:highlight w:val="none"/>
              </w:rPr>
              <w:t>验收的主要依据包括本招标需求书、投标文件、合同文件，以及用户需求说明书、设计方案，将系统安装并调试至正常运行的最佳状态。</w:t>
            </w:r>
          </w:p>
          <w:p w14:paraId="0070082E">
            <w:pPr>
              <w:tabs>
                <w:tab w:val="left" w:pos="480"/>
              </w:tabs>
              <w:spacing w:line="360" w:lineRule="auto"/>
              <w:ind w:firstLine="480" w:firstLineChars="200"/>
              <w:outlineLvl w:val="1"/>
              <w:rPr>
                <w:rFonts w:hint="eastAsia"/>
                <w:highlight w:val="none"/>
              </w:rPr>
            </w:pPr>
            <w:r>
              <w:rPr>
                <w:rFonts w:hint="eastAsia"/>
                <w:highlight w:val="none"/>
                <w:lang w:val="en-US" w:eastAsia="zh-CN"/>
              </w:rPr>
              <w:t>7.2</w:t>
            </w:r>
            <w:r>
              <w:rPr>
                <w:rFonts w:hint="eastAsia"/>
                <w:highlight w:val="none"/>
              </w:rPr>
              <w:t>系统运行正常后，中标人需按合同所列产品标准，</w:t>
            </w:r>
            <w:r>
              <w:rPr>
                <w:rFonts w:hint="eastAsia"/>
                <w:highlight w:val="none"/>
                <w:lang w:val="en-US" w:eastAsia="zh-CN"/>
              </w:rPr>
              <w:t>根据信息化建设项目第三方监理公司的项目监理标准</w:t>
            </w:r>
            <w:r>
              <w:rPr>
                <w:rFonts w:hint="eastAsia"/>
                <w:highlight w:val="none"/>
              </w:rPr>
              <w:t>向采购人提供完成验收报告及相关资料，包括但不限于本合同涉及的全部有关产品说明书、安装手册、资料及安装、测试、试运行合格报告等文档，汇集成册交予采购人。</w:t>
            </w:r>
          </w:p>
          <w:p w14:paraId="794E1E8B">
            <w:pPr>
              <w:tabs>
                <w:tab w:val="left" w:pos="480"/>
              </w:tabs>
              <w:spacing w:line="360" w:lineRule="auto"/>
              <w:ind w:firstLine="480" w:firstLineChars="200"/>
              <w:outlineLvl w:val="1"/>
              <w:rPr>
                <w:rFonts w:hint="eastAsia"/>
                <w:highlight w:val="none"/>
              </w:rPr>
            </w:pPr>
            <w:r>
              <w:rPr>
                <w:rFonts w:hint="eastAsia"/>
                <w:highlight w:val="none"/>
                <w:lang w:val="en-US" w:eastAsia="zh-CN"/>
              </w:rPr>
              <w:t>7.3</w:t>
            </w:r>
            <w:r>
              <w:rPr>
                <w:rFonts w:hint="eastAsia"/>
                <w:highlight w:val="none"/>
              </w:rPr>
              <w:t>项目验收依次序对照执行标准：</w:t>
            </w:r>
          </w:p>
          <w:p w14:paraId="2B269E98">
            <w:pPr>
              <w:tabs>
                <w:tab w:val="left" w:pos="480"/>
              </w:tabs>
              <w:spacing w:line="360" w:lineRule="auto"/>
              <w:ind w:firstLine="480" w:firstLineChars="200"/>
              <w:outlineLvl w:val="1"/>
              <w:rPr>
                <w:rFonts w:hint="eastAsia"/>
                <w:highlight w:val="none"/>
              </w:rPr>
            </w:pPr>
            <w:r>
              <w:rPr>
                <w:rFonts w:hint="eastAsia"/>
                <w:highlight w:val="none"/>
                <w:lang w:val="en-US" w:eastAsia="zh-CN"/>
              </w:rPr>
              <w:t>7.3.1</w:t>
            </w:r>
            <w:r>
              <w:rPr>
                <w:rFonts w:hint="eastAsia"/>
                <w:highlight w:val="none"/>
              </w:rPr>
              <w:t>符合中华人民共和国国家和履约地相关安全质量标准、行业技术规范标准、环保节能标准。</w:t>
            </w:r>
          </w:p>
          <w:p w14:paraId="58BB3083">
            <w:pPr>
              <w:tabs>
                <w:tab w:val="left" w:pos="480"/>
              </w:tabs>
              <w:spacing w:line="360" w:lineRule="auto"/>
              <w:ind w:firstLine="480" w:firstLineChars="200"/>
              <w:outlineLvl w:val="1"/>
              <w:rPr>
                <w:rFonts w:hint="eastAsia"/>
                <w:highlight w:val="none"/>
              </w:rPr>
            </w:pPr>
            <w:r>
              <w:rPr>
                <w:rFonts w:hint="eastAsia"/>
                <w:highlight w:val="none"/>
                <w:lang w:val="en-US" w:eastAsia="zh-CN"/>
              </w:rPr>
              <w:t>7.3.2</w:t>
            </w:r>
            <w:r>
              <w:rPr>
                <w:rFonts w:hint="eastAsia"/>
                <w:highlight w:val="none"/>
              </w:rPr>
              <w:t>符合招标文件和投标响应承诺中采购人认可的合理最佳配置、参数规格及各项要求。</w:t>
            </w:r>
          </w:p>
          <w:p w14:paraId="29E89A04">
            <w:pPr>
              <w:tabs>
                <w:tab w:val="left" w:pos="480"/>
              </w:tabs>
              <w:spacing w:line="360" w:lineRule="auto"/>
              <w:ind w:firstLine="480" w:firstLineChars="200"/>
              <w:outlineLvl w:val="1"/>
              <w:rPr>
                <w:rFonts w:hint="eastAsia"/>
                <w:highlight w:val="none"/>
              </w:rPr>
            </w:pPr>
            <w:r>
              <w:rPr>
                <w:rFonts w:hint="eastAsia"/>
                <w:highlight w:val="none"/>
                <w:lang w:val="en-US" w:eastAsia="zh-CN"/>
              </w:rPr>
              <w:t>7.4第三方监理公司和</w:t>
            </w:r>
            <w:r>
              <w:rPr>
                <w:rFonts w:hint="eastAsia"/>
                <w:highlight w:val="none"/>
              </w:rPr>
              <w:t>双方约定的其他验收标准。</w:t>
            </w:r>
          </w:p>
          <w:p w14:paraId="6EC79B07">
            <w:pPr>
              <w:tabs>
                <w:tab w:val="left" w:pos="480"/>
              </w:tabs>
              <w:spacing w:line="360" w:lineRule="auto"/>
              <w:ind w:firstLine="480" w:firstLineChars="200"/>
              <w:outlineLvl w:val="1"/>
              <w:rPr>
                <w:rFonts w:hint="eastAsia"/>
                <w:highlight w:val="none"/>
              </w:rPr>
            </w:pPr>
            <w:r>
              <w:rPr>
                <w:rFonts w:hint="eastAsia"/>
                <w:highlight w:val="none"/>
                <w:lang w:val="en-US" w:eastAsia="zh-CN"/>
              </w:rPr>
              <w:t>7.5</w:t>
            </w:r>
            <w:r>
              <w:rPr>
                <w:rFonts w:hint="eastAsia"/>
                <w:highlight w:val="none"/>
              </w:rPr>
              <w:t>交付验收要求：中标人在完成本合同约定项目的安装、调试等工作后应书面通知采购人进行验收，采购人在收到中标人通知后5个工作日内进行验收，验收标准根据合同约定及相关法律、法规规定、行业标准（按较高标准执行）。在验收过程中如发现问题中标人需立即进行修复，中标人修复完成并经采购人验收合格，双方在</w:t>
            </w:r>
            <w:r>
              <w:rPr>
                <w:rFonts w:hint="eastAsia"/>
                <w:highlight w:val="none"/>
                <w:lang w:val="en-US" w:eastAsia="zh-CN"/>
              </w:rPr>
              <w:t>验收单</w:t>
            </w:r>
            <w:r>
              <w:rPr>
                <w:rFonts w:hint="eastAsia"/>
                <w:highlight w:val="none"/>
              </w:rPr>
              <w:t>上签字之日为验收合格之日。</w:t>
            </w:r>
          </w:p>
          <w:p w14:paraId="6C35A36F">
            <w:pPr>
              <w:tabs>
                <w:tab w:val="left" w:pos="480"/>
              </w:tabs>
              <w:spacing w:line="360" w:lineRule="auto"/>
              <w:ind w:firstLine="480" w:firstLineChars="200"/>
              <w:outlineLvl w:val="1"/>
              <w:rPr>
                <w:rFonts w:hint="eastAsia"/>
                <w:highlight w:val="none"/>
              </w:rPr>
            </w:pPr>
            <w:r>
              <w:rPr>
                <w:rFonts w:hint="eastAsia"/>
                <w:highlight w:val="none"/>
                <w:lang w:val="en-US" w:eastAsia="zh-CN"/>
              </w:rPr>
              <w:t>7.6</w:t>
            </w:r>
            <w:r>
              <w:rPr>
                <w:rFonts w:hint="eastAsia"/>
                <w:highlight w:val="none"/>
              </w:rPr>
              <w:t xml:space="preserve">  验收标准：按</w:t>
            </w:r>
            <w:r>
              <w:rPr>
                <w:rFonts w:hint="eastAsia"/>
                <w:highlight w:val="none"/>
                <w:lang w:val="en-US" w:eastAsia="zh-CN"/>
              </w:rPr>
              <w:t>招标</w:t>
            </w:r>
            <w:r>
              <w:rPr>
                <w:rFonts w:hint="eastAsia"/>
                <w:highlight w:val="none"/>
              </w:rPr>
              <w:t>文件、</w:t>
            </w:r>
            <w:r>
              <w:rPr>
                <w:rFonts w:hint="eastAsia"/>
                <w:highlight w:val="none"/>
                <w:lang w:val="en-US" w:eastAsia="zh-CN"/>
              </w:rPr>
              <w:t>投标</w:t>
            </w:r>
            <w:r>
              <w:rPr>
                <w:rFonts w:hint="eastAsia"/>
                <w:highlight w:val="none"/>
              </w:rPr>
              <w:t>文件等服务指标进行逐项验收，各项指标均应符合验收标准及要求。</w:t>
            </w:r>
          </w:p>
          <w:p w14:paraId="50037517">
            <w:pPr>
              <w:tabs>
                <w:tab w:val="left" w:pos="480"/>
              </w:tabs>
              <w:spacing w:line="360" w:lineRule="auto"/>
              <w:ind w:firstLine="480" w:firstLineChars="200"/>
              <w:outlineLvl w:val="1"/>
              <w:rPr>
                <w:rFonts w:hint="eastAsia"/>
                <w:highlight w:val="none"/>
              </w:rPr>
            </w:pPr>
            <w:r>
              <w:rPr>
                <w:rFonts w:hint="eastAsia"/>
                <w:highlight w:val="none"/>
                <w:lang w:val="en-US" w:eastAsia="zh-CN"/>
              </w:rPr>
              <w:t>7.7</w:t>
            </w:r>
            <w:r>
              <w:rPr>
                <w:rFonts w:hint="eastAsia"/>
                <w:highlight w:val="none"/>
              </w:rPr>
              <w:t xml:space="preserve">  验收合格后，填写验收单，双方盖章、签字生效。</w:t>
            </w:r>
          </w:p>
          <w:p w14:paraId="6643B8E9">
            <w:pPr>
              <w:tabs>
                <w:tab w:val="left" w:pos="480"/>
              </w:tabs>
              <w:spacing w:line="360" w:lineRule="auto"/>
              <w:ind w:firstLine="480" w:firstLineChars="200"/>
              <w:outlineLvl w:val="1"/>
              <w:rPr>
                <w:rFonts w:hint="eastAsia"/>
                <w:highlight w:val="none"/>
              </w:rPr>
            </w:pPr>
            <w:r>
              <w:rPr>
                <w:rFonts w:hint="eastAsia"/>
                <w:highlight w:val="none"/>
                <w:lang w:val="en-US" w:eastAsia="zh-CN"/>
              </w:rPr>
              <w:t>7.8</w:t>
            </w:r>
            <w:r>
              <w:rPr>
                <w:rFonts w:hint="eastAsia"/>
                <w:highlight w:val="none"/>
              </w:rPr>
              <w:t xml:space="preserve">  验收依据</w:t>
            </w:r>
          </w:p>
          <w:p w14:paraId="2573A5AB">
            <w:pPr>
              <w:tabs>
                <w:tab w:val="left" w:pos="480"/>
              </w:tabs>
              <w:spacing w:line="360" w:lineRule="auto"/>
              <w:ind w:firstLine="480" w:firstLineChars="200"/>
              <w:outlineLvl w:val="1"/>
              <w:rPr>
                <w:rFonts w:hint="eastAsia"/>
                <w:highlight w:val="none"/>
              </w:rPr>
            </w:pPr>
            <w:r>
              <w:rPr>
                <w:rFonts w:hint="eastAsia"/>
                <w:highlight w:val="none"/>
                <w:lang w:val="en-US" w:eastAsia="zh-CN"/>
              </w:rPr>
              <w:t>7.8.1</w:t>
            </w:r>
            <w:r>
              <w:rPr>
                <w:rFonts w:hint="eastAsia"/>
                <w:highlight w:val="none"/>
              </w:rPr>
              <w:t xml:space="preserve">  合同文本。</w:t>
            </w:r>
          </w:p>
          <w:p w14:paraId="12655FB8">
            <w:pPr>
              <w:tabs>
                <w:tab w:val="left" w:pos="480"/>
              </w:tabs>
              <w:spacing w:line="360" w:lineRule="auto"/>
              <w:ind w:firstLine="480" w:firstLineChars="200"/>
              <w:outlineLvl w:val="1"/>
              <w:rPr>
                <w:rFonts w:hint="eastAsia"/>
                <w:highlight w:val="none"/>
              </w:rPr>
            </w:pPr>
            <w:r>
              <w:rPr>
                <w:rFonts w:hint="eastAsia"/>
                <w:highlight w:val="none"/>
                <w:lang w:val="en-US" w:eastAsia="zh-CN"/>
              </w:rPr>
              <w:t>7.8.2</w:t>
            </w:r>
            <w:r>
              <w:rPr>
                <w:rFonts w:hint="eastAsia"/>
                <w:highlight w:val="none"/>
              </w:rPr>
              <w:t xml:space="preserve">  </w:t>
            </w:r>
            <w:r>
              <w:rPr>
                <w:rFonts w:hint="eastAsia"/>
                <w:highlight w:val="none"/>
                <w:lang w:val="en-US" w:eastAsia="zh-CN"/>
              </w:rPr>
              <w:t>招标文件</w:t>
            </w:r>
            <w:r>
              <w:rPr>
                <w:rFonts w:hint="eastAsia"/>
                <w:highlight w:val="none"/>
              </w:rPr>
              <w:t>、</w:t>
            </w:r>
            <w:r>
              <w:rPr>
                <w:rFonts w:hint="eastAsia"/>
                <w:highlight w:val="none"/>
                <w:lang w:val="en-US" w:eastAsia="zh-CN"/>
              </w:rPr>
              <w:t>投标</w:t>
            </w:r>
            <w:r>
              <w:rPr>
                <w:rFonts w:hint="eastAsia"/>
                <w:highlight w:val="none"/>
              </w:rPr>
              <w:t>文件、澄清函。</w:t>
            </w:r>
          </w:p>
          <w:p w14:paraId="28435EF4">
            <w:pPr>
              <w:tabs>
                <w:tab w:val="left" w:pos="480"/>
              </w:tabs>
              <w:spacing w:line="360" w:lineRule="auto"/>
              <w:ind w:firstLine="480" w:firstLineChars="200"/>
              <w:outlineLvl w:val="1"/>
              <w:rPr>
                <w:rFonts w:hAnsi="宋体" w:cs="宋体"/>
                <w:szCs w:val="24"/>
                <w:highlight w:val="none"/>
              </w:rPr>
            </w:pPr>
            <w:r>
              <w:rPr>
                <w:rFonts w:hint="eastAsia"/>
                <w:highlight w:val="none"/>
                <w:lang w:val="en-US" w:eastAsia="zh-CN"/>
              </w:rPr>
              <w:t>7.8.3</w:t>
            </w:r>
            <w:r>
              <w:rPr>
                <w:rFonts w:hint="eastAsia"/>
                <w:highlight w:val="none"/>
              </w:rPr>
              <w:t xml:space="preserve"> 国家和行业制定的相应的标准和规范。</w:t>
            </w:r>
          </w:p>
        </w:tc>
      </w:tr>
      <w:tr w14:paraId="5E314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7" w:type="pct"/>
            <w:noWrap w:val="0"/>
            <w:vAlign w:val="center"/>
          </w:tcPr>
          <w:p w14:paraId="3E4853B9">
            <w:pPr>
              <w:pStyle w:val="13"/>
              <w:spacing w:line="360" w:lineRule="auto"/>
              <w:jc w:val="center"/>
              <w:rPr>
                <w:rFonts w:hint="eastAsia" w:hAnsi="宋体" w:cs="宋体"/>
                <w:b/>
                <w:bCs/>
                <w:kern w:val="0"/>
                <w:sz w:val="24"/>
                <w:szCs w:val="24"/>
                <w:highlight w:val="none"/>
              </w:rPr>
            </w:pPr>
            <w:r>
              <w:rPr>
                <w:rFonts w:hint="eastAsia" w:hAnsi="宋体" w:cs="宋体"/>
                <w:kern w:val="0"/>
                <w:sz w:val="24"/>
                <w:szCs w:val="24"/>
                <w:highlight w:val="none"/>
              </w:rPr>
              <w:t>8</w:t>
            </w:r>
          </w:p>
        </w:tc>
        <w:tc>
          <w:tcPr>
            <w:tcW w:w="4542" w:type="pct"/>
            <w:noWrap w:val="0"/>
            <w:vAlign w:val="center"/>
          </w:tcPr>
          <w:p w14:paraId="41958526">
            <w:pPr>
              <w:rPr>
                <w:rFonts w:hAnsi="宋体" w:cs="宋体"/>
                <w:b/>
                <w:szCs w:val="24"/>
                <w:highlight w:val="none"/>
              </w:rPr>
            </w:pPr>
            <w:r>
              <w:rPr>
                <w:rFonts w:hint="eastAsia" w:hAnsi="宋体" w:cs="宋体"/>
                <w:b/>
                <w:szCs w:val="24"/>
                <w:highlight w:val="none"/>
              </w:rPr>
              <w:t>违约责任：</w:t>
            </w:r>
          </w:p>
          <w:p w14:paraId="3545AF4E">
            <w:pPr>
              <w:spacing w:line="360" w:lineRule="auto"/>
              <w:ind w:firstLine="480" w:firstLineChars="200"/>
              <w:rPr>
                <w:rFonts w:hint="eastAsia" w:hAnsi="宋体" w:cs="宋体"/>
                <w:szCs w:val="24"/>
                <w:highlight w:val="none"/>
              </w:rPr>
            </w:pPr>
            <w:r>
              <w:rPr>
                <w:rFonts w:hint="eastAsia" w:hAnsi="宋体" w:cs="宋体"/>
                <w:szCs w:val="24"/>
                <w:highlight w:val="none"/>
              </w:rPr>
              <w:t>1、按《民法典》中的相关条款执行。</w:t>
            </w:r>
          </w:p>
          <w:p w14:paraId="0CFA4D37">
            <w:pPr>
              <w:spacing w:line="360" w:lineRule="auto"/>
              <w:ind w:firstLine="480" w:firstLineChars="200"/>
              <w:rPr>
                <w:rFonts w:hAnsi="宋体" w:cs="宋体"/>
                <w:bCs/>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投标人承担违约责任。同时，政府采购监管部门有权依据《政府采购法》及相关法律法规对投标人的违法行为进行相应的处罚。</w:t>
            </w:r>
          </w:p>
        </w:tc>
      </w:tr>
      <w:tr w14:paraId="095DC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457" w:type="pct"/>
            <w:noWrap w:val="0"/>
            <w:vAlign w:val="center"/>
          </w:tcPr>
          <w:p w14:paraId="0DD66089">
            <w:pPr>
              <w:pStyle w:val="13"/>
              <w:spacing w:line="360" w:lineRule="auto"/>
              <w:jc w:val="center"/>
              <w:rPr>
                <w:rFonts w:hAnsi="宋体" w:cs="宋体"/>
                <w:kern w:val="0"/>
                <w:sz w:val="24"/>
                <w:szCs w:val="24"/>
                <w:highlight w:val="none"/>
              </w:rPr>
            </w:pPr>
            <w:r>
              <w:rPr>
                <w:rFonts w:hint="eastAsia" w:hAnsi="宋体" w:cs="宋体"/>
                <w:kern w:val="0"/>
                <w:sz w:val="24"/>
                <w:szCs w:val="24"/>
                <w:highlight w:val="none"/>
              </w:rPr>
              <w:t>9</w:t>
            </w:r>
          </w:p>
        </w:tc>
        <w:tc>
          <w:tcPr>
            <w:tcW w:w="4542" w:type="pct"/>
            <w:noWrap w:val="0"/>
            <w:vAlign w:val="center"/>
          </w:tcPr>
          <w:p w14:paraId="4B6DAE7C">
            <w:pPr>
              <w:rPr>
                <w:rFonts w:hAnsi="宋体" w:cs="宋体"/>
                <w:b/>
                <w:szCs w:val="24"/>
                <w:highlight w:val="none"/>
              </w:rPr>
            </w:pPr>
            <w:r>
              <w:rPr>
                <w:rFonts w:hint="eastAsia" w:hAnsi="宋体" w:cs="宋体"/>
                <w:b/>
                <w:szCs w:val="24"/>
                <w:highlight w:val="none"/>
              </w:rPr>
              <w:t>政府采购合同：</w:t>
            </w:r>
          </w:p>
          <w:p w14:paraId="6D10F803">
            <w:pPr>
              <w:spacing w:line="360" w:lineRule="auto"/>
              <w:ind w:firstLine="480" w:firstLineChars="200"/>
              <w:rPr>
                <w:rFonts w:hint="eastAsia" w:hAnsi="宋体" w:cs="宋体"/>
                <w:szCs w:val="24"/>
                <w:highlight w:val="none"/>
              </w:rPr>
            </w:pPr>
            <w:r>
              <w:rPr>
                <w:rFonts w:hint="eastAsia" w:hAnsi="宋体" w:cs="宋体"/>
                <w:szCs w:val="24"/>
                <w:highlight w:val="none"/>
              </w:rPr>
              <w:t>政府采购合同适用</w:t>
            </w:r>
            <w:r>
              <w:rPr>
                <w:rFonts w:hint="eastAsia" w:hAnsi="宋体" w:cs="宋体"/>
                <w:szCs w:val="24"/>
                <w:highlight w:val="none"/>
                <w:lang w:eastAsia="zh-CN"/>
              </w:rPr>
              <w:t>《</w:t>
            </w:r>
            <w:r>
              <w:rPr>
                <w:rFonts w:hint="eastAsia" w:hAnsi="宋体" w:cs="宋体"/>
                <w:szCs w:val="24"/>
                <w:highlight w:val="none"/>
                <w:lang w:val="en-US" w:eastAsia="zh-CN"/>
              </w:rPr>
              <w:t>民法典</w:t>
            </w:r>
            <w:r>
              <w:rPr>
                <w:rFonts w:hint="eastAsia" w:hAnsi="宋体" w:cs="宋体"/>
                <w:szCs w:val="24"/>
                <w:highlight w:val="none"/>
                <w:lang w:eastAsia="zh-CN"/>
              </w:rPr>
              <w:t>》</w:t>
            </w:r>
            <w:r>
              <w:rPr>
                <w:rFonts w:hint="eastAsia" w:hAnsi="宋体" w:cs="宋体"/>
                <w:szCs w:val="24"/>
                <w:highlight w:val="none"/>
                <w:lang w:val="en-US" w:eastAsia="zh-CN"/>
              </w:rPr>
              <w:t>合同编</w:t>
            </w:r>
            <w:r>
              <w:rPr>
                <w:rFonts w:hint="eastAsia" w:hAnsi="宋体" w:cs="宋体"/>
                <w:szCs w:val="24"/>
                <w:highlight w:val="none"/>
              </w:rPr>
              <w:t>。采购人和投标人之间的权利和义务，应当按照平等、自愿的原则以合同方式约定。</w:t>
            </w:r>
          </w:p>
          <w:p w14:paraId="0DAD9D53">
            <w:pPr>
              <w:spacing w:line="360" w:lineRule="auto"/>
              <w:ind w:firstLine="480" w:firstLineChars="200"/>
              <w:rPr>
                <w:rFonts w:hint="eastAsia" w:hAnsi="宋体" w:cs="宋体"/>
                <w:szCs w:val="24"/>
                <w:highlight w:val="none"/>
              </w:rPr>
            </w:pPr>
            <w:r>
              <w:rPr>
                <w:rFonts w:hint="eastAsia" w:hAnsi="宋体" w:cs="宋体"/>
                <w:szCs w:val="24"/>
                <w:highlight w:val="none"/>
              </w:rPr>
              <w:t>采购人可以委托采购代理机构代表其与投标人签订政府采购合同。由采购代理机构以采购人名义签订合同的，应当提交采购人的授权委托书，作为合同附件。</w:t>
            </w:r>
          </w:p>
          <w:p w14:paraId="6EF54DC9">
            <w:pPr>
              <w:spacing w:line="360" w:lineRule="auto"/>
              <w:ind w:firstLine="480" w:firstLineChars="200"/>
              <w:rPr>
                <w:rFonts w:hint="eastAsia" w:hAnsi="宋体" w:cs="宋体"/>
                <w:szCs w:val="24"/>
                <w:highlight w:val="none"/>
              </w:rPr>
            </w:pPr>
            <w:r>
              <w:rPr>
                <w:rFonts w:hint="eastAsia" w:hAnsi="宋体" w:cs="宋体"/>
                <w:szCs w:val="24"/>
                <w:highlight w:val="none"/>
              </w:rPr>
              <w:t>政府采购合同应当采用书面形式。</w:t>
            </w:r>
          </w:p>
          <w:p w14:paraId="53424B42">
            <w:pPr>
              <w:spacing w:line="360" w:lineRule="auto"/>
              <w:ind w:firstLine="480" w:firstLineChars="200"/>
              <w:rPr>
                <w:rFonts w:hint="eastAsia" w:hAnsi="宋体" w:cs="宋体"/>
                <w:szCs w:val="24"/>
                <w:highlight w:val="none"/>
              </w:rPr>
            </w:pPr>
            <w:r>
              <w:rPr>
                <w:rFonts w:hint="eastAsia" w:hAnsi="宋体" w:cs="宋体"/>
                <w:szCs w:val="24"/>
                <w:highlight w:val="none"/>
              </w:rPr>
              <w:t>国务院政府采购监督管理部门应当会同国务院有关部门，规定政府采购合同必须具备的条款。</w:t>
            </w:r>
          </w:p>
          <w:p w14:paraId="6FC245F7">
            <w:pPr>
              <w:spacing w:line="360" w:lineRule="auto"/>
              <w:ind w:firstLine="480" w:firstLineChars="200"/>
              <w:rPr>
                <w:rFonts w:hint="eastAsia" w:hAnsi="宋体" w:cs="宋体"/>
                <w:szCs w:val="24"/>
                <w:highlight w:val="none"/>
              </w:rPr>
            </w:pPr>
            <w:r>
              <w:rPr>
                <w:rFonts w:hint="eastAsia" w:hAnsi="宋体" w:cs="宋体"/>
                <w:szCs w:val="24"/>
                <w:highlight w:val="none"/>
              </w:rPr>
              <w:t>采购人与中标、成交投标人应当在中标、成交通知书发出之日起三十日内，按照采购文件确定的事项签订政府采购合同。</w:t>
            </w:r>
          </w:p>
          <w:p w14:paraId="5AD8A337">
            <w:pPr>
              <w:spacing w:line="360" w:lineRule="auto"/>
              <w:ind w:firstLine="480" w:firstLineChars="200"/>
              <w:rPr>
                <w:rFonts w:hint="eastAsia" w:hAnsi="宋体" w:cs="宋体"/>
                <w:szCs w:val="24"/>
                <w:highlight w:val="none"/>
              </w:rPr>
            </w:pPr>
            <w:r>
              <w:rPr>
                <w:rFonts w:hint="eastAsia" w:hAnsi="宋体" w:cs="宋体"/>
                <w:szCs w:val="24"/>
                <w:highlight w:val="none"/>
              </w:rPr>
              <w:t>中标、成交通知书对采购人和中标、成交投标人均具有法律效力。中标、成交通知书发出后，采购人改变中标、成交结果的，或者中标、成交投标人放弃中标、成交项目的，应当依法承担法律责任。</w:t>
            </w:r>
          </w:p>
          <w:p w14:paraId="6F585E76">
            <w:pPr>
              <w:spacing w:line="360" w:lineRule="auto"/>
              <w:ind w:firstLine="480" w:firstLineChars="200"/>
              <w:rPr>
                <w:rFonts w:hint="eastAsia" w:hAnsi="宋体" w:cs="宋体"/>
                <w:szCs w:val="24"/>
                <w:highlight w:val="none"/>
              </w:rPr>
            </w:pPr>
            <w:r>
              <w:rPr>
                <w:rFonts w:hint="eastAsia" w:hAnsi="宋体" w:cs="宋体"/>
                <w:szCs w:val="24"/>
                <w:highlight w:val="none"/>
              </w:rPr>
              <w:t>政府采购项目的采购合同自签订之日起七个工作日内，采购人应当将合同副本报同级政府采购监督管理部门和有关部门备案。</w:t>
            </w:r>
          </w:p>
          <w:p w14:paraId="15D551C5">
            <w:pPr>
              <w:spacing w:line="360" w:lineRule="auto"/>
              <w:ind w:firstLine="480" w:firstLineChars="200"/>
              <w:rPr>
                <w:rFonts w:hint="eastAsia" w:hAnsi="宋体" w:cs="宋体"/>
                <w:szCs w:val="24"/>
                <w:highlight w:val="none"/>
              </w:rPr>
            </w:pPr>
            <w:r>
              <w:rPr>
                <w:rFonts w:hint="eastAsia" w:hAnsi="宋体" w:cs="宋体"/>
                <w:szCs w:val="24"/>
                <w:highlight w:val="none"/>
              </w:rPr>
              <w:t>经采购人同意，中标、成交投标人可以依法采取分包方式履行合同。政府采购合同分包履行的，中标、成交投标人就采购项目和分包项目向采购人负责，分包投标人就分包项目承担责任。</w:t>
            </w:r>
          </w:p>
          <w:p w14:paraId="34385E9D">
            <w:pPr>
              <w:spacing w:line="360" w:lineRule="auto"/>
              <w:ind w:firstLine="480" w:firstLineChars="200"/>
              <w:rPr>
                <w:rFonts w:hint="eastAsia" w:hAnsi="宋体" w:cs="宋体"/>
                <w:szCs w:val="24"/>
                <w:highlight w:val="none"/>
              </w:rPr>
            </w:pPr>
            <w:r>
              <w:rPr>
                <w:rFonts w:hint="eastAsia" w:hAnsi="宋体" w:cs="宋体"/>
                <w:szCs w:val="24"/>
                <w:highlight w:val="none"/>
              </w:rPr>
              <w:t>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0A346322">
            <w:pPr>
              <w:spacing w:line="360" w:lineRule="auto"/>
              <w:ind w:firstLine="480" w:firstLineChars="200"/>
              <w:rPr>
                <w:rFonts w:hint="eastAsia" w:hAnsi="宋体" w:cs="宋体"/>
                <w:szCs w:val="24"/>
                <w:highlight w:val="none"/>
              </w:rPr>
            </w:pPr>
            <w:r>
              <w:rPr>
                <w:rFonts w:hint="eastAsia" w:hAnsi="宋体" w:cs="宋体"/>
                <w:szCs w:val="24"/>
                <w:highlight w:val="none"/>
              </w:rPr>
              <w:t>政府采购合同的双方当事人不得擅自变更、中止或者终止合同。</w:t>
            </w:r>
          </w:p>
          <w:p w14:paraId="6E2A2F08">
            <w:pPr>
              <w:spacing w:line="360" w:lineRule="auto"/>
              <w:ind w:firstLine="480" w:firstLineChars="200"/>
              <w:rPr>
                <w:rFonts w:hAnsi="宋体" w:cs="宋体"/>
                <w:szCs w:val="24"/>
                <w:highlight w:val="none"/>
              </w:rPr>
            </w:pPr>
            <w:r>
              <w:rPr>
                <w:rFonts w:hint="eastAsia" w:hAnsi="宋体" w:cs="宋体"/>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5198F53">
      <w:pPr>
        <w:rPr>
          <w:rFonts w:hAnsi="宋体" w:cs="宋体"/>
          <w:b/>
          <w:sz w:val="36"/>
          <w:szCs w:val="36"/>
          <w:highlight w:val="none"/>
        </w:rPr>
      </w:pPr>
    </w:p>
    <w:p w14:paraId="3D2C35F5">
      <w:pPr>
        <w:rPr>
          <w:rFonts w:hint="eastAsia" w:ascii="黑体" w:eastAsia="黑体"/>
          <w:b/>
          <w:sz w:val="32"/>
          <w:szCs w:val="32"/>
          <w:highlight w:val="none"/>
        </w:rPr>
      </w:pPr>
      <w:bookmarkStart w:id="69" w:name="_Toc19246"/>
      <w:bookmarkStart w:id="70" w:name="_Toc31520"/>
      <w:bookmarkStart w:id="71" w:name="_Toc8954"/>
      <w:bookmarkStart w:id="72" w:name="_Toc8333"/>
      <w:bookmarkStart w:id="73" w:name="_Toc426457696"/>
      <w:bookmarkStart w:id="74" w:name="_Toc20230"/>
      <w:bookmarkStart w:id="75" w:name="_Toc29888"/>
      <w:bookmarkStart w:id="76" w:name="_Toc389582037"/>
      <w:bookmarkStart w:id="77" w:name="_Toc26595"/>
      <w:bookmarkStart w:id="78" w:name="_Toc19199"/>
      <w:bookmarkStart w:id="79" w:name="_Toc9053"/>
      <w:bookmarkStart w:id="80" w:name="_Toc31683"/>
      <w:r>
        <w:rPr>
          <w:rFonts w:hint="eastAsia" w:ascii="黑体" w:eastAsia="黑体"/>
          <w:b/>
          <w:sz w:val="32"/>
          <w:szCs w:val="32"/>
          <w:highlight w:val="none"/>
        </w:rPr>
        <w:br w:type="page"/>
      </w:r>
    </w:p>
    <w:p w14:paraId="6F311590">
      <w:pPr>
        <w:rPr>
          <w:rFonts w:ascii="黑体" w:eastAsia="黑体"/>
          <w:b/>
          <w:sz w:val="32"/>
          <w:szCs w:val="32"/>
          <w:highlight w:val="none"/>
        </w:rPr>
      </w:pPr>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仅供参考）</w:t>
      </w:r>
    </w:p>
    <w:p w14:paraId="2196C0E1">
      <w:pPr>
        <w:rPr>
          <w:rFonts w:ascii="黑体" w:eastAsia="黑体"/>
          <w:b/>
          <w:sz w:val="32"/>
          <w:szCs w:val="32"/>
          <w:highlight w:val="none"/>
        </w:rPr>
      </w:pPr>
      <w:r>
        <w:rPr>
          <w:rFonts w:hint="eastAsia" w:ascii="黑体" w:eastAsia="黑体"/>
          <w:b/>
          <w:sz w:val="32"/>
          <w:szCs w:val="32"/>
          <w:highlight w:val="none"/>
        </w:rPr>
        <w:t xml:space="preserve">          </w:t>
      </w:r>
    </w:p>
    <w:p w14:paraId="536B215D">
      <w:pPr>
        <w:jc w:val="center"/>
        <w:rPr>
          <w:rFonts w:ascii="黑体" w:eastAsia="黑体"/>
          <w:sz w:val="52"/>
          <w:szCs w:val="52"/>
          <w:highlight w:val="none"/>
        </w:rPr>
      </w:pPr>
    </w:p>
    <w:p w14:paraId="2A29560A">
      <w:pPr>
        <w:jc w:val="center"/>
        <w:rPr>
          <w:rFonts w:ascii="黑体" w:eastAsia="黑体"/>
          <w:sz w:val="52"/>
          <w:szCs w:val="52"/>
          <w:highlight w:val="none"/>
        </w:rPr>
      </w:pPr>
    </w:p>
    <w:p w14:paraId="2471CBCC">
      <w:pPr>
        <w:jc w:val="center"/>
        <w:rPr>
          <w:rFonts w:hAnsi="宋体"/>
          <w:b/>
          <w:snapToGrid w:val="0"/>
          <w:sz w:val="48"/>
          <w:szCs w:val="48"/>
          <w:highlight w:val="none"/>
          <w:u w:val="single"/>
        </w:rPr>
      </w:pPr>
      <w:r>
        <w:rPr>
          <w:rFonts w:hint="eastAsia" w:hAnsi="宋体"/>
          <w:b/>
          <w:snapToGrid w:val="0"/>
          <w:sz w:val="48"/>
          <w:szCs w:val="48"/>
          <w:highlight w:val="none"/>
          <w:u w:val="single"/>
        </w:rPr>
        <w:t>(项目名称)</w:t>
      </w:r>
    </w:p>
    <w:p w14:paraId="3D951005">
      <w:pPr>
        <w:jc w:val="center"/>
        <w:rPr>
          <w:rFonts w:ascii="黑体" w:eastAsia="黑体"/>
          <w:b/>
          <w:sz w:val="72"/>
          <w:szCs w:val="72"/>
          <w:highlight w:val="none"/>
        </w:rPr>
      </w:pPr>
      <w:r>
        <w:rPr>
          <w:rFonts w:hint="eastAsia" w:ascii="黑体" w:eastAsia="黑体"/>
          <w:b/>
          <w:sz w:val="72"/>
          <w:szCs w:val="72"/>
          <w:highlight w:val="none"/>
        </w:rPr>
        <w:t>供 货 合 同</w:t>
      </w:r>
    </w:p>
    <w:p w14:paraId="230D168E">
      <w:pPr>
        <w:jc w:val="center"/>
        <w:rPr>
          <w:rFonts w:ascii="黑体" w:eastAsia="黑体"/>
          <w:sz w:val="30"/>
          <w:szCs w:val="30"/>
          <w:highlight w:val="none"/>
        </w:rPr>
      </w:pPr>
      <w:r>
        <w:rPr>
          <w:rFonts w:hint="eastAsia" w:ascii="黑体" w:eastAsia="黑体"/>
          <w:sz w:val="30"/>
          <w:szCs w:val="30"/>
          <w:highlight w:val="none"/>
        </w:rPr>
        <w:t xml:space="preserve">（项目编号：      </w:t>
      </w:r>
      <w:r>
        <w:rPr>
          <w:rFonts w:hint="eastAsia" w:ascii="仿宋" w:hAnsi="仿宋" w:eastAsia="仿宋"/>
          <w:sz w:val="28"/>
          <w:szCs w:val="28"/>
          <w:highlight w:val="none"/>
        </w:rPr>
        <w:t>）</w:t>
      </w:r>
    </w:p>
    <w:p w14:paraId="3D2A508A">
      <w:pPr>
        <w:jc w:val="center"/>
        <w:rPr>
          <w:rFonts w:ascii="黑体" w:eastAsia="黑体"/>
          <w:sz w:val="30"/>
          <w:szCs w:val="30"/>
          <w:highlight w:val="none"/>
        </w:rPr>
      </w:pPr>
    </w:p>
    <w:p w14:paraId="03C913FD">
      <w:pPr>
        <w:jc w:val="center"/>
        <w:rPr>
          <w:rFonts w:ascii="黑体" w:eastAsia="黑体"/>
          <w:sz w:val="30"/>
          <w:szCs w:val="30"/>
          <w:highlight w:val="none"/>
        </w:rPr>
      </w:pPr>
    </w:p>
    <w:p w14:paraId="4D6F77FD">
      <w:pPr>
        <w:jc w:val="center"/>
        <w:rPr>
          <w:rFonts w:ascii="黑体" w:eastAsia="黑体"/>
          <w:sz w:val="30"/>
          <w:szCs w:val="30"/>
          <w:highlight w:val="none"/>
        </w:rPr>
      </w:pPr>
    </w:p>
    <w:p w14:paraId="537F4E08">
      <w:pPr>
        <w:jc w:val="center"/>
        <w:rPr>
          <w:rFonts w:ascii="黑体" w:eastAsia="黑体"/>
          <w:sz w:val="30"/>
          <w:szCs w:val="30"/>
          <w:highlight w:val="none"/>
        </w:rPr>
      </w:pPr>
    </w:p>
    <w:p w14:paraId="4C267FC3">
      <w:pPr>
        <w:jc w:val="center"/>
        <w:rPr>
          <w:rFonts w:ascii="黑体" w:eastAsia="黑体"/>
          <w:sz w:val="30"/>
          <w:szCs w:val="30"/>
          <w:highlight w:val="none"/>
        </w:rPr>
      </w:pPr>
    </w:p>
    <w:p w14:paraId="0218E5BD">
      <w:pPr>
        <w:ind w:firstLine="2080" w:firstLineChars="650"/>
        <w:rPr>
          <w:rFonts w:ascii="黑体" w:eastAsia="黑体"/>
          <w:sz w:val="32"/>
          <w:szCs w:val="32"/>
          <w:highlight w:val="none"/>
        </w:rPr>
      </w:pPr>
    </w:p>
    <w:p w14:paraId="29D1FDD2">
      <w:pPr>
        <w:ind w:firstLine="2080" w:firstLineChars="650"/>
        <w:rPr>
          <w:rFonts w:ascii="黑体" w:eastAsia="黑体"/>
          <w:sz w:val="32"/>
          <w:szCs w:val="32"/>
          <w:highlight w:val="none"/>
        </w:rPr>
      </w:pPr>
    </w:p>
    <w:p w14:paraId="653DD6E3">
      <w:pPr>
        <w:ind w:firstLine="2080" w:firstLineChars="650"/>
        <w:rPr>
          <w:rFonts w:ascii="黑体" w:eastAsia="黑体"/>
          <w:sz w:val="32"/>
          <w:szCs w:val="32"/>
          <w:highlight w:val="none"/>
        </w:rPr>
      </w:pPr>
      <w:r>
        <w:rPr>
          <w:rFonts w:hint="eastAsia" w:ascii="黑体" w:eastAsia="黑体"/>
          <w:sz w:val="32"/>
          <w:szCs w:val="32"/>
          <w:highlight w:val="none"/>
        </w:rPr>
        <w:t xml:space="preserve">甲  方： </w:t>
      </w:r>
    </w:p>
    <w:p w14:paraId="264DB55D">
      <w:pPr>
        <w:tabs>
          <w:tab w:val="left" w:pos="480"/>
        </w:tabs>
        <w:ind w:firstLine="640" w:firstLineChars="200"/>
        <w:rPr>
          <w:rFonts w:ascii="黑体" w:hAnsi="黑体" w:eastAsia="黑体"/>
          <w:sz w:val="32"/>
          <w:szCs w:val="32"/>
          <w:highlight w:val="none"/>
        </w:rPr>
      </w:pPr>
      <w:r>
        <w:rPr>
          <w:rFonts w:hint="eastAsia" w:ascii="黑体" w:eastAsia="黑体"/>
          <w:sz w:val="32"/>
          <w:szCs w:val="32"/>
          <w:highlight w:val="none"/>
        </w:rPr>
        <w:t xml:space="preserve">         </w:t>
      </w:r>
      <w:r>
        <w:rPr>
          <w:rFonts w:hint="eastAsia" w:ascii="黑体" w:hAnsi="黑体" w:eastAsia="黑体"/>
          <w:sz w:val="32"/>
          <w:szCs w:val="32"/>
          <w:highlight w:val="none"/>
        </w:rPr>
        <w:t>乙  方：</w:t>
      </w:r>
    </w:p>
    <w:p w14:paraId="6C028BE3">
      <w:pPr>
        <w:jc w:val="center"/>
        <w:rPr>
          <w:rFonts w:ascii="黑体" w:eastAsia="黑体"/>
          <w:sz w:val="30"/>
          <w:szCs w:val="30"/>
          <w:highlight w:val="none"/>
        </w:rPr>
      </w:pPr>
    </w:p>
    <w:p w14:paraId="1BAE7643">
      <w:pPr>
        <w:jc w:val="center"/>
        <w:rPr>
          <w:rFonts w:ascii="黑体" w:eastAsia="黑体"/>
          <w:sz w:val="32"/>
          <w:szCs w:val="32"/>
          <w:highlight w:val="none"/>
        </w:rPr>
      </w:pPr>
      <w:r>
        <w:rPr>
          <w:rFonts w:hint="eastAsia" w:ascii="黑体" w:eastAsia="黑体"/>
          <w:sz w:val="32"/>
          <w:szCs w:val="32"/>
          <w:highlight w:val="none"/>
        </w:rPr>
        <w:t xml:space="preserve">  年  月</w:t>
      </w:r>
    </w:p>
    <w:p w14:paraId="5C24ACC4">
      <w:pPr>
        <w:adjustRightInd w:val="0"/>
        <w:snapToGrid w:val="0"/>
        <w:spacing w:before="333" w:beforeLines="100" w:after="333" w:afterLines="100" w:line="580" w:lineRule="exact"/>
        <w:jc w:val="center"/>
        <w:rPr>
          <w:rFonts w:hAnsi="宋体"/>
          <w:b/>
          <w:sz w:val="36"/>
          <w:szCs w:val="24"/>
          <w:highlight w:val="none"/>
        </w:rPr>
      </w:pPr>
      <w:r>
        <w:rPr>
          <w:rFonts w:hint="eastAsia" w:ascii="黑体" w:eastAsia="黑体"/>
          <w:b/>
          <w:sz w:val="36"/>
          <w:szCs w:val="36"/>
          <w:highlight w:val="none"/>
        </w:rPr>
        <w:br w:type="page"/>
      </w:r>
      <w:r>
        <w:rPr>
          <w:rFonts w:hint="eastAsia" w:hAnsi="宋体"/>
          <w:b/>
          <w:sz w:val="36"/>
          <w:szCs w:val="24"/>
          <w:highlight w:val="none"/>
        </w:rPr>
        <w:t>协议书</w:t>
      </w:r>
    </w:p>
    <w:p w14:paraId="48DC9372">
      <w:pPr>
        <w:spacing w:before="74" w:line="360" w:lineRule="auto"/>
        <w:ind w:left="4" w:firstLine="504" w:firstLineChars="200"/>
        <w:rPr>
          <w:rFonts w:hint="eastAsia" w:hAnsi="宋体" w:cs="宋体"/>
          <w:spacing w:val="6"/>
          <w:szCs w:val="24"/>
          <w:highlight w:val="none"/>
        </w:rPr>
      </w:pPr>
      <w:r>
        <w:rPr>
          <w:rFonts w:hint="eastAsia" w:hAnsi="宋体" w:cs="宋体"/>
          <w:spacing w:val="6"/>
          <w:szCs w:val="24"/>
          <w:highlight w:val="none"/>
        </w:rPr>
        <w:t>甲方：</w:t>
      </w:r>
      <w:r>
        <w:rPr>
          <w:rFonts w:hint="eastAsia" w:hAnsi="宋体" w:cs="宋体"/>
          <w:spacing w:val="6"/>
          <w:szCs w:val="24"/>
          <w:highlight w:val="none"/>
          <w:u w:val="single"/>
        </w:rPr>
        <w:t xml:space="preserve">                         </w:t>
      </w:r>
    </w:p>
    <w:p w14:paraId="45D6E280">
      <w:pPr>
        <w:spacing w:before="74" w:line="360" w:lineRule="auto"/>
        <w:ind w:left="4" w:firstLine="504" w:firstLineChars="200"/>
        <w:rPr>
          <w:rFonts w:hint="eastAsia" w:hAnsi="宋体" w:cs="宋体"/>
          <w:spacing w:val="6"/>
          <w:szCs w:val="24"/>
          <w:highlight w:val="none"/>
        </w:rPr>
      </w:pPr>
      <w:r>
        <w:rPr>
          <w:rFonts w:hint="eastAsia" w:hAnsi="宋体" w:cs="宋体"/>
          <w:spacing w:val="6"/>
          <w:szCs w:val="24"/>
          <w:highlight w:val="none"/>
        </w:rPr>
        <w:t>乙方：</w:t>
      </w:r>
      <w:r>
        <w:rPr>
          <w:rFonts w:hint="eastAsia" w:hAnsi="宋体" w:cs="宋体"/>
          <w:spacing w:val="6"/>
          <w:szCs w:val="24"/>
          <w:highlight w:val="none"/>
          <w:u w:val="single"/>
        </w:rPr>
        <w:t xml:space="preserve">                         </w:t>
      </w:r>
    </w:p>
    <w:p w14:paraId="3AABA22D">
      <w:pPr>
        <w:pStyle w:val="9"/>
        <w:spacing w:line="360" w:lineRule="auto"/>
        <w:ind w:left="31" w:firstLine="504" w:firstLineChars="200"/>
        <w:rPr>
          <w:rFonts w:hint="eastAsia" w:ascii="宋体" w:hAnsi="宋体" w:cs="宋体"/>
          <w:spacing w:val="6"/>
          <w:kern w:val="0"/>
          <w:sz w:val="24"/>
          <w:szCs w:val="24"/>
          <w:highlight w:val="none"/>
        </w:rPr>
      </w:pPr>
      <w:r>
        <w:rPr>
          <w:rFonts w:hint="eastAsia" w:ascii="宋体" w:hAnsi="宋体" w:cs="宋体"/>
          <w:spacing w:val="6"/>
          <w:kern w:val="0"/>
          <w:sz w:val="24"/>
          <w:szCs w:val="24"/>
          <w:highlight w:val="none"/>
        </w:rPr>
        <w:t>甲方所需服务，按照政府采购程序组织公开招标， 确定乙方为</w:t>
      </w:r>
      <w:r>
        <w:rPr>
          <w:rFonts w:hint="eastAsia" w:ascii="宋体" w:hAnsi="宋体" w:cs="宋体"/>
          <w:spacing w:val="6"/>
          <w:kern w:val="0"/>
          <w:sz w:val="24"/>
          <w:szCs w:val="24"/>
          <w:highlight w:val="none"/>
          <w:lang w:eastAsia="zh-CN"/>
        </w:rPr>
        <w:t>汉中市人民医院互联网二期升级改造（银医合作）采购项目</w:t>
      </w:r>
      <w:r>
        <w:rPr>
          <w:rFonts w:hint="eastAsia" w:ascii="宋体" w:hAnsi="宋体" w:cs="宋体"/>
          <w:spacing w:val="6"/>
          <w:kern w:val="0"/>
          <w:sz w:val="24"/>
          <w:szCs w:val="24"/>
          <w:highlight w:val="none"/>
        </w:rPr>
        <w:t>（项目编号：</w:t>
      </w:r>
      <w:r>
        <w:rPr>
          <w:rFonts w:hint="eastAsia" w:ascii="宋体" w:hAnsi="宋体" w:cs="宋体"/>
          <w:spacing w:val="6"/>
          <w:kern w:val="0"/>
          <w:sz w:val="24"/>
          <w:szCs w:val="24"/>
          <w:highlight w:val="none"/>
          <w:u w:val="single"/>
        </w:rPr>
        <w:t xml:space="preserve">             </w:t>
      </w:r>
      <w:r>
        <w:rPr>
          <w:rFonts w:hint="eastAsia" w:ascii="宋体" w:hAnsi="宋体" w:cs="宋体"/>
          <w:spacing w:val="6"/>
          <w:kern w:val="0"/>
          <w:sz w:val="24"/>
          <w:szCs w:val="24"/>
          <w:highlight w:val="none"/>
        </w:rPr>
        <w:t>） 中标人。依据《中华人民共和国政府采购法》《中华人民共和国民法典》 以及招标文件、中标通知书，经甲、乙双方协商、确认，达成如下合同条款。</w:t>
      </w:r>
    </w:p>
    <w:p w14:paraId="287A91F8">
      <w:pPr>
        <w:pStyle w:val="9"/>
        <w:spacing w:before="179" w:line="360" w:lineRule="auto"/>
        <w:ind w:left="32" w:right="9" w:firstLine="492"/>
        <w:rPr>
          <w:rFonts w:hint="eastAsia" w:ascii="宋体" w:hAnsi="宋体" w:cs="宋体"/>
          <w:sz w:val="24"/>
          <w:szCs w:val="24"/>
          <w:highlight w:val="none"/>
        </w:rPr>
      </w:pPr>
      <w:r>
        <w:rPr>
          <w:rFonts w:hint="eastAsia" w:ascii="宋体" w:hAnsi="宋体" w:cs="宋体"/>
          <w:spacing w:val="6"/>
          <w:kern w:val="0"/>
          <w:sz w:val="24"/>
          <w:szCs w:val="24"/>
          <w:highlight w:val="none"/>
          <w:lang w:eastAsia="zh-CN"/>
        </w:rPr>
        <w:t>汉中市人民医院互联网二期升级改造（银医合作）采购项目</w:t>
      </w:r>
      <w:r>
        <w:rPr>
          <w:rFonts w:hint="eastAsia" w:ascii="宋体" w:hAnsi="宋体" w:cs="宋体"/>
          <w:spacing w:val="6"/>
          <w:kern w:val="0"/>
          <w:sz w:val="24"/>
          <w:szCs w:val="24"/>
          <w:highlight w:val="none"/>
        </w:rPr>
        <w:t>由陕西至诚项目管理集团有限公司组织公开招标，</w:t>
      </w:r>
      <w:r>
        <w:rPr>
          <w:rFonts w:hint="eastAsia" w:ascii="宋体" w:hAnsi="宋体" w:cs="宋体"/>
          <w:spacing w:val="6"/>
          <w:sz w:val="24"/>
          <w:szCs w:val="24"/>
          <w:highlight w:val="none"/>
          <w:u w:val="single"/>
          <w:lang w:val="en-US" w:eastAsia="zh-CN"/>
        </w:rPr>
        <w:t xml:space="preserve">       </w:t>
      </w:r>
      <w:r>
        <w:rPr>
          <w:rFonts w:hint="eastAsia" w:ascii="宋体" w:hAnsi="宋体" w:cs="宋体"/>
          <w:spacing w:val="6"/>
          <w:kern w:val="0"/>
          <w:sz w:val="24"/>
          <w:szCs w:val="24"/>
          <w:highlight w:val="none"/>
        </w:rPr>
        <w:t>(以下简称“ 甲方 ”)确定</w:t>
      </w:r>
      <w:r>
        <w:rPr>
          <w:rFonts w:hint="eastAsia" w:ascii="宋体" w:hAnsi="宋体" w:cs="宋体"/>
          <w:spacing w:val="6"/>
          <w:sz w:val="24"/>
          <w:szCs w:val="24"/>
          <w:highlight w:val="none"/>
          <w:u w:val="single"/>
        </w:rPr>
        <w:t xml:space="preserve">           </w:t>
      </w:r>
      <w:r>
        <w:rPr>
          <w:rFonts w:hint="eastAsia" w:ascii="宋体" w:hAnsi="宋体" w:cs="宋体"/>
          <w:spacing w:val="6"/>
          <w:kern w:val="0"/>
          <w:sz w:val="24"/>
          <w:szCs w:val="24"/>
          <w:highlight w:val="none"/>
        </w:rPr>
        <w:t>（以下简称“ 乙方 ”）为该项目的中标人。</w:t>
      </w:r>
    </w:p>
    <w:p w14:paraId="54741E46">
      <w:pPr>
        <w:numPr>
          <w:ilvl w:val="0"/>
          <w:numId w:val="5"/>
        </w:numPr>
        <w:spacing w:line="360" w:lineRule="auto"/>
        <w:ind w:firstLine="514" w:firstLineChars="200"/>
        <w:rPr>
          <w:rFonts w:hint="eastAsia" w:hAnsi="宋体" w:cs="宋体"/>
          <w:b/>
          <w:bCs/>
          <w:spacing w:val="8"/>
          <w:position w:val="2"/>
          <w:szCs w:val="24"/>
          <w:highlight w:val="none"/>
        </w:rPr>
      </w:pPr>
      <w:r>
        <w:rPr>
          <w:rFonts w:hint="eastAsia" w:hAnsi="宋体" w:cs="宋体"/>
          <w:b/>
          <w:bCs/>
          <w:spacing w:val="8"/>
          <w:position w:val="2"/>
          <w:szCs w:val="24"/>
          <w:highlight w:val="none"/>
        </w:rPr>
        <w:t>采购事项</w:t>
      </w:r>
    </w:p>
    <w:p w14:paraId="37B66561">
      <w:pPr>
        <w:spacing w:line="360" w:lineRule="auto"/>
        <w:ind w:firstLine="504" w:firstLineChars="200"/>
        <w:rPr>
          <w:rFonts w:hAnsi="宋体" w:cs="宋体"/>
          <w:spacing w:val="6"/>
          <w:szCs w:val="24"/>
          <w:highlight w:val="none"/>
        </w:rPr>
      </w:pPr>
      <w:r>
        <w:rPr>
          <w:rFonts w:hint="eastAsia" w:hAnsi="宋体" w:cs="宋体"/>
          <w:spacing w:val="6"/>
          <w:szCs w:val="24"/>
          <w:highlight w:val="none"/>
        </w:rPr>
        <w:t>项目名称：</w:t>
      </w:r>
      <w:r>
        <w:rPr>
          <w:rFonts w:hint="eastAsia" w:hAnsi="宋体" w:cs="宋体"/>
          <w:spacing w:val="6"/>
          <w:szCs w:val="24"/>
          <w:highlight w:val="none"/>
          <w:u w:val="single"/>
        </w:rPr>
        <w:t xml:space="preserve">                  </w:t>
      </w:r>
    </w:p>
    <w:p w14:paraId="485ACCE1">
      <w:pPr>
        <w:spacing w:line="360" w:lineRule="auto"/>
        <w:ind w:firstLine="504" w:firstLineChars="200"/>
        <w:rPr>
          <w:rFonts w:hint="eastAsia" w:hAnsi="宋体" w:cs="宋体"/>
          <w:spacing w:val="6"/>
          <w:szCs w:val="24"/>
          <w:highlight w:val="none"/>
          <w:u w:val="single"/>
        </w:rPr>
      </w:pPr>
      <w:r>
        <w:rPr>
          <w:rFonts w:hint="eastAsia" w:hAnsi="宋体" w:cs="宋体"/>
          <w:spacing w:val="6"/>
          <w:szCs w:val="24"/>
          <w:highlight w:val="none"/>
        </w:rPr>
        <w:t>项目编号：</w:t>
      </w:r>
      <w:r>
        <w:rPr>
          <w:rFonts w:hint="eastAsia" w:hAnsi="宋体" w:cs="宋体"/>
          <w:spacing w:val="6"/>
          <w:szCs w:val="24"/>
          <w:highlight w:val="none"/>
          <w:u w:val="single"/>
        </w:rPr>
        <w:t xml:space="preserve">                  </w:t>
      </w:r>
    </w:p>
    <w:p w14:paraId="488DBB63">
      <w:pPr>
        <w:spacing w:line="360" w:lineRule="auto"/>
        <w:ind w:firstLine="504" w:firstLineChars="200"/>
        <w:rPr>
          <w:rFonts w:hint="eastAsia" w:hAnsi="宋体" w:cs="宋体"/>
          <w:spacing w:val="6"/>
          <w:szCs w:val="24"/>
          <w:highlight w:val="none"/>
        </w:rPr>
      </w:pPr>
      <w:r>
        <w:rPr>
          <w:rFonts w:hint="eastAsia" w:hAnsi="宋体" w:cs="宋体"/>
          <w:spacing w:val="6"/>
          <w:szCs w:val="24"/>
          <w:highlight w:val="none"/>
        </w:rPr>
        <w:t>项目地点：</w:t>
      </w:r>
      <w:r>
        <w:rPr>
          <w:rFonts w:hint="eastAsia" w:hAnsi="宋体" w:cs="宋体"/>
          <w:spacing w:val="6"/>
          <w:szCs w:val="24"/>
          <w:highlight w:val="none"/>
          <w:u w:val="single"/>
        </w:rPr>
        <w:t>具体地点由甲方指定</w:t>
      </w:r>
    </w:p>
    <w:p w14:paraId="53CBE079">
      <w:pPr>
        <w:spacing w:line="360" w:lineRule="auto"/>
        <w:ind w:firstLine="504" w:firstLineChars="200"/>
        <w:rPr>
          <w:rFonts w:hint="default" w:hAnsi="宋体" w:eastAsia="宋体" w:cs="宋体"/>
          <w:b/>
          <w:bCs/>
          <w:spacing w:val="6"/>
          <w:szCs w:val="24"/>
          <w:highlight w:val="none"/>
          <w:lang w:val="en-US" w:eastAsia="zh-CN"/>
        </w:rPr>
      </w:pPr>
      <w:r>
        <w:rPr>
          <w:rFonts w:hint="eastAsia" w:hAnsi="宋体" w:cs="宋体"/>
          <w:spacing w:val="6"/>
          <w:szCs w:val="24"/>
          <w:highlight w:val="none"/>
        </w:rPr>
        <w:t>服务时间：</w:t>
      </w:r>
      <w:r>
        <w:rPr>
          <w:rFonts w:hint="eastAsia" w:hAnsi="宋体" w:cs="宋体"/>
          <w:spacing w:val="6"/>
          <w:szCs w:val="24"/>
          <w:highlight w:val="none"/>
          <w:u w:val="single"/>
          <w:lang w:val="en-US" w:eastAsia="zh-CN"/>
        </w:rPr>
        <w:t xml:space="preserve">                 </w:t>
      </w:r>
    </w:p>
    <w:p w14:paraId="2AE40BEB">
      <w:pPr>
        <w:spacing w:line="360" w:lineRule="auto"/>
        <w:ind w:firstLine="506" w:firstLineChars="200"/>
        <w:rPr>
          <w:rFonts w:hint="eastAsia" w:hAnsi="宋体" w:cs="宋体"/>
          <w:b/>
          <w:bCs/>
          <w:spacing w:val="6"/>
          <w:szCs w:val="24"/>
          <w:highlight w:val="none"/>
        </w:rPr>
      </w:pPr>
      <w:r>
        <w:rPr>
          <w:rFonts w:hint="eastAsia" w:hAnsi="宋体" w:cs="宋体"/>
          <w:b/>
          <w:bCs/>
          <w:spacing w:val="6"/>
          <w:szCs w:val="24"/>
          <w:highlight w:val="none"/>
        </w:rPr>
        <w:t>二、服务期限</w:t>
      </w:r>
    </w:p>
    <w:p w14:paraId="096E04BA">
      <w:pPr>
        <w:spacing w:line="360" w:lineRule="auto"/>
        <w:ind w:firstLine="504" w:firstLineChars="200"/>
        <w:rPr>
          <w:rFonts w:hint="eastAsia" w:hAnsi="宋体" w:cs="宋体"/>
          <w:szCs w:val="24"/>
          <w:highlight w:val="none"/>
        </w:rPr>
      </w:pPr>
      <w:r>
        <w:rPr>
          <w:rFonts w:hint="eastAsia" w:hAnsi="宋体" w:cs="宋体"/>
          <w:spacing w:val="6"/>
          <w:szCs w:val="24"/>
          <w:highlight w:val="none"/>
          <w:lang w:val="en-US" w:eastAsia="zh-CN"/>
        </w:rPr>
        <w:t>服务期：</w:t>
      </w:r>
      <w:r>
        <w:rPr>
          <w:rFonts w:hint="eastAsia" w:hAnsi="宋体" w:cs="宋体"/>
          <w:spacing w:val="6"/>
          <w:szCs w:val="24"/>
          <w:highlight w:val="none"/>
          <w:u w:val="single"/>
          <w:lang w:val="en-US" w:eastAsia="zh-CN"/>
        </w:rPr>
        <w:t xml:space="preserve">                        </w:t>
      </w:r>
      <w:r>
        <w:rPr>
          <w:rFonts w:hint="eastAsia" w:hAnsi="宋体" w:cs="宋体"/>
          <w:spacing w:val="6"/>
          <w:szCs w:val="24"/>
          <w:highlight w:val="none"/>
        </w:rPr>
        <w:t>。</w:t>
      </w:r>
    </w:p>
    <w:p w14:paraId="7A3311C9">
      <w:pPr>
        <w:spacing w:line="360" w:lineRule="auto"/>
        <w:ind w:firstLine="506" w:firstLineChars="200"/>
        <w:rPr>
          <w:rFonts w:hint="eastAsia" w:hAnsi="宋体" w:cs="宋体"/>
          <w:b/>
          <w:bCs/>
          <w:spacing w:val="6"/>
          <w:szCs w:val="24"/>
          <w:highlight w:val="none"/>
        </w:rPr>
      </w:pPr>
      <w:r>
        <w:rPr>
          <w:rFonts w:hint="eastAsia" w:hAnsi="宋体" w:cs="宋体"/>
          <w:b/>
          <w:bCs/>
          <w:spacing w:val="6"/>
          <w:szCs w:val="24"/>
          <w:highlight w:val="none"/>
        </w:rPr>
        <w:t>三、采购服务具体内容及要求</w:t>
      </w:r>
    </w:p>
    <w:p w14:paraId="73D09343">
      <w:pPr>
        <w:spacing w:line="360" w:lineRule="auto"/>
        <w:ind w:firstLine="504" w:firstLineChars="200"/>
        <w:rPr>
          <w:rFonts w:hint="eastAsia" w:hAnsi="宋体" w:cs="宋体"/>
          <w:szCs w:val="24"/>
          <w:highlight w:val="none"/>
        </w:rPr>
      </w:pPr>
      <w:r>
        <w:rPr>
          <w:rFonts w:hint="eastAsia" w:hAnsi="宋体" w:cs="宋体"/>
          <w:spacing w:val="6"/>
          <w:szCs w:val="24"/>
          <w:highlight w:val="none"/>
        </w:rPr>
        <w:t>即交付的服务内容、数量与响应文件等所指明的，或者与本合同所指明的服务内容相一致。（具体服务清单及价格见附件）</w:t>
      </w:r>
    </w:p>
    <w:p w14:paraId="68EA35B5">
      <w:pPr>
        <w:spacing w:line="360" w:lineRule="auto"/>
        <w:ind w:firstLine="506" w:firstLineChars="200"/>
        <w:rPr>
          <w:rFonts w:hint="eastAsia" w:hAnsi="宋体" w:cs="宋体"/>
          <w:b/>
          <w:bCs/>
          <w:spacing w:val="6"/>
          <w:szCs w:val="24"/>
          <w:highlight w:val="none"/>
        </w:rPr>
      </w:pPr>
      <w:r>
        <w:rPr>
          <w:rFonts w:hint="eastAsia" w:hAnsi="宋体" w:cs="宋体"/>
          <w:b/>
          <w:bCs/>
          <w:spacing w:val="6"/>
          <w:szCs w:val="24"/>
          <w:highlight w:val="none"/>
        </w:rPr>
        <w:t>四、服务费用支付</w:t>
      </w:r>
    </w:p>
    <w:p w14:paraId="52823E5B">
      <w:pPr>
        <w:spacing w:before="30" w:line="360" w:lineRule="auto"/>
        <w:ind w:firstLine="504" w:firstLineChars="200"/>
        <w:rPr>
          <w:rFonts w:hint="eastAsia" w:hAnsi="宋体" w:cs="宋体"/>
          <w:spacing w:val="6"/>
          <w:szCs w:val="24"/>
          <w:highlight w:val="none"/>
        </w:rPr>
      </w:pPr>
      <w:r>
        <w:rPr>
          <w:rFonts w:hint="eastAsia" w:hAnsi="宋体" w:cs="宋体"/>
          <w:spacing w:val="6"/>
          <w:szCs w:val="24"/>
          <w:highlight w:val="none"/>
        </w:rPr>
        <w:t>1、合同价款：本合同价款（含税）为（小写）¥</w:t>
      </w:r>
      <w:r>
        <w:rPr>
          <w:rFonts w:hint="eastAsia" w:hAnsi="宋体" w:cs="宋体"/>
          <w:spacing w:val="6"/>
          <w:szCs w:val="24"/>
          <w:highlight w:val="none"/>
          <w:u w:val="single"/>
        </w:rPr>
        <w:t xml:space="preserve">         </w:t>
      </w:r>
      <w:r>
        <w:rPr>
          <w:rFonts w:hint="eastAsia" w:hAnsi="宋体" w:cs="宋体"/>
          <w:spacing w:val="6"/>
          <w:szCs w:val="24"/>
          <w:highlight w:val="none"/>
        </w:rPr>
        <w:t>；（大写）</w:t>
      </w:r>
      <w:r>
        <w:rPr>
          <w:rFonts w:hint="eastAsia" w:hAnsi="宋体" w:cs="宋体"/>
          <w:spacing w:val="6"/>
          <w:szCs w:val="24"/>
          <w:highlight w:val="none"/>
          <w:u w:val="single"/>
        </w:rPr>
        <w:t xml:space="preserve">          </w:t>
      </w:r>
      <w:r>
        <w:rPr>
          <w:rFonts w:hint="eastAsia" w:hAnsi="宋体" w:cs="宋体"/>
          <w:spacing w:val="6"/>
          <w:szCs w:val="24"/>
          <w:highlight w:val="none"/>
        </w:rPr>
        <w:t>。由甲方负责结算，在付款前，由乙方开具审计后价款的全额发票给甲方（每次会议活动结束后，乙方提交会议活动服务的服务清单，甲方经过审核后，根据报价表所报价格，据实结算）。</w:t>
      </w:r>
    </w:p>
    <w:p w14:paraId="52936D27">
      <w:pPr>
        <w:spacing w:line="360" w:lineRule="auto"/>
        <w:ind w:firstLine="504" w:firstLineChars="200"/>
        <w:rPr>
          <w:rFonts w:hint="eastAsia" w:ascii="宋体" w:hAnsi="宋体" w:eastAsia="宋体" w:cs="宋体"/>
          <w:bCs/>
          <w:szCs w:val="24"/>
          <w:highlight w:val="none"/>
          <w:lang w:val="en-US" w:eastAsia="zh-CN"/>
        </w:rPr>
      </w:pPr>
      <w:r>
        <w:rPr>
          <w:rFonts w:hint="eastAsia" w:hAnsi="宋体" w:cs="宋体"/>
          <w:spacing w:val="6"/>
          <w:szCs w:val="24"/>
          <w:highlight w:val="none"/>
        </w:rPr>
        <w:t>2、付款方式：</w:t>
      </w:r>
      <w:r>
        <w:rPr>
          <w:rFonts w:hint="eastAsia" w:ascii="宋体" w:hAnsi="宋体" w:eastAsia="宋体" w:cs="宋体"/>
          <w:bCs/>
          <w:szCs w:val="24"/>
          <w:highlight w:val="none"/>
          <w:lang w:val="en-US" w:eastAsia="zh-CN"/>
        </w:rPr>
        <w:t xml:space="preserve"> 项目验收合格后次月支付合同金额的40%；项目验收合格后第10个月支付合同金额的55%；项目质保期到期后支付合同金额的5%。</w:t>
      </w:r>
    </w:p>
    <w:p w14:paraId="074E2609">
      <w:pPr>
        <w:spacing w:line="360" w:lineRule="auto"/>
        <w:ind w:firstLine="504" w:firstLineChars="200"/>
        <w:rPr>
          <w:rFonts w:hint="eastAsia" w:hAnsi="宋体" w:cs="宋体"/>
          <w:spacing w:val="6"/>
          <w:szCs w:val="24"/>
          <w:highlight w:val="none"/>
        </w:rPr>
      </w:pPr>
      <w:r>
        <w:rPr>
          <w:rFonts w:hint="eastAsia" w:hAnsi="宋体" w:cs="宋体"/>
          <w:spacing w:val="6"/>
          <w:szCs w:val="24"/>
          <w:highlight w:val="none"/>
        </w:rPr>
        <w:t>3、支付方式：银行转账。</w:t>
      </w:r>
    </w:p>
    <w:p w14:paraId="37C0CD4B">
      <w:pPr>
        <w:spacing w:line="360" w:lineRule="auto"/>
        <w:ind w:firstLine="504" w:firstLineChars="200"/>
        <w:rPr>
          <w:rFonts w:hint="eastAsia" w:hAnsi="宋体" w:cs="宋体"/>
          <w:spacing w:val="6"/>
          <w:szCs w:val="24"/>
          <w:highlight w:val="none"/>
        </w:rPr>
      </w:pPr>
      <w:r>
        <w:rPr>
          <w:rFonts w:hint="eastAsia" w:hAnsi="宋体" w:cs="宋体"/>
          <w:spacing w:val="6"/>
          <w:szCs w:val="24"/>
          <w:highlight w:val="none"/>
        </w:rPr>
        <w:t>4、结算方式：验收合格后填写政府采购项目验收单（一式五份），乙方开具发票（按实际发生的金额直开甲方），持服务合同、正式发票，政府采购项目验收单，与甲方结算。</w:t>
      </w:r>
    </w:p>
    <w:p w14:paraId="076D989B">
      <w:pPr>
        <w:spacing w:line="360" w:lineRule="auto"/>
        <w:ind w:firstLine="480" w:firstLineChars="200"/>
        <w:rPr>
          <w:rFonts w:hint="eastAsia" w:hAnsi="宋体" w:cs="宋体"/>
          <w:spacing w:val="6"/>
          <w:szCs w:val="24"/>
          <w:highlight w:val="none"/>
        </w:rPr>
      </w:pPr>
      <w:r>
        <w:rPr>
          <w:rFonts w:hint="eastAsia" w:hAnsi="宋体" w:cs="宋体"/>
          <w:bCs/>
          <w:szCs w:val="24"/>
          <w:highlight w:val="none"/>
        </w:rPr>
        <w:t>5、</w:t>
      </w:r>
      <w:r>
        <w:rPr>
          <w:rFonts w:hint="eastAsia" w:hAnsi="宋体" w:cs="宋体"/>
          <w:spacing w:val="6"/>
          <w:szCs w:val="24"/>
          <w:highlight w:val="none"/>
        </w:rPr>
        <w:t>乙方的开户行信息：</w:t>
      </w:r>
    </w:p>
    <w:p w14:paraId="15247364">
      <w:pPr>
        <w:spacing w:line="360" w:lineRule="auto"/>
        <w:ind w:firstLine="504" w:firstLineChars="200"/>
        <w:rPr>
          <w:rFonts w:hAnsi="宋体" w:cs="宋体"/>
          <w:spacing w:val="6"/>
          <w:szCs w:val="24"/>
          <w:highlight w:val="none"/>
        </w:rPr>
      </w:pPr>
      <w:r>
        <w:rPr>
          <w:rFonts w:hint="eastAsia" w:hAnsi="宋体" w:cs="宋体"/>
          <w:spacing w:val="6"/>
          <w:szCs w:val="24"/>
          <w:highlight w:val="none"/>
        </w:rPr>
        <w:t>公司名称：</w:t>
      </w:r>
      <w:r>
        <w:rPr>
          <w:rFonts w:hint="eastAsia" w:hAnsi="宋体" w:cs="宋体"/>
          <w:spacing w:val="6"/>
          <w:szCs w:val="24"/>
          <w:highlight w:val="none"/>
          <w:u w:val="single"/>
        </w:rPr>
        <w:t xml:space="preserve">                            </w:t>
      </w:r>
    </w:p>
    <w:p w14:paraId="447620D2">
      <w:pPr>
        <w:spacing w:line="360" w:lineRule="auto"/>
        <w:ind w:firstLine="504" w:firstLineChars="200"/>
        <w:rPr>
          <w:rFonts w:hAnsi="宋体" w:cs="宋体"/>
          <w:spacing w:val="6"/>
          <w:szCs w:val="24"/>
          <w:highlight w:val="none"/>
        </w:rPr>
      </w:pPr>
      <w:r>
        <w:rPr>
          <w:rFonts w:hint="eastAsia" w:hAnsi="宋体" w:cs="宋体"/>
          <w:spacing w:val="6"/>
          <w:szCs w:val="24"/>
          <w:highlight w:val="none"/>
        </w:rPr>
        <w:t>统一社会信用代码：</w:t>
      </w:r>
      <w:r>
        <w:rPr>
          <w:rFonts w:hint="eastAsia" w:hAnsi="宋体" w:cs="宋体"/>
          <w:spacing w:val="6"/>
          <w:szCs w:val="24"/>
          <w:highlight w:val="none"/>
          <w:u w:val="single"/>
        </w:rPr>
        <w:t xml:space="preserve">                    </w:t>
      </w:r>
    </w:p>
    <w:p w14:paraId="374EDC9F">
      <w:pPr>
        <w:spacing w:line="360" w:lineRule="auto"/>
        <w:ind w:firstLine="504" w:firstLineChars="200"/>
        <w:rPr>
          <w:rFonts w:hint="eastAsia" w:hAnsi="宋体" w:cs="宋体"/>
          <w:spacing w:val="6"/>
          <w:szCs w:val="24"/>
          <w:highlight w:val="none"/>
        </w:rPr>
      </w:pPr>
      <w:r>
        <w:rPr>
          <w:rFonts w:hint="eastAsia" w:hAnsi="宋体" w:cs="宋体"/>
          <w:spacing w:val="6"/>
          <w:szCs w:val="24"/>
          <w:highlight w:val="none"/>
        </w:rPr>
        <w:t>地址：</w:t>
      </w:r>
      <w:r>
        <w:rPr>
          <w:rFonts w:hint="eastAsia" w:hAnsi="宋体" w:cs="宋体"/>
          <w:spacing w:val="6"/>
          <w:szCs w:val="24"/>
          <w:highlight w:val="none"/>
          <w:u w:val="single"/>
        </w:rPr>
        <w:t xml:space="preserve">                                </w:t>
      </w:r>
      <w:r>
        <w:rPr>
          <w:rFonts w:hint="eastAsia" w:hAnsi="宋体" w:cs="宋体"/>
          <w:spacing w:val="6"/>
          <w:szCs w:val="24"/>
          <w:highlight w:val="none"/>
        </w:rPr>
        <w:t xml:space="preserve">     </w:t>
      </w:r>
    </w:p>
    <w:p w14:paraId="6F2612B3">
      <w:pPr>
        <w:spacing w:line="360" w:lineRule="auto"/>
        <w:ind w:firstLine="504" w:firstLineChars="200"/>
        <w:rPr>
          <w:rFonts w:hAnsi="宋体" w:cs="宋体"/>
          <w:spacing w:val="6"/>
          <w:szCs w:val="24"/>
          <w:highlight w:val="none"/>
        </w:rPr>
      </w:pPr>
      <w:r>
        <w:rPr>
          <w:rFonts w:hint="eastAsia" w:hAnsi="宋体" w:cs="宋体"/>
          <w:spacing w:val="6"/>
          <w:szCs w:val="24"/>
          <w:highlight w:val="none"/>
        </w:rPr>
        <w:t>开户银行：</w:t>
      </w:r>
      <w:r>
        <w:rPr>
          <w:rFonts w:hint="eastAsia" w:hAnsi="宋体" w:cs="宋体"/>
          <w:spacing w:val="6"/>
          <w:szCs w:val="24"/>
          <w:highlight w:val="none"/>
          <w:u w:val="single"/>
        </w:rPr>
        <w:t xml:space="preserve">                            </w:t>
      </w:r>
    </w:p>
    <w:p w14:paraId="3787C45D">
      <w:pPr>
        <w:spacing w:line="360" w:lineRule="auto"/>
        <w:ind w:firstLine="504" w:firstLineChars="200"/>
        <w:rPr>
          <w:rFonts w:hAnsi="宋体" w:cs="宋体"/>
          <w:spacing w:val="6"/>
          <w:szCs w:val="24"/>
          <w:highlight w:val="none"/>
        </w:rPr>
      </w:pPr>
      <w:r>
        <w:rPr>
          <w:rFonts w:hint="eastAsia" w:hAnsi="宋体" w:cs="宋体"/>
          <w:spacing w:val="6"/>
          <w:szCs w:val="24"/>
          <w:highlight w:val="none"/>
        </w:rPr>
        <w:t>账号：</w:t>
      </w:r>
      <w:r>
        <w:rPr>
          <w:rFonts w:hint="eastAsia" w:hAnsi="宋体" w:cs="宋体"/>
          <w:spacing w:val="6"/>
          <w:szCs w:val="24"/>
          <w:highlight w:val="none"/>
          <w:u w:val="single"/>
        </w:rPr>
        <w:t xml:space="preserve">                                </w:t>
      </w:r>
    </w:p>
    <w:p w14:paraId="2AED8BA2">
      <w:pPr>
        <w:spacing w:line="360" w:lineRule="auto"/>
        <w:ind w:firstLine="506" w:firstLineChars="200"/>
        <w:rPr>
          <w:rFonts w:hint="eastAsia" w:hAnsi="宋体" w:cs="宋体"/>
          <w:b/>
          <w:bCs/>
          <w:spacing w:val="6"/>
          <w:szCs w:val="24"/>
          <w:highlight w:val="none"/>
        </w:rPr>
      </w:pPr>
      <w:r>
        <w:rPr>
          <w:rFonts w:hint="eastAsia" w:hAnsi="宋体" w:cs="宋体"/>
          <w:b/>
          <w:bCs/>
          <w:spacing w:val="6"/>
          <w:szCs w:val="24"/>
          <w:highlight w:val="none"/>
          <w:lang w:val="en-US" w:eastAsia="zh-CN"/>
        </w:rPr>
        <w:t>五</w:t>
      </w:r>
      <w:r>
        <w:rPr>
          <w:rFonts w:hint="eastAsia" w:hAnsi="宋体" w:cs="宋体"/>
          <w:b/>
          <w:bCs/>
          <w:spacing w:val="6"/>
          <w:szCs w:val="24"/>
          <w:highlight w:val="none"/>
        </w:rPr>
        <w:t>、验收</w:t>
      </w:r>
    </w:p>
    <w:p w14:paraId="35F92DAE">
      <w:pPr>
        <w:tabs>
          <w:tab w:val="left" w:pos="480"/>
        </w:tabs>
        <w:spacing w:line="360" w:lineRule="auto"/>
        <w:ind w:firstLine="480" w:firstLineChars="200"/>
        <w:outlineLvl w:val="1"/>
        <w:rPr>
          <w:rFonts w:hint="eastAsia"/>
          <w:highlight w:val="none"/>
        </w:rPr>
      </w:pPr>
      <w:r>
        <w:rPr>
          <w:rFonts w:hint="eastAsia"/>
          <w:highlight w:val="none"/>
          <w:lang w:val="en-US" w:eastAsia="zh-CN"/>
        </w:rPr>
        <w:t>1.</w:t>
      </w:r>
      <w:r>
        <w:rPr>
          <w:rFonts w:hint="eastAsia"/>
          <w:highlight w:val="none"/>
        </w:rPr>
        <w:t>验收的主要依据包括本招标需求书、投标文件、合同文件，以及用户需求说明书、设计方案，将系统安装并调试至正常运行的最佳状态。</w:t>
      </w:r>
    </w:p>
    <w:p w14:paraId="655D8E9F">
      <w:pPr>
        <w:tabs>
          <w:tab w:val="left" w:pos="480"/>
        </w:tabs>
        <w:spacing w:line="360" w:lineRule="auto"/>
        <w:ind w:firstLine="480" w:firstLineChars="200"/>
        <w:outlineLvl w:val="1"/>
        <w:rPr>
          <w:rFonts w:hint="eastAsia"/>
          <w:highlight w:val="none"/>
        </w:rPr>
      </w:pPr>
      <w:r>
        <w:rPr>
          <w:rFonts w:hint="eastAsia"/>
          <w:highlight w:val="none"/>
          <w:lang w:val="en-US" w:eastAsia="zh-CN"/>
        </w:rPr>
        <w:t>2.</w:t>
      </w:r>
      <w:r>
        <w:rPr>
          <w:rFonts w:hint="eastAsia"/>
          <w:highlight w:val="none"/>
        </w:rPr>
        <w:t>系统运行正常后，中标人需按合同所列产品标准，</w:t>
      </w:r>
      <w:r>
        <w:rPr>
          <w:rFonts w:hint="eastAsia"/>
          <w:highlight w:val="none"/>
          <w:lang w:val="en-US" w:eastAsia="zh-CN"/>
        </w:rPr>
        <w:t>根据信息化建设项目第三方监理公司的项目监理标准</w:t>
      </w:r>
      <w:r>
        <w:rPr>
          <w:rFonts w:hint="eastAsia"/>
          <w:highlight w:val="none"/>
        </w:rPr>
        <w:t>向采购人提供完成验收报告及相关资料，包括但不限于本合同涉及的全部有关产品说明书、安装手册、资料及安装、测试、试运行合格报告等文档，汇集成册交予采购人。</w:t>
      </w:r>
    </w:p>
    <w:p w14:paraId="29DF6358">
      <w:pPr>
        <w:tabs>
          <w:tab w:val="left" w:pos="480"/>
        </w:tabs>
        <w:spacing w:line="360" w:lineRule="auto"/>
        <w:ind w:firstLine="480" w:firstLineChars="200"/>
        <w:outlineLvl w:val="1"/>
        <w:rPr>
          <w:rFonts w:hint="eastAsia"/>
          <w:highlight w:val="none"/>
        </w:rPr>
      </w:pPr>
      <w:r>
        <w:rPr>
          <w:rFonts w:hint="eastAsia"/>
          <w:highlight w:val="none"/>
          <w:lang w:val="en-US" w:eastAsia="zh-CN"/>
        </w:rPr>
        <w:t>3.</w:t>
      </w:r>
      <w:r>
        <w:rPr>
          <w:rFonts w:hint="eastAsia"/>
          <w:highlight w:val="none"/>
        </w:rPr>
        <w:t>项目验收依次序对照执行标准：</w:t>
      </w:r>
    </w:p>
    <w:p w14:paraId="61C9AA66">
      <w:pPr>
        <w:tabs>
          <w:tab w:val="left" w:pos="480"/>
        </w:tabs>
        <w:spacing w:line="360" w:lineRule="auto"/>
        <w:ind w:firstLine="480" w:firstLineChars="200"/>
        <w:outlineLvl w:val="1"/>
        <w:rPr>
          <w:rFonts w:hint="eastAsia"/>
          <w:highlight w:val="none"/>
        </w:rPr>
      </w:pPr>
      <w:r>
        <w:rPr>
          <w:rFonts w:hint="eastAsia"/>
          <w:highlight w:val="none"/>
          <w:lang w:val="en-US" w:eastAsia="zh-CN"/>
        </w:rPr>
        <w:t>3.1</w:t>
      </w:r>
      <w:r>
        <w:rPr>
          <w:rFonts w:hint="eastAsia"/>
          <w:highlight w:val="none"/>
        </w:rPr>
        <w:t>符合中华人民共和国国家和履约地相关安全质量标准、行业技术规范标准、环保节能标准。</w:t>
      </w:r>
    </w:p>
    <w:p w14:paraId="7BDEB845">
      <w:pPr>
        <w:tabs>
          <w:tab w:val="left" w:pos="480"/>
        </w:tabs>
        <w:spacing w:line="360" w:lineRule="auto"/>
        <w:ind w:firstLine="480" w:firstLineChars="200"/>
        <w:outlineLvl w:val="1"/>
        <w:rPr>
          <w:rFonts w:hint="eastAsia"/>
          <w:highlight w:val="none"/>
        </w:rPr>
      </w:pPr>
      <w:r>
        <w:rPr>
          <w:rFonts w:hint="eastAsia"/>
          <w:highlight w:val="none"/>
          <w:lang w:val="en-US" w:eastAsia="zh-CN"/>
        </w:rPr>
        <w:t>3.2</w:t>
      </w:r>
      <w:r>
        <w:rPr>
          <w:rFonts w:hint="eastAsia"/>
          <w:highlight w:val="none"/>
        </w:rPr>
        <w:t>符合招标文件和投标响应承诺中采购人认可的合理最佳配置、参数规格及各项要求。</w:t>
      </w:r>
    </w:p>
    <w:p w14:paraId="3254812A">
      <w:pPr>
        <w:tabs>
          <w:tab w:val="left" w:pos="480"/>
        </w:tabs>
        <w:spacing w:line="360" w:lineRule="auto"/>
        <w:ind w:firstLine="480" w:firstLineChars="200"/>
        <w:outlineLvl w:val="1"/>
        <w:rPr>
          <w:rFonts w:hint="eastAsia"/>
          <w:highlight w:val="none"/>
        </w:rPr>
      </w:pPr>
      <w:r>
        <w:rPr>
          <w:rFonts w:hint="eastAsia"/>
          <w:highlight w:val="none"/>
          <w:lang w:val="en-US" w:eastAsia="zh-CN"/>
        </w:rPr>
        <w:t>3.4第三方监理公司和</w:t>
      </w:r>
      <w:r>
        <w:rPr>
          <w:rFonts w:hint="eastAsia"/>
          <w:highlight w:val="none"/>
        </w:rPr>
        <w:t>双方约定的其他验收标准。</w:t>
      </w:r>
    </w:p>
    <w:p w14:paraId="76DD88DC">
      <w:pPr>
        <w:tabs>
          <w:tab w:val="left" w:pos="480"/>
        </w:tabs>
        <w:spacing w:line="360" w:lineRule="auto"/>
        <w:ind w:firstLine="480" w:firstLineChars="200"/>
        <w:outlineLvl w:val="1"/>
        <w:rPr>
          <w:rFonts w:hint="eastAsia"/>
          <w:highlight w:val="none"/>
        </w:rPr>
      </w:pPr>
      <w:r>
        <w:rPr>
          <w:rFonts w:hint="eastAsia"/>
          <w:highlight w:val="none"/>
          <w:lang w:val="en-US" w:eastAsia="zh-CN"/>
        </w:rPr>
        <w:t>4.</w:t>
      </w:r>
      <w:r>
        <w:rPr>
          <w:rFonts w:hint="eastAsia"/>
          <w:highlight w:val="none"/>
        </w:rPr>
        <w:t>交付验收要求：中标人在完成本合同约定项目的安装、调试等工作后应书面通知采购人进行验收，采购人在收到中标人通知后5个工作日内进行验收，验收标准根据合同约定及相关法律、法规规定、行业标准（按较高标准执行）。在验收过程中如发现问题中标人需立即进行修复，中标人修复完成并经采购人验收合格，双方在</w:t>
      </w:r>
      <w:r>
        <w:rPr>
          <w:rFonts w:hint="eastAsia"/>
          <w:highlight w:val="none"/>
          <w:lang w:val="en-US" w:eastAsia="zh-CN"/>
        </w:rPr>
        <w:t>验收单</w:t>
      </w:r>
      <w:r>
        <w:rPr>
          <w:rFonts w:hint="eastAsia"/>
          <w:highlight w:val="none"/>
        </w:rPr>
        <w:t>上签字之日为验收合格之日。</w:t>
      </w:r>
    </w:p>
    <w:p w14:paraId="66E497A0">
      <w:pPr>
        <w:tabs>
          <w:tab w:val="left" w:pos="480"/>
        </w:tabs>
        <w:spacing w:line="360" w:lineRule="auto"/>
        <w:ind w:firstLine="480" w:firstLineChars="200"/>
        <w:outlineLvl w:val="1"/>
        <w:rPr>
          <w:rFonts w:hint="eastAsia"/>
          <w:highlight w:val="none"/>
        </w:rPr>
      </w:pPr>
      <w:r>
        <w:rPr>
          <w:rFonts w:hint="eastAsia"/>
          <w:highlight w:val="none"/>
          <w:lang w:val="en-US" w:eastAsia="zh-CN"/>
        </w:rPr>
        <w:t>5.</w:t>
      </w:r>
      <w:r>
        <w:rPr>
          <w:rFonts w:hint="eastAsia"/>
          <w:highlight w:val="none"/>
        </w:rPr>
        <w:t xml:space="preserve">  验收标准：按</w:t>
      </w:r>
      <w:r>
        <w:rPr>
          <w:rFonts w:hint="eastAsia"/>
          <w:highlight w:val="none"/>
          <w:lang w:val="en-US" w:eastAsia="zh-CN"/>
        </w:rPr>
        <w:t>招标</w:t>
      </w:r>
      <w:r>
        <w:rPr>
          <w:rFonts w:hint="eastAsia"/>
          <w:highlight w:val="none"/>
        </w:rPr>
        <w:t>文件、</w:t>
      </w:r>
      <w:r>
        <w:rPr>
          <w:rFonts w:hint="eastAsia"/>
          <w:highlight w:val="none"/>
          <w:lang w:val="en-US" w:eastAsia="zh-CN"/>
        </w:rPr>
        <w:t>投标</w:t>
      </w:r>
      <w:r>
        <w:rPr>
          <w:rFonts w:hint="eastAsia"/>
          <w:highlight w:val="none"/>
        </w:rPr>
        <w:t>文件等服务指标进行逐项验收，各项指标均应符合验收标准及要求。</w:t>
      </w:r>
    </w:p>
    <w:p w14:paraId="23E3DD69">
      <w:pPr>
        <w:tabs>
          <w:tab w:val="left" w:pos="480"/>
        </w:tabs>
        <w:spacing w:line="360" w:lineRule="auto"/>
        <w:ind w:firstLine="480" w:firstLineChars="200"/>
        <w:outlineLvl w:val="1"/>
        <w:rPr>
          <w:rFonts w:hint="eastAsia"/>
          <w:highlight w:val="none"/>
        </w:rPr>
      </w:pPr>
      <w:r>
        <w:rPr>
          <w:rFonts w:hint="eastAsia"/>
          <w:highlight w:val="none"/>
          <w:lang w:val="en-US" w:eastAsia="zh-CN"/>
        </w:rPr>
        <w:t>5.1</w:t>
      </w:r>
      <w:r>
        <w:rPr>
          <w:rFonts w:hint="eastAsia"/>
          <w:highlight w:val="none"/>
        </w:rPr>
        <w:t xml:space="preserve">  验收合格后，填写验收单，双方盖章、签字生效。</w:t>
      </w:r>
    </w:p>
    <w:p w14:paraId="37DB47F0">
      <w:pPr>
        <w:tabs>
          <w:tab w:val="left" w:pos="480"/>
        </w:tabs>
        <w:spacing w:line="360" w:lineRule="auto"/>
        <w:ind w:firstLine="480" w:firstLineChars="200"/>
        <w:outlineLvl w:val="1"/>
        <w:rPr>
          <w:rFonts w:hint="eastAsia"/>
          <w:highlight w:val="none"/>
        </w:rPr>
      </w:pPr>
      <w:r>
        <w:rPr>
          <w:rFonts w:hint="eastAsia"/>
          <w:highlight w:val="none"/>
          <w:lang w:val="en-US" w:eastAsia="zh-CN"/>
        </w:rPr>
        <w:t>6.</w:t>
      </w:r>
      <w:r>
        <w:rPr>
          <w:rFonts w:hint="eastAsia"/>
          <w:highlight w:val="none"/>
        </w:rPr>
        <w:t xml:space="preserve"> 验收依据</w:t>
      </w:r>
    </w:p>
    <w:p w14:paraId="30C5A121">
      <w:pPr>
        <w:tabs>
          <w:tab w:val="left" w:pos="480"/>
        </w:tabs>
        <w:spacing w:line="360" w:lineRule="auto"/>
        <w:ind w:firstLine="480" w:firstLineChars="200"/>
        <w:outlineLvl w:val="1"/>
        <w:rPr>
          <w:rFonts w:hint="eastAsia"/>
          <w:highlight w:val="none"/>
        </w:rPr>
      </w:pPr>
      <w:r>
        <w:rPr>
          <w:rFonts w:hint="eastAsia"/>
          <w:highlight w:val="none"/>
          <w:lang w:val="en-US" w:eastAsia="zh-CN"/>
        </w:rPr>
        <w:t>6.1</w:t>
      </w:r>
      <w:r>
        <w:rPr>
          <w:rFonts w:hint="eastAsia"/>
          <w:highlight w:val="none"/>
        </w:rPr>
        <w:t xml:space="preserve">  合同文本。</w:t>
      </w:r>
    </w:p>
    <w:p w14:paraId="49C830AC">
      <w:pPr>
        <w:tabs>
          <w:tab w:val="left" w:pos="480"/>
        </w:tabs>
        <w:spacing w:line="360" w:lineRule="auto"/>
        <w:ind w:firstLine="480" w:firstLineChars="200"/>
        <w:outlineLvl w:val="1"/>
        <w:rPr>
          <w:rFonts w:hint="eastAsia"/>
          <w:highlight w:val="none"/>
        </w:rPr>
      </w:pPr>
      <w:r>
        <w:rPr>
          <w:rFonts w:hint="eastAsia"/>
          <w:highlight w:val="none"/>
          <w:lang w:val="en-US" w:eastAsia="zh-CN"/>
        </w:rPr>
        <w:t>6.2</w:t>
      </w:r>
      <w:r>
        <w:rPr>
          <w:rFonts w:hint="eastAsia"/>
          <w:highlight w:val="none"/>
        </w:rPr>
        <w:t xml:space="preserve">  </w:t>
      </w:r>
      <w:r>
        <w:rPr>
          <w:rFonts w:hint="eastAsia"/>
          <w:highlight w:val="none"/>
          <w:lang w:val="en-US" w:eastAsia="zh-CN"/>
        </w:rPr>
        <w:t>招标文件</w:t>
      </w:r>
      <w:r>
        <w:rPr>
          <w:rFonts w:hint="eastAsia"/>
          <w:highlight w:val="none"/>
        </w:rPr>
        <w:t>、</w:t>
      </w:r>
      <w:r>
        <w:rPr>
          <w:rFonts w:hint="eastAsia"/>
          <w:highlight w:val="none"/>
          <w:lang w:val="en-US" w:eastAsia="zh-CN"/>
        </w:rPr>
        <w:t>投标</w:t>
      </w:r>
      <w:r>
        <w:rPr>
          <w:rFonts w:hint="eastAsia"/>
          <w:highlight w:val="none"/>
        </w:rPr>
        <w:t>文件、澄清函。</w:t>
      </w:r>
    </w:p>
    <w:p w14:paraId="4E4205C4">
      <w:pPr>
        <w:tabs>
          <w:tab w:val="left" w:pos="480"/>
        </w:tabs>
        <w:spacing w:line="360" w:lineRule="auto"/>
        <w:ind w:firstLine="480" w:firstLineChars="200"/>
        <w:outlineLvl w:val="1"/>
        <w:rPr>
          <w:rFonts w:hint="eastAsia"/>
          <w:highlight w:val="none"/>
        </w:rPr>
      </w:pPr>
      <w:r>
        <w:rPr>
          <w:rFonts w:hint="eastAsia"/>
          <w:highlight w:val="none"/>
          <w:lang w:val="en-US" w:eastAsia="zh-CN"/>
        </w:rPr>
        <w:t>6.3</w:t>
      </w:r>
      <w:r>
        <w:rPr>
          <w:rFonts w:hint="eastAsia"/>
          <w:highlight w:val="none"/>
        </w:rPr>
        <w:t xml:space="preserve"> 国家和行业制定的相应的标准和规范。</w:t>
      </w:r>
    </w:p>
    <w:p w14:paraId="5CDED0EF">
      <w:pPr>
        <w:tabs>
          <w:tab w:val="left" w:pos="480"/>
        </w:tabs>
        <w:spacing w:line="360" w:lineRule="auto"/>
        <w:outlineLvl w:val="1"/>
        <w:rPr>
          <w:rFonts w:hAnsi="宋体" w:cs="宋体"/>
          <w:b/>
          <w:szCs w:val="21"/>
          <w:highlight w:val="none"/>
        </w:rPr>
      </w:pPr>
      <w:r>
        <w:rPr>
          <w:rFonts w:hint="eastAsia" w:hAnsi="宋体" w:cs="宋体"/>
          <w:b/>
          <w:szCs w:val="21"/>
          <w:highlight w:val="none"/>
          <w:lang w:val="en-US" w:eastAsia="zh-CN"/>
        </w:rPr>
        <w:t>六</w:t>
      </w:r>
      <w:r>
        <w:rPr>
          <w:rFonts w:hint="eastAsia" w:hAnsi="宋体" w:cs="宋体"/>
          <w:b/>
          <w:szCs w:val="21"/>
          <w:highlight w:val="none"/>
        </w:rPr>
        <w:t>、违约责任</w:t>
      </w:r>
    </w:p>
    <w:p w14:paraId="547D5C02">
      <w:pPr>
        <w:tabs>
          <w:tab w:val="left" w:pos="480"/>
        </w:tabs>
        <w:spacing w:line="360" w:lineRule="auto"/>
        <w:ind w:firstLine="480" w:firstLineChars="200"/>
        <w:outlineLvl w:val="1"/>
        <w:rPr>
          <w:rFonts w:hint="eastAsia" w:hAnsi="宋体" w:cs="宋体"/>
          <w:szCs w:val="21"/>
          <w:highlight w:val="none"/>
        </w:rPr>
      </w:pPr>
      <w:bookmarkStart w:id="81" w:name="_Toc15856"/>
      <w:bookmarkStart w:id="82" w:name="_Toc13662"/>
      <w:bookmarkStart w:id="83" w:name="_Toc15454"/>
      <w:r>
        <w:rPr>
          <w:rFonts w:hint="eastAsia" w:hAnsi="宋体" w:cs="宋体"/>
          <w:szCs w:val="21"/>
          <w:highlight w:val="none"/>
        </w:rPr>
        <w:t>1、按《民法典》中的相关条款执行。</w:t>
      </w:r>
    </w:p>
    <w:p w14:paraId="52C4D46C">
      <w:pPr>
        <w:tabs>
          <w:tab w:val="left" w:pos="480"/>
        </w:tabs>
        <w:spacing w:line="360" w:lineRule="auto"/>
        <w:ind w:firstLine="480" w:firstLineChars="200"/>
        <w:outlineLvl w:val="1"/>
        <w:rPr>
          <w:rFonts w:hint="eastAsia" w:hAnsi="宋体" w:cs="宋体"/>
          <w:szCs w:val="21"/>
          <w:highlight w:val="none"/>
        </w:rPr>
      </w:pPr>
      <w:r>
        <w:rPr>
          <w:rFonts w:hint="eastAsia" w:hAnsi="宋体" w:cs="宋体"/>
          <w:szCs w:val="21"/>
          <w:highlight w:val="none"/>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278DEF15">
      <w:pPr>
        <w:tabs>
          <w:tab w:val="left" w:pos="480"/>
        </w:tabs>
        <w:spacing w:line="360" w:lineRule="auto"/>
        <w:ind w:firstLine="480" w:firstLineChars="200"/>
        <w:outlineLvl w:val="1"/>
        <w:rPr>
          <w:rFonts w:hint="eastAsia" w:hAnsi="宋体" w:cs="宋体"/>
          <w:szCs w:val="21"/>
          <w:highlight w:val="none"/>
        </w:rPr>
      </w:pPr>
      <w:r>
        <w:rPr>
          <w:rFonts w:hint="eastAsia" w:hAnsi="宋体" w:cs="宋体"/>
          <w:szCs w:val="21"/>
          <w:highlight w:val="none"/>
        </w:rPr>
        <w:t>3、由于“疫情”等不可抗力因素造成无法按照原计划提供服务，双方互不追究违约责任。</w:t>
      </w:r>
    </w:p>
    <w:p w14:paraId="5FB28CFA">
      <w:pPr>
        <w:tabs>
          <w:tab w:val="left" w:pos="480"/>
        </w:tabs>
        <w:spacing w:line="360" w:lineRule="auto"/>
        <w:ind w:firstLine="480" w:firstLineChars="200"/>
        <w:outlineLvl w:val="1"/>
        <w:rPr>
          <w:rFonts w:hint="eastAsia" w:hAnsi="宋体" w:cs="宋体"/>
          <w:szCs w:val="21"/>
          <w:highlight w:val="none"/>
        </w:rPr>
      </w:pPr>
      <w:r>
        <w:rPr>
          <w:rFonts w:hint="eastAsia" w:hAnsi="宋体" w:cs="宋体"/>
          <w:szCs w:val="21"/>
          <w:highlight w:val="none"/>
        </w:rPr>
        <w:t>4、如有异议另行协商。</w:t>
      </w:r>
    </w:p>
    <w:p w14:paraId="4AB172F6">
      <w:pPr>
        <w:tabs>
          <w:tab w:val="left" w:pos="480"/>
        </w:tabs>
        <w:spacing w:line="360" w:lineRule="auto"/>
        <w:outlineLvl w:val="1"/>
        <w:rPr>
          <w:rFonts w:hAnsi="宋体" w:cs="宋体"/>
          <w:b/>
          <w:szCs w:val="21"/>
          <w:highlight w:val="none"/>
        </w:rPr>
      </w:pPr>
      <w:r>
        <w:rPr>
          <w:rFonts w:hint="eastAsia" w:hAnsi="宋体" w:cs="宋体"/>
          <w:b/>
          <w:szCs w:val="21"/>
          <w:highlight w:val="none"/>
          <w:lang w:val="en-US" w:eastAsia="zh-CN"/>
        </w:rPr>
        <w:t>七</w:t>
      </w:r>
      <w:r>
        <w:rPr>
          <w:rFonts w:hint="eastAsia" w:hAnsi="宋体" w:cs="宋体"/>
          <w:b/>
          <w:szCs w:val="21"/>
          <w:highlight w:val="none"/>
        </w:rPr>
        <w:t>、合同争议解决的方式</w:t>
      </w:r>
      <w:bookmarkEnd w:id="81"/>
      <w:bookmarkEnd w:id="82"/>
      <w:bookmarkEnd w:id="83"/>
    </w:p>
    <w:p w14:paraId="6A5D2E4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w:t>
      </w:r>
      <w:r>
        <w:rPr>
          <w:rFonts w:hint="eastAsia" w:hAnsi="宋体" w:cs="宋体"/>
          <w:szCs w:val="21"/>
          <w:highlight w:val="none"/>
          <w:u w:val="single"/>
        </w:rPr>
        <w:t xml:space="preserve">    </w:t>
      </w:r>
      <w:r>
        <w:rPr>
          <w:rFonts w:hint="eastAsia" w:hAnsi="宋体" w:cs="宋体"/>
          <w:szCs w:val="21"/>
          <w:highlight w:val="none"/>
        </w:rPr>
        <w:t>种方式解决：</w:t>
      </w:r>
    </w:p>
    <w:p w14:paraId="0954A39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w:t>
      </w:r>
      <w:r>
        <w:rPr>
          <w:rFonts w:hint="eastAsia" w:hAnsi="宋体" w:cs="宋体"/>
          <w:szCs w:val="21"/>
          <w:highlight w:val="none"/>
          <w:u w:val="single"/>
        </w:rPr>
        <w:t xml:space="preserve">        </w:t>
      </w:r>
      <w:r>
        <w:rPr>
          <w:rFonts w:hint="eastAsia" w:hAnsi="宋体" w:cs="宋体"/>
          <w:szCs w:val="21"/>
          <w:highlight w:val="none"/>
        </w:rPr>
        <w:t>仲裁委员会仲裁；</w:t>
      </w:r>
    </w:p>
    <w:p w14:paraId="4734889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（二）依法向 </w:t>
      </w:r>
      <w:r>
        <w:rPr>
          <w:rFonts w:hint="eastAsia" w:hAnsi="宋体" w:cs="宋体"/>
          <w:szCs w:val="21"/>
          <w:highlight w:val="none"/>
          <w:u w:val="single"/>
        </w:rPr>
        <w:t xml:space="preserve">       </w:t>
      </w:r>
      <w:r>
        <w:rPr>
          <w:rFonts w:hint="eastAsia" w:hAnsi="宋体" w:cs="宋体"/>
          <w:szCs w:val="21"/>
          <w:highlight w:val="none"/>
        </w:rPr>
        <w:t>所在地人民法院起诉。</w:t>
      </w:r>
    </w:p>
    <w:p w14:paraId="090AC29C">
      <w:pPr>
        <w:tabs>
          <w:tab w:val="left" w:pos="480"/>
        </w:tabs>
        <w:spacing w:line="360" w:lineRule="auto"/>
        <w:outlineLvl w:val="1"/>
        <w:rPr>
          <w:rFonts w:hAnsi="宋体" w:cs="宋体"/>
          <w:b/>
          <w:szCs w:val="21"/>
          <w:highlight w:val="none"/>
        </w:rPr>
      </w:pPr>
      <w:bookmarkStart w:id="84" w:name="_Toc18389"/>
      <w:bookmarkStart w:id="85" w:name="_Toc5573"/>
      <w:bookmarkStart w:id="86" w:name="_Toc7342"/>
      <w:r>
        <w:rPr>
          <w:rFonts w:hint="eastAsia" w:hAnsi="宋体" w:cs="宋体"/>
          <w:b/>
          <w:szCs w:val="21"/>
          <w:highlight w:val="none"/>
          <w:lang w:val="en-US" w:eastAsia="zh-CN"/>
        </w:rPr>
        <w:t>八</w:t>
      </w:r>
      <w:r>
        <w:rPr>
          <w:rFonts w:hint="eastAsia" w:hAnsi="宋体" w:cs="宋体"/>
          <w:b/>
          <w:szCs w:val="21"/>
          <w:highlight w:val="none"/>
        </w:rPr>
        <w:t>、合同生效</w:t>
      </w:r>
      <w:bookmarkEnd w:id="84"/>
      <w:bookmarkEnd w:id="85"/>
      <w:bookmarkEnd w:id="86"/>
    </w:p>
    <w:p w14:paraId="710CF70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w:t>
      </w:r>
      <w:r>
        <w:rPr>
          <w:rFonts w:hint="eastAsia" w:hAnsi="宋体" w:cs="宋体"/>
          <w:szCs w:val="21"/>
          <w:highlight w:val="none"/>
          <w:u w:val="single"/>
        </w:rPr>
        <w:t xml:space="preserve">   </w:t>
      </w:r>
      <w:r>
        <w:rPr>
          <w:rFonts w:hint="eastAsia" w:hAnsi="宋体" w:cs="宋体"/>
          <w:szCs w:val="21"/>
          <w:highlight w:val="none"/>
        </w:rPr>
        <w:t>份，甲方执</w:t>
      </w:r>
      <w:r>
        <w:rPr>
          <w:rFonts w:hint="eastAsia" w:hAnsi="宋体" w:cs="宋体"/>
          <w:szCs w:val="21"/>
          <w:highlight w:val="none"/>
          <w:u w:val="single"/>
        </w:rPr>
        <w:t xml:space="preserve">   </w:t>
      </w:r>
      <w:r>
        <w:rPr>
          <w:rFonts w:hint="eastAsia" w:hAnsi="宋体" w:cs="宋体"/>
          <w:szCs w:val="21"/>
          <w:highlight w:val="none"/>
        </w:rPr>
        <w:t>份，乙方执</w:t>
      </w:r>
      <w:r>
        <w:rPr>
          <w:rFonts w:hint="eastAsia" w:hAnsi="宋体" w:cs="宋体"/>
          <w:szCs w:val="21"/>
          <w:highlight w:val="none"/>
          <w:u w:val="single"/>
        </w:rPr>
        <w:t xml:space="preserve">    </w:t>
      </w:r>
      <w:r>
        <w:rPr>
          <w:rFonts w:hint="eastAsia" w:hAnsi="宋体" w:cs="宋体"/>
          <w:szCs w:val="21"/>
          <w:highlight w:val="none"/>
        </w:rPr>
        <w:t>份，本合同甲、乙、确认各方签字盖章后生效，合同执行完毕后，自动失效（合同的服务承诺则长期有效）。</w:t>
      </w:r>
    </w:p>
    <w:p w14:paraId="0C5452AE">
      <w:pPr>
        <w:tabs>
          <w:tab w:val="left" w:pos="480"/>
        </w:tabs>
        <w:spacing w:line="360" w:lineRule="auto"/>
        <w:outlineLvl w:val="1"/>
        <w:rPr>
          <w:rFonts w:hAnsi="宋体" w:cs="宋体"/>
          <w:b/>
          <w:szCs w:val="21"/>
          <w:highlight w:val="none"/>
        </w:rPr>
      </w:pPr>
      <w:bookmarkStart w:id="87" w:name="_Toc18381"/>
      <w:bookmarkStart w:id="88" w:name="_Toc9178"/>
      <w:bookmarkStart w:id="89" w:name="_Toc823"/>
      <w:r>
        <w:rPr>
          <w:rFonts w:hint="eastAsia" w:hAnsi="宋体" w:cs="宋体"/>
          <w:b/>
          <w:szCs w:val="21"/>
          <w:highlight w:val="none"/>
          <w:lang w:val="en-US" w:eastAsia="zh-CN"/>
        </w:rPr>
        <w:t>九</w:t>
      </w:r>
      <w:r>
        <w:rPr>
          <w:rFonts w:hint="eastAsia" w:hAnsi="宋体" w:cs="宋体"/>
          <w:b/>
          <w:szCs w:val="21"/>
          <w:highlight w:val="none"/>
        </w:rPr>
        <w:t>、其他事项</w:t>
      </w:r>
      <w:bookmarkEnd w:id="87"/>
      <w:bookmarkEnd w:id="88"/>
      <w:bookmarkEnd w:id="89"/>
    </w:p>
    <w:p w14:paraId="2D8A1CB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w:t>
      </w:r>
      <w:r>
        <w:rPr>
          <w:rFonts w:hint="eastAsia" w:hAnsi="宋体" w:cs="宋体"/>
          <w:szCs w:val="21"/>
          <w:highlight w:val="none"/>
          <w:lang w:eastAsia="zh-CN"/>
        </w:rPr>
        <w:t>招标文件</w:t>
      </w:r>
      <w:r>
        <w:rPr>
          <w:rFonts w:hint="eastAsia" w:hAnsi="宋体" w:cs="宋体"/>
          <w:szCs w:val="21"/>
          <w:highlight w:val="none"/>
        </w:rPr>
        <w:t>、</w:t>
      </w:r>
      <w:r>
        <w:rPr>
          <w:rFonts w:hint="eastAsia" w:hAnsi="宋体" w:cs="宋体"/>
          <w:szCs w:val="21"/>
          <w:highlight w:val="none"/>
          <w:lang w:eastAsia="zh-CN"/>
        </w:rPr>
        <w:t>投标文件</w:t>
      </w:r>
      <w:r>
        <w:rPr>
          <w:rFonts w:hint="eastAsia" w:hAnsi="宋体" w:cs="宋体"/>
          <w:szCs w:val="21"/>
          <w:highlight w:val="none"/>
        </w:rPr>
        <w:t>、澄清表（函）、成交通知书、合同附件均成为合同不可分割的部分。</w:t>
      </w:r>
    </w:p>
    <w:p w14:paraId="4F80C158">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2256DF32">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411F4EA5">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1779892D">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508FB92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4455EC14">
      <w:pPr>
        <w:tabs>
          <w:tab w:val="left" w:pos="480"/>
        </w:tabs>
        <w:spacing w:line="360" w:lineRule="auto"/>
        <w:ind w:firstLine="480" w:firstLineChars="200"/>
        <w:rPr>
          <w:rFonts w:hint="eastAsia" w:hAnsi="宋体" w:cs="宋体"/>
          <w:szCs w:val="21"/>
          <w:highlight w:val="none"/>
        </w:rPr>
      </w:pPr>
    </w:p>
    <w:p w14:paraId="7C043844">
      <w:pPr>
        <w:tabs>
          <w:tab w:val="left" w:pos="480"/>
        </w:tabs>
        <w:spacing w:line="360" w:lineRule="auto"/>
        <w:rPr>
          <w:rFonts w:hint="eastAsia" w:hAnsi="宋体" w:cs="宋体"/>
          <w:szCs w:val="21"/>
          <w:highlight w:val="none"/>
        </w:rPr>
      </w:pPr>
    </w:p>
    <w:p w14:paraId="37BF951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3945AA4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0626DDA8">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244EFE3C">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6DFF2879">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29973F2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25D4B0E9">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371382E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1BCF84C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29458754">
      <w:pPr>
        <w:tabs>
          <w:tab w:val="left" w:pos="480"/>
        </w:tabs>
        <w:spacing w:line="360" w:lineRule="auto"/>
        <w:ind w:firstLine="480" w:firstLineChars="200"/>
        <w:rPr>
          <w:rFonts w:hAnsi="宋体" w:cs="宋体"/>
          <w:szCs w:val="21"/>
          <w:highlight w:val="none"/>
        </w:rPr>
      </w:pPr>
    </w:p>
    <w:p w14:paraId="3FB91D9D">
      <w:pPr>
        <w:pStyle w:val="2"/>
        <w:jc w:val="center"/>
        <w:rPr>
          <w:rFonts w:ascii="宋体" w:eastAsia="宋体" w:cs="宋体"/>
          <w:sz w:val="36"/>
          <w:szCs w:val="36"/>
          <w:highlight w:val="none"/>
        </w:rPr>
      </w:pPr>
      <w:r>
        <w:rPr>
          <w:rFonts w:hint="eastAsia" w:hAnsi="宋体" w:cs="宋体"/>
          <w:b/>
          <w:szCs w:val="21"/>
          <w:highlight w:val="none"/>
        </w:rPr>
        <w:br w:type="page"/>
      </w:r>
      <w:bookmarkEnd w:id="69"/>
      <w:bookmarkEnd w:id="70"/>
      <w:bookmarkEnd w:id="71"/>
      <w:bookmarkEnd w:id="72"/>
      <w:bookmarkEnd w:id="73"/>
      <w:bookmarkEnd w:id="74"/>
      <w:bookmarkEnd w:id="75"/>
      <w:bookmarkEnd w:id="76"/>
      <w:bookmarkEnd w:id="77"/>
      <w:bookmarkEnd w:id="78"/>
      <w:bookmarkEnd w:id="79"/>
      <w:bookmarkEnd w:id="80"/>
      <w:bookmarkStart w:id="90" w:name="_Toc25246"/>
      <w:r>
        <w:rPr>
          <w:rFonts w:hint="eastAsia" w:ascii="宋体" w:eastAsia="宋体" w:cs="宋体"/>
          <w:sz w:val="36"/>
          <w:szCs w:val="36"/>
          <w:highlight w:val="none"/>
        </w:rPr>
        <w:t>第四章  采购内容及技术要求</w:t>
      </w:r>
      <w:bookmarkEnd w:id="90"/>
    </w:p>
    <w:bookmarkEnd w:id="55"/>
    <w:bookmarkEnd w:id="61"/>
    <w:bookmarkEnd w:id="62"/>
    <w:bookmarkEnd w:id="63"/>
    <w:bookmarkEnd w:id="64"/>
    <w:bookmarkEnd w:id="65"/>
    <w:bookmarkEnd w:id="66"/>
    <w:bookmarkEnd w:id="67"/>
    <w:bookmarkEnd w:id="68"/>
    <w:p w14:paraId="76333F28">
      <w:pPr>
        <w:pStyle w:val="55"/>
        <w:numPr>
          <w:ilvl w:val="0"/>
          <w:numId w:val="0"/>
        </w:numPr>
        <w:spacing w:line="360" w:lineRule="auto"/>
        <w:ind w:leftChars="0"/>
        <w:outlineLvl w:val="0"/>
        <w:rPr>
          <w:rFonts w:hint="eastAsia" w:ascii="宋体" w:hAnsi="宋体" w:eastAsia="宋体" w:cs="宋体"/>
          <w:b/>
          <w:bCs/>
          <w:sz w:val="24"/>
          <w:szCs w:val="24"/>
          <w:highlight w:val="none"/>
        </w:rPr>
      </w:pPr>
      <w:bookmarkStart w:id="91" w:name="_Toc151541773"/>
      <w:bookmarkStart w:id="92" w:name="_Toc10625"/>
      <w:bookmarkStart w:id="93" w:name="_Toc426457698"/>
      <w:bookmarkStart w:id="94" w:name="_Toc22538"/>
      <w:bookmarkStart w:id="95" w:name="_Toc8126"/>
      <w:bookmarkStart w:id="96" w:name="_Toc8830"/>
      <w:bookmarkStart w:id="97" w:name="_Toc363474025"/>
      <w:bookmarkStart w:id="98" w:name="_Toc28411"/>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建设</w:t>
      </w:r>
      <w:bookmarkEnd w:id="91"/>
      <w:r>
        <w:rPr>
          <w:rFonts w:hint="eastAsia" w:ascii="宋体" w:hAnsi="宋体" w:eastAsia="宋体" w:cs="宋体"/>
          <w:b/>
          <w:bCs/>
          <w:sz w:val="24"/>
          <w:szCs w:val="24"/>
          <w:highlight w:val="none"/>
        </w:rPr>
        <w:t>内容技术要求</w:t>
      </w:r>
    </w:p>
    <w:p w14:paraId="6805A1CB">
      <w:pPr>
        <w:pStyle w:val="55"/>
        <w:numPr>
          <w:ilvl w:val="1"/>
          <w:numId w:val="6"/>
        </w:numPr>
        <w:spacing w:line="360" w:lineRule="auto"/>
        <w:ind w:left="0" w:firstLine="0" w:firstLineChars="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总体要求</w:t>
      </w:r>
    </w:p>
    <w:p w14:paraId="270AE03D">
      <w:pPr>
        <w:pStyle w:val="58"/>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本次项目建设要求保留“汉中市人民医院互联网医院”微信公众号现有的功能服务，并满足以下要求：</w:t>
      </w:r>
    </w:p>
    <w:p w14:paraId="67493DA1">
      <w:pPr>
        <w:pStyle w:val="58"/>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1.★本项目要求投标人承诺本次建设的系统要与采购人现有的互联网医院患者移动服务平台、互联网诊疗平台系统实施无缝连接，遵循医院标准及主数据标准，</w:t>
      </w:r>
      <w:r>
        <w:rPr>
          <w:rFonts w:hint="eastAsia" w:ascii="宋体" w:hAnsi="宋体" w:eastAsia="宋体" w:cs="宋体"/>
          <w:sz w:val="24"/>
          <w:szCs w:val="24"/>
          <w:highlight w:val="none"/>
          <w:lang w:val="en-US" w:eastAsia="zh-CN"/>
        </w:rPr>
        <w:t>根据医院实际需要对接相关信息系统（包括但不限于HIS、LIS、PACS、集成平台等）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院方协助完成对接</w:t>
      </w:r>
      <w:r>
        <w:rPr>
          <w:rFonts w:hint="eastAsia" w:ascii="宋体" w:hAnsi="宋体" w:eastAsia="宋体" w:cs="宋体"/>
          <w:sz w:val="24"/>
          <w:szCs w:val="24"/>
          <w:highlight w:val="none"/>
        </w:rPr>
        <w:t>实现数据共享与互联互通</w:t>
      </w:r>
      <w:r>
        <w:rPr>
          <w:rFonts w:hint="eastAsia" w:ascii="宋体" w:hAnsi="宋体" w:eastAsia="宋体" w:cs="宋体"/>
          <w:sz w:val="24"/>
          <w:szCs w:val="24"/>
          <w:highlight w:val="none"/>
          <w:lang w:val="en-US" w:eastAsia="zh-CN"/>
        </w:rPr>
        <w:t>，相关费用包含在本项目预算中</w:t>
      </w:r>
      <w:r>
        <w:rPr>
          <w:rFonts w:hint="eastAsia" w:ascii="宋体" w:hAnsi="宋体" w:eastAsia="宋体" w:cs="宋体"/>
          <w:sz w:val="24"/>
          <w:szCs w:val="24"/>
          <w:highlight w:val="none"/>
        </w:rPr>
        <w:t>。</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sz w:val="24"/>
          <w:szCs w:val="24"/>
          <w:highlight w:val="none"/>
        </w:rPr>
        <w:t>供应商需提供承诺函）</w:t>
      </w:r>
    </w:p>
    <w:p w14:paraId="7FCE2F89">
      <w:pPr>
        <w:pStyle w:val="58"/>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2.本项目要求投标人承诺本次建设内容要与采购人现有的互联网医院患者移动服务平台、互联网诊疗平台等系统保持一致。</w:t>
      </w:r>
    </w:p>
    <w:p w14:paraId="2402AA1C">
      <w:pPr>
        <w:pStyle w:val="58"/>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3.本次项目建设完成后，患者以微信公众号</w:t>
      </w:r>
      <w:r>
        <w:rPr>
          <w:rFonts w:hint="eastAsia" w:ascii="宋体" w:hAnsi="宋体" w:eastAsia="宋体" w:cs="宋体"/>
          <w:sz w:val="24"/>
          <w:szCs w:val="24"/>
          <w:highlight w:val="none"/>
          <w:lang w:val="en-US" w:eastAsia="zh-CN"/>
        </w:rPr>
        <w:t>或支付宝小程序</w:t>
      </w:r>
      <w:r>
        <w:rPr>
          <w:rFonts w:hint="eastAsia" w:ascii="宋体" w:hAnsi="宋体" w:eastAsia="宋体" w:cs="宋体"/>
          <w:sz w:val="24"/>
          <w:szCs w:val="24"/>
          <w:highlight w:val="none"/>
        </w:rPr>
        <w:t>作为线上服务的统一入口，调用</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业务应用</w:t>
      </w:r>
      <w:r>
        <w:rPr>
          <w:rFonts w:hint="eastAsia" w:ascii="宋体" w:hAnsi="宋体" w:eastAsia="宋体" w:cs="宋体"/>
          <w:sz w:val="24"/>
          <w:szCs w:val="24"/>
          <w:highlight w:val="none"/>
          <w:lang w:eastAsia="zh-CN"/>
        </w:rPr>
        <w:t>。</w:t>
      </w:r>
    </w:p>
    <w:p w14:paraId="190F5925">
      <w:pPr>
        <w:pStyle w:val="58"/>
        <w:spacing w:line="360" w:lineRule="auto"/>
        <w:ind w:firstLine="480"/>
        <w:rPr>
          <w:rFonts w:hint="eastAsia" w:ascii="宋体" w:hAnsi="宋体" w:eastAsia="宋体" w:cs="宋体"/>
          <w:b/>
          <w:bCs/>
          <w:sz w:val="24"/>
          <w:szCs w:val="24"/>
          <w:highlight w:val="none"/>
        </w:rPr>
      </w:pPr>
      <w:r>
        <w:rPr>
          <w:rFonts w:hint="eastAsia" w:ascii="宋体" w:hAnsi="宋体" w:eastAsia="宋体" w:cs="宋体"/>
          <w:sz w:val="24"/>
          <w:szCs w:val="24"/>
          <w:highlight w:val="none"/>
        </w:rPr>
        <w:t>4、★本次升级内容需要</w:t>
      </w:r>
      <w:r>
        <w:rPr>
          <w:rFonts w:hint="eastAsia" w:ascii="宋体" w:hAnsi="宋体" w:eastAsia="宋体" w:cs="宋体"/>
          <w:sz w:val="24"/>
          <w:szCs w:val="24"/>
          <w:highlight w:val="none"/>
          <w:lang w:val="en-US" w:eastAsia="zh-CN"/>
        </w:rPr>
        <w:t>按照</w:t>
      </w:r>
      <w:r>
        <w:rPr>
          <w:rFonts w:hint="eastAsia" w:ascii="宋体" w:hAnsi="宋体" w:eastAsia="宋体" w:cs="宋体"/>
          <w:sz w:val="24"/>
          <w:szCs w:val="24"/>
          <w:highlight w:val="none"/>
        </w:rPr>
        <w:t>已有功能的标准</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rPr>
        <w:t>升级，</w:t>
      </w:r>
      <w:r>
        <w:rPr>
          <w:rFonts w:hint="eastAsia" w:ascii="宋体" w:hAnsi="宋体" w:eastAsia="宋体" w:cs="宋体"/>
          <w:sz w:val="24"/>
          <w:szCs w:val="24"/>
          <w:highlight w:val="none"/>
          <w:lang w:val="en-US" w:eastAsia="zh-CN"/>
        </w:rPr>
        <w:t>完成</w:t>
      </w:r>
      <w:r>
        <w:rPr>
          <w:rFonts w:hint="eastAsia" w:ascii="宋体" w:hAnsi="宋体" w:eastAsia="宋体" w:cs="宋体"/>
          <w:sz w:val="24"/>
          <w:szCs w:val="24"/>
          <w:highlight w:val="none"/>
        </w:rPr>
        <w:t>新增功能的建设。</w:t>
      </w:r>
      <w:r>
        <w:rPr>
          <w:rFonts w:hint="eastAsia" w:ascii="宋体" w:hAnsi="宋体" w:eastAsia="宋体" w:cs="宋体"/>
          <w:b/>
          <w:bCs/>
          <w:color w:val="000000" w:themeColor="text1"/>
          <w:sz w:val="24"/>
          <w:szCs w:val="24"/>
          <w:highlight w:val="none"/>
          <w14:textFill>
            <w14:solidFill>
              <w14:schemeClr w14:val="tx1"/>
            </w14:solidFill>
          </w14:textFill>
        </w:rPr>
        <w:t>（供应商需提供承诺函）</w:t>
      </w:r>
    </w:p>
    <w:p w14:paraId="41E53EBD">
      <w:pPr>
        <w:pStyle w:val="55"/>
        <w:numPr>
          <w:ilvl w:val="1"/>
          <w:numId w:val="6"/>
        </w:numPr>
        <w:spacing w:line="360" w:lineRule="auto"/>
        <w:ind w:left="0" w:firstLine="0" w:firstLineChars="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建设清单</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837"/>
        <w:gridCol w:w="4385"/>
      </w:tblGrid>
      <w:tr w14:paraId="418C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71" w:type="dxa"/>
            <w:vAlign w:val="center"/>
          </w:tcPr>
          <w:p w14:paraId="2F11ADB3">
            <w:pPr>
              <w:pStyle w:val="7"/>
              <w:spacing w:line="36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3837" w:type="dxa"/>
            <w:vAlign w:val="center"/>
          </w:tcPr>
          <w:p w14:paraId="5441711C">
            <w:pPr>
              <w:pStyle w:val="7"/>
              <w:spacing w:line="36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4385" w:type="dxa"/>
            <w:vAlign w:val="center"/>
          </w:tcPr>
          <w:p w14:paraId="6D9D2B24">
            <w:pPr>
              <w:pStyle w:val="7"/>
              <w:spacing w:line="36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所属行业</w:t>
            </w:r>
          </w:p>
        </w:tc>
      </w:tr>
      <w:tr w14:paraId="69DF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71" w:type="dxa"/>
            <w:vAlign w:val="center"/>
          </w:tcPr>
          <w:p w14:paraId="587180C5">
            <w:pPr>
              <w:pStyle w:val="7"/>
              <w:spacing w:line="360" w:lineRule="auto"/>
              <w:ind w:firstLine="0" w:firstLineChars="0"/>
              <w:jc w:val="center"/>
              <w:rPr>
                <w:rFonts w:hint="eastAsia" w:ascii="宋体" w:hAnsi="宋体" w:eastAsia="宋体" w:cs="宋体"/>
                <w:bCs/>
                <w:sz w:val="24"/>
                <w:szCs w:val="24"/>
                <w:highlight w:val="none"/>
              </w:rPr>
            </w:pPr>
            <w:bookmarkStart w:id="99" w:name="OLE_LINK8" w:colFirst="0" w:colLast="3"/>
            <w:bookmarkStart w:id="100" w:name="OLE_LINK7" w:colFirst="1" w:colLast="3"/>
            <w:r>
              <w:rPr>
                <w:rFonts w:hint="eastAsia" w:ascii="宋体" w:hAnsi="宋体" w:eastAsia="宋体" w:cs="宋体"/>
                <w:bCs/>
                <w:sz w:val="24"/>
                <w:szCs w:val="24"/>
                <w:highlight w:val="none"/>
              </w:rPr>
              <w:t>1</w:t>
            </w:r>
          </w:p>
        </w:tc>
        <w:tc>
          <w:tcPr>
            <w:tcW w:w="3837" w:type="dxa"/>
            <w:vAlign w:val="center"/>
          </w:tcPr>
          <w:p w14:paraId="1565E1BB">
            <w:pPr>
              <w:pStyle w:val="7"/>
              <w:spacing w:line="36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互联网医院升级服务项目</w:t>
            </w:r>
          </w:p>
        </w:tc>
        <w:tc>
          <w:tcPr>
            <w:tcW w:w="4385" w:type="dxa"/>
            <w:vAlign w:val="center"/>
          </w:tcPr>
          <w:p w14:paraId="00918673">
            <w:pPr>
              <w:pStyle w:val="7"/>
              <w:spacing w:line="360" w:lineRule="auto"/>
              <w:ind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软件和信息技术服务业</w:t>
            </w:r>
          </w:p>
        </w:tc>
      </w:tr>
      <w:bookmarkEnd w:id="99"/>
      <w:bookmarkEnd w:id="100"/>
    </w:tbl>
    <w:p w14:paraId="485990B8">
      <w:pPr>
        <w:pStyle w:val="58"/>
        <w:spacing w:line="360" w:lineRule="auto"/>
        <w:ind w:firstLine="0" w:firstLineChars="0"/>
        <w:rPr>
          <w:rFonts w:hint="eastAsia" w:ascii="宋体" w:hAnsi="宋体" w:eastAsia="宋体" w:cs="宋体"/>
          <w:sz w:val="24"/>
          <w:szCs w:val="24"/>
          <w:highlight w:val="none"/>
        </w:rPr>
      </w:pPr>
    </w:p>
    <w:p w14:paraId="1544BA15">
      <w:pPr>
        <w:pStyle w:val="55"/>
        <w:numPr>
          <w:ilvl w:val="1"/>
          <w:numId w:val="6"/>
        </w:numPr>
        <w:spacing w:line="360" w:lineRule="auto"/>
        <w:ind w:left="0" w:firstLine="0" w:firstLineChars="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建设功能模块</w:t>
      </w:r>
    </w:p>
    <w:p w14:paraId="08A37D2B">
      <w:pPr>
        <w:pStyle w:val="7"/>
        <w:spacing w:line="360" w:lineRule="auto"/>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患者以医院现有微信公众号</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或支付宝小程序</w:t>
      </w:r>
      <w:r>
        <w:rPr>
          <w:rFonts w:hint="eastAsia" w:ascii="宋体" w:hAnsi="宋体" w:eastAsia="宋体" w:cs="宋体"/>
          <w:color w:val="000000" w:themeColor="text1"/>
          <w:sz w:val="24"/>
          <w:szCs w:val="24"/>
          <w:highlight w:val="none"/>
          <w14:textFill>
            <w14:solidFill>
              <w14:schemeClr w14:val="tx1"/>
            </w14:solidFill>
          </w14:textFill>
        </w:rPr>
        <w:t>为入口，获取患者互联网医院服务应用。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32"/>
        <w:gridCol w:w="1436"/>
        <w:gridCol w:w="6012"/>
      </w:tblGrid>
      <w:tr w14:paraId="325F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Borders>
              <w:bottom w:val="single" w:color="auto" w:sz="4" w:space="0"/>
            </w:tcBorders>
            <w:shd w:val="clear" w:color="auto" w:fill="auto"/>
            <w:vAlign w:val="center"/>
          </w:tcPr>
          <w:p w14:paraId="03057D51">
            <w:pPr>
              <w:pStyle w:val="39"/>
              <w:spacing w:before="92" w:line="360" w:lineRule="auto"/>
              <w:jc w:val="center"/>
              <w:rPr>
                <w:rFonts w:hint="eastAsia" w:ascii="宋体" w:hAnsi="宋体" w:eastAsia="宋体" w:cs="宋体"/>
                <w:b/>
                <w:bCs/>
                <w:w w:val="105"/>
                <w:sz w:val="24"/>
                <w:szCs w:val="24"/>
                <w:highlight w:val="none"/>
                <w:lang w:eastAsia="zh-CN"/>
              </w:rPr>
            </w:pPr>
            <w:r>
              <w:rPr>
                <w:rFonts w:hint="eastAsia" w:ascii="宋体" w:hAnsi="宋体" w:eastAsia="宋体" w:cs="宋体"/>
                <w:b/>
                <w:bCs/>
                <w:w w:val="105"/>
                <w:sz w:val="24"/>
                <w:szCs w:val="24"/>
                <w:highlight w:val="none"/>
                <w:lang w:eastAsia="zh-CN"/>
              </w:rPr>
              <w:t>系统</w:t>
            </w:r>
          </w:p>
        </w:tc>
        <w:tc>
          <w:tcPr>
            <w:tcW w:w="1032" w:type="dxa"/>
            <w:tcBorders>
              <w:bottom w:val="single" w:color="auto" w:sz="4" w:space="0"/>
            </w:tcBorders>
            <w:shd w:val="clear" w:color="auto" w:fill="auto"/>
            <w:vAlign w:val="center"/>
          </w:tcPr>
          <w:p w14:paraId="04A543BA">
            <w:pPr>
              <w:pStyle w:val="39"/>
              <w:spacing w:before="92" w:line="360" w:lineRule="auto"/>
              <w:jc w:val="center"/>
              <w:rPr>
                <w:rFonts w:hint="eastAsia" w:ascii="宋体" w:hAnsi="宋体" w:eastAsia="宋体" w:cs="宋体"/>
                <w:b/>
                <w:bCs/>
                <w:w w:val="105"/>
                <w:sz w:val="24"/>
                <w:szCs w:val="24"/>
                <w:highlight w:val="none"/>
                <w:lang w:eastAsia="zh-CN"/>
              </w:rPr>
            </w:pPr>
            <w:r>
              <w:rPr>
                <w:rFonts w:hint="eastAsia" w:ascii="宋体" w:hAnsi="宋体" w:eastAsia="宋体" w:cs="宋体"/>
                <w:b/>
                <w:bCs/>
                <w:w w:val="105"/>
                <w:sz w:val="24"/>
                <w:szCs w:val="24"/>
                <w:highlight w:val="none"/>
                <w:lang w:eastAsia="zh-CN"/>
              </w:rPr>
              <w:t>应用</w:t>
            </w:r>
          </w:p>
        </w:tc>
        <w:tc>
          <w:tcPr>
            <w:tcW w:w="1436" w:type="dxa"/>
            <w:tcBorders>
              <w:bottom w:val="single" w:color="auto" w:sz="4" w:space="0"/>
            </w:tcBorders>
            <w:shd w:val="clear" w:color="auto" w:fill="auto"/>
            <w:vAlign w:val="center"/>
          </w:tcPr>
          <w:p w14:paraId="5323EBFF">
            <w:pPr>
              <w:pStyle w:val="39"/>
              <w:spacing w:before="92" w:line="360" w:lineRule="auto"/>
              <w:jc w:val="center"/>
              <w:rPr>
                <w:rFonts w:hint="eastAsia" w:ascii="宋体" w:hAnsi="宋体" w:eastAsia="宋体" w:cs="宋体"/>
                <w:b/>
                <w:bCs/>
                <w:w w:val="105"/>
                <w:sz w:val="24"/>
                <w:szCs w:val="24"/>
                <w:highlight w:val="none"/>
                <w:lang w:eastAsia="zh-CN"/>
              </w:rPr>
            </w:pPr>
            <w:r>
              <w:rPr>
                <w:rFonts w:hint="eastAsia" w:ascii="宋体" w:hAnsi="宋体" w:eastAsia="宋体" w:cs="宋体"/>
                <w:b/>
                <w:bCs/>
                <w:w w:val="105"/>
                <w:sz w:val="24"/>
                <w:szCs w:val="24"/>
                <w:highlight w:val="none"/>
                <w:lang w:eastAsia="zh-CN"/>
              </w:rPr>
              <w:t>功能模块</w:t>
            </w:r>
          </w:p>
        </w:tc>
        <w:tc>
          <w:tcPr>
            <w:tcW w:w="6012" w:type="dxa"/>
            <w:tcBorders>
              <w:bottom w:val="single" w:color="auto" w:sz="4" w:space="0"/>
            </w:tcBorders>
            <w:shd w:val="clear" w:color="auto" w:fill="auto"/>
            <w:vAlign w:val="center"/>
          </w:tcPr>
          <w:p w14:paraId="242173AA">
            <w:pPr>
              <w:pStyle w:val="39"/>
              <w:spacing w:before="92" w:line="360" w:lineRule="auto"/>
              <w:jc w:val="center"/>
              <w:rPr>
                <w:rFonts w:hint="eastAsia" w:ascii="宋体" w:hAnsi="宋体" w:eastAsia="宋体" w:cs="宋体"/>
                <w:b/>
                <w:bCs/>
                <w:w w:val="105"/>
                <w:sz w:val="24"/>
                <w:szCs w:val="24"/>
                <w:highlight w:val="none"/>
                <w:lang w:eastAsia="zh-CN"/>
              </w:rPr>
            </w:pPr>
            <w:r>
              <w:rPr>
                <w:rFonts w:hint="eastAsia" w:ascii="宋体" w:hAnsi="宋体" w:eastAsia="宋体" w:cs="宋体"/>
                <w:b/>
                <w:bCs/>
                <w:w w:val="105"/>
                <w:sz w:val="24"/>
                <w:szCs w:val="24"/>
                <w:highlight w:val="none"/>
                <w:lang w:eastAsia="zh-CN"/>
              </w:rPr>
              <w:t>功能说明</w:t>
            </w:r>
          </w:p>
        </w:tc>
      </w:tr>
      <w:tr w14:paraId="257F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shd w:val="clear" w:color="auto" w:fill="auto"/>
            <w:vAlign w:val="center"/>
          </w:tcPr>
          <w:p w14:paraId="03056E5B">
            <w:pPr>
              <w:pStyle w:val="21"/>
              <w:spacing w:line="360" w:lineRule="auto"/>
              <w:ind w:right="210"/>
              <w:jc w:val="center"/>
              <w:rPr>
                <w:rFonts w:hint="eastAsia" w:ascii="宋体" w:hAnsi="宋体" w:eastAsia="宋体" w:cs="宋体"/>
                <w:w w:val="105"/>
                <w:sz w:val="24"/>
                <w:szCs w:val="24"/>
                <w:highlight w:val="none"/>
              </w:rPr>
            </w:pPr>
            <w:r>
              <w:rPr>
                <w:rFonts w:hint="eastAsia" w:ascii="宋体" w:hAnsi="宋体" w:eastAsia="宋体" w:cs="宋体"/>
                <w:color w:val="000000"/>
                <w:kern w:val="2"/>
                <w:sz w:val="24"/>
                <w:szCs w:val="24"/>
                <w:highlight w:val="none"/>
              </w:rPr>
              <w:t>患者移动服务</w:t>
            </w:r>
          </w:p>
        </w:tc>
        <w:tc>
          <w:tcPr>
            <w:tcW w:w="1032" w:type="dxa"/>
            <w:tcBorders>
              <w:bottom w:val="single" w:color="auto" w:sz="4" w:space="0"/>
            </w:tcBorders>
            <w:shd w:val="clear" w:color="auto" w:fill="auto"/>
            <w:vAlign w:val="center"/>
          </w:tcPr>
          <w:p w14:paraId="0267529C">
            <w:pPr>
              <w:pStyle w:val="39"/>
              <w:spacing w:before="92" w:line="360" w:lineRule="auto"/>
              <w:jc w:val="center"/>
              <w:rPr>
                <w:rFonts w:hint="eastAsia" w:ascii="宋体" w:hAnsi="宋体" w:eastAsia="宋体" w:cs="宋体"/>
                <w:w w:val="105"/>
                <w:sz w:val="24"/>
                <w:szCs w:val="24"/>
                <w:highlight w:val="none"/>
                <w:lang w:eastAsia="zh-CN"/>
              </w:rPr>
            </w:pPr>
            <w:r>
              <w:rPr>
                <w:rFonts w:hint="eastAsia" w:ascii="宋体" w:hAnsi="宋体" w:eastAsia="宋体" w:cs="宋体"/>
                <w:kern w:val="2"/>
                <w:sz w:val="24"/>
                <w:szCs w:val="24"/>
                <w:highlight w:val="none"/>
                <w:lang w:val="en-US" w:eastAsia="zh-CN" w:bidi="ar-SA"/>
                <w14:ligatures w14:val="standardContextual"/>
              </w:rPr>
              <w:t>消息提醒</w:t>
            </w:r>
          </w:p>
        </w:tc>
        <w:tc>
          <w:tcPr>
            <w:tcW w:w="1436" w:type="dxa"/>
            <w:tcBorders>
              <w:bottom w:val="single" w:color="auto" w:sz="4" w:space="0"/>
            </w:tcBorders>
            <w:shd w:val="clear" w:color="auto" w:fill="auto"/>
            <w:vAlign w:val="center"/>
          </w:tcPr>
          <w:p w14:paraId="50D8CAF8">
            <w:pPr>
              <w:pStyle w:val="39"/>
              <w:spacing w:before="92" w:line="360" w:lineRule="auto"/>
              <w:jc w:val="center"/>
              <w:rPr>
                <w:rFonts w:hint="eastAsia" w:ascii="宋体" w:hAnsi="宋体" w:eastAsia="宋体" w:cs="宋体"/>
                <w:w w:val="105"/>
                <w:sz w:val="24"/>
                <w:szCs w:val="24"/>
                <w:highlight w:val="none"/>
                <w:lang w:eastAsia="zh-CN"/>
              </w:rPr>
            </w:pPr>
            <w:r>
              <w:rPr>
                <w:rFonts w:hint="eastAsia" w:ascii="宋体" w:hAnsi="宋体" w:eastAsia="宋体" w:cs="宋体"/>
                <w:w w:val="105"/>
                <w:sz w:val="24"/>
                <w:szCs w:val="24"/>
                <w:highlight w:val="none"/>
                <w:lang w:eastAsia="zh-CN"/>
              </w:rPr>
              <w:t>▲</w:t>
            </w:r>
            <w:r>
              <w:rPr>
                <w:rFonts w:hint="eastAsia" w:ascii="宋体" w:hAnsi="宋体" w:eastAsia="宋体" w:cs="宋体"/>
                <w:kern w:val="2"/>
                <w:sz w:val="24"/>
                <w:szCs w:val="24"/>
                <w:highlight w:val="none"/>
                <w:lang w:val="en-US" w:eastAsia="zh-CN" w:bidi="ar-SA"/>
                <w14:ligatures w14:val="standardContextual"/>
              </w:rPr>
              <w:t>消息分类设置升级</w:t>
            </w:r>
          </w:p>
        </w:tc>
        <w:tc>
          <w:tcPr>
            <w:tcW w:w="6012" w:type="dxa"/>
            <w:tcBorders>
              <w:bottom w:val="single" w:color="auto" w:sz="4" w:space="0"/>
            </w:tcBorders>
            <w:shd w:val="clear" w:color="auto" w:fill="auto"/>
            <w:vAlign w:val="center"/>
          </w:tcPr>
          <w:p w14:paraId="27EF6196">
            <w:pPr>
              <w:pStyle w:val="39"/>
              <w:spacing w:before="92" w:line="360" w:lineRule="auto"/>
              <w:rPr>
                <w:rFonts w:hint="eastAsia" w:ascii="宋体" w:hAnsi="宋体" w:eastAsia="宋体" w:cs="宋体"/>
                <w:w w:val="105"/>
                <w:sz w:val="24"/>
                <w:szCs w:val="24"/>
                <w:highlight w:val="none"/>
                <w:lang w:eastAsia="zh-CN"/>
              </w:rPr>
            </w:pPr>
            <w:r>
              <w:rPr>
                <w:rFonts w:hint="eastAsia" w:ascii="宋体" w:hAnsi="宋体" w:eastAsia="宋体" w:cs="宋体"/>
                <w:kern w:val="2"/>
                <w:sz w:val="24"/>
                <w:szCs w:val="24"/>
                <w:highlight w:val="none"/>
                <w:lang w:val="en-US" w:eastAsia="zh-CN" w:bidi="ar-SA"/>
                <w14:ligatures w14:val="standardContextual"/>
              </w:rPr>
              <w:t>支持患者可询近三个月的所有业务消息通知记录。允许患者主动关闭非关键消息通知，关闭后，将不在微信公众号向患者推送消息，但需支持患者在“我的消息”中进行查看。提醒关闭设置可按门诊类、检验检查、互动、宣教、群发通知等进行分类设置。</w:t>
            </w:r>
          </w:p>
        </w:tc>
      </w:tr>
      <w:tr w14:paraId="4F72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24851A47">
            <w:pPr>
              <w:pStyle w:val="21"/>
              <w:spacing w:line="360" w:lineRule="auto"/>
              <w:ind w:right="210"/>
              <w:jc w:val="center"/>
              <w:rPr>
                <w:rFonts w:hint="eastAsia" w:ascii="宋体" w:hAnsi="宋体" w:eastAsia="宋体" w:cs="宋体"/>
                <w:color w:val="000000"/>
                <w:kern w:val="2"/>
                <w:sz w:val="24"/>
                <w:szCs w:val="24"/>
                <w:highlight w:val="none"/>
              </w:rPr>
            </w:pPr>
          </w:p>
        </w:tc>
        <w:tc>
          <w:tcPr>
            <w:tcW w:w="1032" w:type="dxa"/>
            <w:vMerge w:val="restart"/>
            <w:shd w:val="clear" w:color="auto" w:fill="auto"/>
            <w:vAlign w:val="center"/>
          </w:tcPr>
          <w:p w14:paraId="214DCCA5">
            <w:pPr>
              <w:pStyle w:val="21"/>
              <w:spacing w:line="360" w:lineRule="auto"/>
              <w:ind w:right="21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门诊服务</w:t>
            </w:r>
          </w:p>
        </w:tc>
        <w:tc>
          <w:tcPr>
            <w:tcW w:w="1436" w:type="dxa"/>
            <w:tcBorders>
              <w:bottom w:val="single" w:color="auto" w:sz="4" w:space="0"/>
            </w:tcBorders>
            <w:vAlign w:val="center"/>
          </w:tcPr>
          <w:p w14:paraId="40B087EB">
            <w:pPr>
              <w:pStyle w:val="21"/>
              <w:spacing w:line="360" w:lineRule="auto"/>
              <w:ind w:right="21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就诊全流程</w:t>
            </w:r>
          </w:p>
        </w:tc>
        <w:tc>
          <w:tcPr>
            <w:tcW w:w="6012" w:type="dxa"/>
            <w:tcBorders>
              <w:bottom w:val="single" w:color="auto" w:sz="4" w:space="0"/>
            </w:tcBorders>
            <w:shd w:val="clear" w:color="auto" w:fill="auto"/>
            <w:vAlign w:val="center"/>
          </w:tcPr>
          <w:p w14:paraId="4F5B222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建设门诊就诊流程树模型，更有效地引导门诊患者就诊，需要聚合挂号、候诊、缴费、指引、取药、检验、检查等就医环节</w:t>
            </w:r>
            <w:r>
              <w:rPr>
                <w:rFonts w:hint="eastAsia"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rPr>
              <w:t>同一个可视化主页</w:t>
            </w:r>
            <w:r>
              <w:rPr>
                <w:rFonts w:hint="eastAsia" w:ascii="宋体" w:hAnsi="宋体" w:eastAsia="宋体" w:cs="宋体"/>
                <w:color w:val="000000"/>
                <w:sz w:val="24"/>
                <w:szCs w:val="24"/>
                <w:highlight w:val="none"/>
                <w:lang w:val="en-US" w:eastAsia="zh-CN"/>
              </w:rPr>
              <w:t>上</w:t>
            </w:r>
            <w:r>
              <w:rPr>
                <w:rFonts w:hint="eastAsia" w:ascii="宋体" w:hAnsi="宋体" w:eastAsia="宋体" w:cs="宋体"/>
                <w:color w:val="000000"/>
                <w:sz w:val="24"/>
                <w:szCs w:val="24"/>
                <w:highlight w:val="none"/>
              </w:rPr>
              <w:t>，实现门诊全流程可视化查询的服务。支持对就诊环节中有待就诊业务、事项处理的消息提醒和红点标记提醒，使患者快速定位诊疗环节。同时支持患者从各环节界面点击项目卡片跳转到对应的业务菜单进行更多的操作。</w:t>
            </w:r>
          </w:p>
          <w:p w14:paraId="76392B1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（1）在一个可视化页面中</w:t>
            </w:r>
            <w:r>
              <w:rPr>
                <w:rFonts w:hint="eastAsia" w:ascii="宋体" w:hAnsi="宋体" w:eastAsia="宋体" w:cs="宋体"/>
                <w:color w:val="000000"/>
                <w:sz w:val="24"/>
                <w:szCs w:val="24"/>
                <w:highlight w:val="none"/>
                <w:lang w:val="en-US" w:eastAsia="zh-CN"/>
              </w:rPr>
              <w:t>患者可</w:t>
            </w:r>
            <w:r>
              <w:rPr>
                <w:rFonts w:hint="eastAsia" w:ascii="宋体" w:hAnsi="宋体" w:eastAsia="宋体" w:cs="宋体"/>
                <w:color w:val="000000"/>
                <w:sz w:val="24"/>
                <w:szCs w:val="24"/>
                <w:highlight w:val="none"/>
              </w:rPr>
              <w:t>查看个人挂号、候诊、缴费、指引、取药、检验、检查、治疗的相关信息。</w:t>
            </w:r>
          </w:p>
          <w:p w14:paraId="0A363EA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（2）支持对待就诊业务或事项消息的就诊环节标记红点作为提醒，使患者可快速定位就医环节。</w:t>
            </w:r>
          </w:p>
          <w:p w14:paraId="5E0DB8A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（3）支持患者通过点击挂号、候诊、缴费、指引、取药、检验、检查、治疗环节中的项目卡片跳转到对应的业务菜单进行更多的操作。</w:t>
            </w:r>
          </w:p>
        </w:tc>
      </w:tr>
      <w:tr w14:paraId="1985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4E160839">
            <w:pPr>
              <w:pStyle w:val="21"/>
              <w:spacing w:line="360" w:lineRule="auto"/>
              <w:ind w:right="210"/>
              <w:jc w:val="center"/>
              <w:rPr>
                <w:rFonts w:hint="eastAsia" w:ascii="宋体" w:hAnsi="宋体" w:eastAsia="宋体" w:cs="宋体"/>
                <w:color w:val="000000"/>
                <w:kern w:val="2"/>
                <w:sz w:val="24"/>
                <w:szCs w:val="24"/>
                <w:highlight w:val="none"/>
              </w:rPr>
            </w:pPr>
          </w:p>
        </w:tc>
        <w:tc>
          <w:tcPr>
            <w:tcW w:w="1032" w:type="dxa"/>
            <w:vMerge w:val="continue"/>
            <w:shd w:val="clear" w:color="auto" w:fill="auto"/>
            <w:vAlign w:val="center"/>
          </w:tcPr>
          <w:p w14:paraId="3E464979">
            <w:pPr>
              <w:pStyle w:val="21"/>
              <w:spacing w:line="360" w:lineRule="auto"/>
              <w:ind w:right="210"/>
              <w:jc w:val="center"/>
              <w:rPr>
                <w:rFonts w:hint="eastAsia" w:ascii="宋体" w:hAnsi="宋体" w:eastAsia="宋体" w:cs="宋体"/>
                <w:color w:val="000000"/>
                <w:kern w:val="2"/>
                <w:sz w:val="24"/>
                <w:szCs w:val="24"/>
                <w:highlight w:val="none"/>
              </w:rPr>
            </w:pPr>
          </w:p>
        </w:tc>
        <w:tc>
          <w:tcPr>
            <w:tcW w:w="1436" w:type="dxa"/>
            <w:tcBorders>
              <w:bottom w:val="single" w:color="auto" w:sz="4" w:space="0"/>
            </w:tcBorders>
            <w:vAlign w:val="center"/>
          </w:tcPr>
          <w:p w14:paraId="297D8DD6">
            <w:pPr>
              <w:pStyle w:val="21"/>
              <w:spacing w:line="360" w:lineRule="auto"/>
              <w:ind w:right="21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w w:val="105"/>
                <w:sz w:val="24"/>
                <w:szCs w:val="24"/>
                <w:highlight w:val="none"/>
              </w:rPr>
              <w:t>▲排</w:t>
            </w:r>
            <w:r>
              <w:rPr>
                <w:rFonts w:hint="eastAsia" w:ascii="宋体" w:hAnsi="宋体" w:eastAsia="宋体" w:cs="宋体"/>
                <w:color w:val="000000" w:themeColor="text1"/>
                <w:sz w:val="24"/>
                <w:szCs w:val="24"/>
                <w:highlight w:val="none"/>
                <w14:textFill>
                  <w14:solidFill>
                    <w14:schemeClr w14:val="tx1"/>
                  </w14:solidFill>
                </w14:textFill>
              </w:rPr>
              <w:t>队查询</w:t>
            </w:r>
          </w:p>
        </w:tc>
        <w:tc>
          <w:tcPr>
            <w:tcW w:w="6012" w:type="dxa"/>
            <w:tcBorders>
              <w:bottom w:val="single" w:color="auto" w:sz="4" w:space="0"/>
            </w:tcBorders>
            <w:shd w:val="clear" w:color="auto" w:fill="auto"/>
            <w:vAlign w:val="center"/>
          </w:tcPr>
          <w:p w14:paraId="50B70D4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支持查看个人的候诊排队、检验排队、检查排队、治疗排队情况，并提醒当前叫号状态。</w:t>
            </w:r>
          </w:p>
        </w:tc>
      </w:tr>
      <w:tr w14:paraId="5F6C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3CACF663">
            <w:pPr>
              <w:pStyle w:val="21"/>
              <w:spacing w:line="360" w:lineRule="auto"/>
              <w:ind w:right="210"/>
              <w:jc w:val="center"/>
              <w:rPr>
                <w:rFonts w:hint="eastAsia" w:ascii="宋体" w:hAnsi="宋体" w:eastAsia="宋体" w:cs="宋体"/>
                <w:color w:val="000000"/>
                <w:kern w:val="2"/>
                <w:sz w:val="24"/>
                <w:szCs w:val="24"/>
                <w:highlight w:val="none"/>
              </w:rPr>
            </w:pPr>
          </w:p>
        </w:tc>
        <w:tc>
          <w:tcPr>
            <w:tcW w:w="1032" w:type="dxa"/>
            <w:vMerge w:val="continue"/>
            <w:shd w:val="clear" w:color="auto" w:fill="auto"/>
            <w:vAlign w:val="center"/>
          </w:tcPr>
          <w:p w14:paraId="52751632">
            <w:pPr>
              <w:pStyle w:val="21"/>
              <w:spacing w:line="360" w:lineRule="auto"/>
              <w:ind w:right="210"/>
              <w:jc w:val="center"/>
              <w:rPr>
                <w:rFonts w:hint="eastAsia" w:ascii="宋体" w:hAnsi="宋体" w:eastAsia="宋体" w:cs="宋体"/>
                <w:color w:val="000000"/>
                <w:kern w:val="2"/>
                <w:sz w:val="24"/>
                <w:szCs w:val="24"/>
                <w:highlight w:val="none"/>
              </w:rPr>
            </w:pPr>
          </w:p>
        </w:tc>
        <w:tc>
          <w:tcPr>
            <w:tcW w:w="1436" w:type="dxa"/>
            <w:tcBorders>
              <w:bottom w:val="single" w:color="auto" w:sz="4" w:space="0"/>
            </w:tcBorders>
            <w:vAlign w:val="center"/>
          </w:tcPr>
          <w:p w14:paraId="70E15B05">
            <w:pPr>
              <w:pStyle w:val="21"/>
              <w:spacing w:line="360" w:lineRule="auto"/>
              <w:ind w:right="21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门诊加号</w:t>
            </w:r>
          </w:p>
        </w:tc>
        <w:tc>
          <w:tcPr>
            <w:tcW w:w="6012" w:type="dxa"/>
            <w:tcBorders>
              <w:bottom w:val="single" w:color="auto" w:sz="4" w:space="0"/>
            </w:tcBorders>
            <w:shd w:val="clear" w:color="auto" w:fill="auto"/>
            <w:vAlign w:val="center"/>
          </w:tcPr>
          <w:p w14:paraId="106DCD6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支持患者在线上预约挂号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支持</w:t>
            </w:r>
            <w:r>
              <w:rPr>
                <w:rFonts w:hint="eastAsia" w:ascii="宋体" w:hAnsi="宋体" w:eastAsia="宋体" w:cs="宋体"/>
                <w:color w:val="000000" w:themeColor="text1"/>
                <w:sz w:val="24"/>
                <w:szCs w:val="24"/>
                <w:highlight w:val="none"/>
                <w14:textFill>
                  <w14:solidFill>
                    <w14:schemeClr w14:val="tx1"/>
                  </w14:solidFill>
                </w14:textFill>
              </w:rPr>
              <w:t>医院现场直接与医生沟通加号，当医生同意后，在his系统生成一个随机码，患者在手机上输入随机码即可挂号并线上支付挂号费。</w:t>
            </w:r>
          </w:p>
        </w:tc>
      </w:tr>
      <w:tr w14:paraId="45DB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3E6DDEC9">
            <w:pPr>
              <w:pStyle w:val="21"/>
              <w:spacing w:line="360" w:lineRule="auto"/>
              <w:ind w:right="210"/>
              <w:jc w:val="center"/>
              <w:rPr>
                <w:rFonts w:hint="eastAsia" w:ascii="宋体" w:hAnsi="宋体" w:eastAsia="宋体" w:cs="宋体"/>
                <w:color w:val="000000"/>
                <w:kern w:val="2"/>
                <w:sz w:val="24"/>
                <w:szCs w:val="24"/>
                <w:highlight w:val="none"/>
              </w:rPr>
            </w:pPr>
          </w:p>
        </w:tc>
        <w:tc>
          <w:tcPr>
            <w:tcW w:w="1032" w:type="dxa"/>
            <w:vMerge w:val="continue"/>
            <w:tcBorders>
              <w:bottom w:val="single" w:color="auto" w:sz="4" w:space="0"/>
            </w:tcBorders>
            <w:shd w:val="clear" w:color="auto" w:fill="auto"/>
            <w:vAlign w:val="center"/>
          </w:tcPr>
          <w:p w14:paraId="18089BDD">
            <w:pPr>
              <w:pStyle w:val="21"/>
              <w:spacing w:line="360" w:lineRule="auto"/>
              <w:ind w:right="210"/>
              <w:jc w:val="center"/>
              <w:rPr>
                <w:rFonts w:hint="eastAsia" w:ascii="宋体" w:hAnsi="宋体" w:eastAsia="宋体" w:cs="宋体"/>
                <w:color w:val="000000"/>
                <w:kern w:val="2"/>
                <w:sz w:val="24"/>
                <w:szCs w:val="24"/>
                <w:highlight w:val="none"/>
              </w:rPr>
            </w:pPr>
          </w:p>
        </w:tc>
        <w:tc>
          <w:tcPr>
            <w:tcW w:w="1436" w:type="dxa"/>
            <w:tcBorders>
              <w:bottom w:val="single" w:color="auto" w:sz="4" w:space="0"/>
            </w:tcBorders>
            <w:vAlign w:val="center"/>
          </w:tcPr>
          <w:p w14:paraId="1D5034C5">
            <w:pPr>
              <w:pStyle w:val="21"/>
              <w:spacing w:line="360" w:lineRule="auto"/>
              <w:ind w:right="21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医技预约</w:t>
            </w:r>
          </w:p>
        </w:tc>
        <w:tc>
          <w:tcPr>
            <w:tcW w:w="6012" w:type="dxa"/>
            <w:tcBorders>
              <w:bottom w:val="single" w:color="auto" w:sz="4" w:space="0"/>
            </w:tcBorders>
            <w:shd w:val="clear" w:color="auto" w:fill="auto"/>
            <w:vAlign w:val="center"/>
          </w:tcPr>
          <w:p w14:paraId="290527F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支持对接医院医技预约排班系统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患者完成门诊缴费后，若存在可预约的检验、检查、治疗医技项目，可在手机端查看个人已预约、待预约的检查、检验项目记录，并可在线预约或取消预约，预约后根据指引信息按时前往医院执行检验或检查等项目。</w:t>
            </w:r>
          </w:p>
        </w:tc>
      </w:tr>
      <w:tr w14:paraId="2855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14:paraId="77AF609A">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互联网诊疗服务</w:t>
            </w:r>
          </w:p>
        </w:tc>
        <w:tc>
          <w:tcPr>
            <w:tcW w:w="1032" w:type="dxa"/>
            <w:vMerge w:val="restart"/>
            <w:shd w:val="clear" w:color="auto" w:fill="auto"/>
            <w:vAlign w:val="center"/>
          </w:tcPr>
          <w:p w14:paraId="1E19F5B9">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在线开单</w:t>
            </w:r>
          </w:p>
        </w:tc>
        <w:tc>
          <w:tcPr>
            <w:tcW w:w="1436" w:type="dxa"/>
            <w:tcBorders>
              <w:bottom w:val="single" w:color="auto" w:sz="4" w:space="0"/>
            </w:tcBorders>
            <w:vAlign w:val="center"/>
          </w:tcPr>
          <w:p w14:paraId="64F484C2">
            <w:pPr>
              <w:pStyle w:val="21"/>
              <w:spacing w:line="360" w:lineRule="auto"/>
              <w:ind w:right="210"/>
              <w:jc w:val="center"/>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线上开单</w:t>
            </w:r>
          </w:p>
        </w:tc>
        <w:tc>
          <w:tcPr>
            <w:tcW w:w="6012" w:type="dxa"/>
            <w:tcBorders>
              <w:bottom w:val="single" w:color="auto" w:sz="4" w:space="0"/>
            </w:tcBorders>
            <w:shd w:val="clear" w:color="auto" w:fill="auto"/>
          </w:tcPr>
          <w:p w14:paraId="7C5AF305">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患者端：</w:t>
            </w:r>
          </w:p>
          <w:p w14:paraId="4829F988">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1. 患者可在手机端查看检验检查医嘱的详情。</w:t>
            </w:r>
          </w:p>
          <w:p w14:paraId="0D56B3D8">
            <w:pPr>
              <w:spacing w:before="2" w:line="360" w:lineRule="auto"/>
              <w:ind w:right="165"/>
              <w:rPr>
                <w:rFonts w:hint="eastAsia" w:ascii="宋体" w:hAnsi="宋体" w:eastAsia="宋体" w:cs="宋体"/>
                <w:sz w:val="24"/>
                <w:szCs w:val="24"/>
                <w:highlight w:val="none"/>
              </w:rPr>
            </w:pPr>
            <w:r>
              <w:rPr>
                <w:rFonts w:hint="eastAsia" w:ascii="宋体" w:hAnsi="宋体" w:eastAsia="宋体" w:cs="宋体"/>
                <w:sz w:val="24"/>
                <w:szCs w:val="24"/>
                <w:highlight w:val="none"/>
              </w:rPr>
              <w:t>2. 患者可在手机端完成检验检查缴费，缴费成功后，可到线下完成执行；</w:t>
            </w:r>
          </w:p>
          <w:p w14:paraId="523E2C5A">
            <w:pPr>
              <w:spacing w:before="2" w:line="360" w:lineRule="auto"/>
              <w:ind w:right="165"/>
              <w:rPr>
                <w:rFonts w:hint="eastAsia" w:ascii="宋体" w:hAnsi="宋体" w:eastAsia="宋体" w:cs="宋体"/>
                <w:sz w:val="24"/>
                <w:szCs w:val="24"/>
                <w:highlight w:val="none"/>
              </w:rPr>
            </w:pPr>
            <w:r>
              <w:rPr>
                <w:rFonts w:hint="eastAsia" w:ascii="宋体" w:hAnsi="宋体" w:eastAsia="宋体" w:cs="宋体"/>
                <w:sz w:val="24"/>
                <w:szCs w:val="24"/>
                <w:highlight w:val="none"/>
              </w:rPr>
              <w:t>医生端：</w:t>
            </w:r>
          </w:p>
          <w:p w14:paraId="36384C17">
            <w:pPr>
              <w:spacing w:before="50"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1.在线开检查项目：在复诊业务场景或者外省患者接诊中，医生选择检查项目，填写检查部分和检查方法给患者开具检查申请单，线上医嘱开具后推送消息给患者。患者缴费后可直接线下签到。     </w:t>
            </w:r>
          </w:p>
          <w:p w14:paraId="28CBEE91">
            <w:pPr>
              <w:spacing w:before="9" w:line="360" w:lineRule="auto"/>
              <w:ind w:right="2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2.在线开检验项目：在复诊业务场景或者外省患者接诊中，医生选择检验项目，填写标本和采集方法给患者开具检验申请单，线上医嘱开具后推送消息给患者。患者缴费后可直接线下签到。            </w:t>
            </w:r>
          </w:p>
          <w:p w14:paraId="328BECD8">
            <w:pPr>
              <w:spacing w:before="9" w:line="360" w:lineRule="auto"/>
              <w:ind w:right="27"/>
              <w:rPr>
                <w:rFonts w:hint="eastAsia" w:ascii="宋体" w:hAnsi="宋体" w:eastAsia="宋体" w:cs="宋体"/>
                <w:sz w:val="24"/>
                <w:szCs w:val="24"/>
                <w:highlight w:val="none"/>
              </w:rPr>
            </w:pPr>
            <w:r>
              <w:rPr>
                <w:rFonts w:hint="eastAsia" w:ascii="宋体" w:hAnsi="宋体" w:eastAsia="宋体" w:cs="宋体"/>
                <w:sz w:val="24"/>
                <w:szCs w:val="24"/>
                <w:highlight w:val="none"/>
              </w:rPr>
              <w:t>3.检验检查申请单操作：医生开具检验检查项目申请单后，患者打开可查看申请单内容；医生可对未缴费申请单进行查询、修改、作废操作。支持检验检查项目便捷检索，支持维护常用检验检查项目；支持检验检查目录分类和his同步。</w:t>
            </w:r>
          </w:p>
          <w:p w14:paraId="3D09EED7">
            <w:pPr>
              <w:spacing w:before="2" w:line="360" w:lineRule="auto"/>
              <w:ind w:right="165"/>
              <w:rPr>
                <w:rFonts w:hint="eastAsia" w:ascii="宋体" w:hAnsi="宋体" w:eastAsia="宋体" w:cs="宋体"/>
                <w:sz w:val="24"/>
                <w:szCs w:val="24"/>
                <w:highlight w:val="none"/>
              </w:rPr>
            </w:pPr>
            <w:r>
              <w:rPr>
                <w:rFonts w:hint="eastAsia" w:ascii="宋体" w:hAnsi="宋体" w:eastAsia="宋体" w:cs="宋体"/>
                <w:sz w:val="24"/>
                <w:szCs w:val="24"/>
                <w:highlight w:val="none"/>
              </w:rPr>
              <w:t>管理后台：</w:t>
            </w:r>
          </w:p>
          <w:p w14:paraId="411C75D0">
            <w:pPr>
              <w:numPr>
                <w:ilvl w:val="0"/>
                <w:numId w:val="7"/>
              </w:numPr>
              <w:spacing w:before="2" w:line="360" w:lineRule="auto"/>
              <w:ind w:right="1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检验检查、处置类申请单功能管理：应用服务开关、医生权限管理、 申请单作废开关、医技预约项目管理 (医师开具、患者自助购买) 、项目目录同步，医生权限开启后医生端会话应用增加检验检查；</w:t>
            </w:r>
          </w:p>
          <w:p w14:paraId="7BE07FE1">
            <w:pPr>
              <w:spacing w:before="2" w:line="360" w:lineRule="auto"/>
              <w:ind w:right="165"/>
              <w:rPr>
                <w:rFonts w:hint="eastAsia" w:ascii="宋体" w:hAnsi="宋体" w:eastAsia="宋体" w:cs="宋体"/>
                <w:sz w:val="24"/>
                <w:szCs w:val="24"/>
                <w:highlight w:val="none"/>
              </w:rPr>
            </w:pPr>
            <w:r>
              <w:rPr>
                <w:rFonts w:hint="eastAsia" w:ascii="宋体" w:hAnsi="宋体" w:eastAsia="宋体" w:cs="宋体"/>
                <w:sz w:val="24"/>
                <w:szCs w:val="24"/>
                <w:highlight w:val="none"/>
              </w:rPr>
              <w:t>2.订单管理：订单分类统计、异常订单处理、订单退费；</w:t>
            </w:r>
          </w:p>
          <w:p w14:paraId="1B911814">
            <w:pPr>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 HIS 集成接入：与订单写入his记录、缴费记录；检验检查、处置类申请单创建、查询与作废；缴费状态、检查检验结果查询与同步推送；支持线下就诊记录选择下单，实现严格复诊判定；支持his 检查检验等医技项目目录、价格、明细、执行状态即时同步和查询。</w:t>
            </w:r>
          </w:p>
        </w:tc>
      </w:tr>
      <w:tr w14:paraId="2D4C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13D3B743">
            <w:pPr>
              <w:pStyle w:val="21"/>
              <w:spacing w:line="360" w:lineRule="auto"/>
              <w:ind w:right="210"/>
              <w:jc w:val="center"/>
              <w:rPr>
                <w:rFonts w:hint="eastAsia" w:ascii="宋体" w:hAnsi="宋体" w:eastAsia="宋体" w:cs="宋体"/>
                <w:color w:val="FF0000"/>
                <w:kern w:val="2"/>
                <w:sz w:val="24"/>
                <w:szCs w:val="24"/>
                <w:highlight w:val="none"/>
              </w:rPr>
            </w:pPr>
          </w:p>
        </w:tc>
        <w:tc>
          <w:tcPr>
            <w:tcW w:w="1032" w:type="dxa"/>
            <w:vMerge w:val="continue"/>
            <w:tcBorders>
              <w:bottom w:val="single" w:color="auto" w:sz="4" w:space="0"/>
            </w:tcBorders>
            <w:shd w:val="clear" w:color="auto" w:fill="auto"/>
            <w:vAlign w:val="center"/>
          </w:tcPr>
          <w:p w14:paraId="3C2A4A93">
            <w:pPr>
              <w:pStyle w:val="21"/>
              <w:spacing w:line="360" w:lineRule="auto"/>
              <w:ind w:right="210"/>
              <w:jc w:val="center"/>
              <w:rPr>
                <w:rFonts w:hint="eastAsia" w:ascii="宋体" w:hAnsi="宋体" w:eastAsia="宋体" w:cs="宋体"/>
                <w:color w:val="000000"/>
                <w:kern w:val="2"/>
                <w:sz w:val="24"/>
                <w:szCs w:val="24"/>
                <w:highlight w:val="none"/>
              </w:rPr>
            </w:pPr>
          </w:p>
        </w:tc>
        <w:tc>
          <w:tcPr>
            <w:tcW w:w="1436" w:type="dxa"/>
            <w:tcBorders>
              <w:bottom w:val="single" w:color="auto" w:sz="4" w:space="0"/>
            </w:tcBorders>
            <w:vAlign w:val="center"/>
          </w:tcPr>
          <w:p w14:paraId="3D7BBCF3">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住院开单</w:t>
            </w:r>
          </w:p>
        </w:tc>
        <w:tc>
          <w:tcPr>
            <w:tcW w:w="6012" w:type="dxa"/>
            <w:tcBorders>
              <w:bottom w:val="single" w:color="auto" w:sz="4" w:space="0"/>
            </w:tcBorders>
            <w:shd w:val="clear" w:color="auto" w:fill="auto"/>
          </w:tcPr>
          <w:p w14:paraId="4F0C7E0F">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支持医生可在线开具住院通知单，患者根据此凭据可在线上完成入院登记闭环，提高入院办理效率。</w:t>
            </w:r>
          </w:p>
        </w:tc>
      </w:tr>
      <w:tr w14:paraId="7DAD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4A32CE73">
            <w:pPr>
              <w:pStyle w:val="21"/>
              <w:spacing w:line="360" w:lineRule="auto"/>
              <w:ind w:right="210"/>
              <w:jc w:val="center"/>
              <w:rPr>
                <w:rFonts w:hint="eastAsia" w:ascii="宋体" w:hAnsi="宋体" w:eastAsia="宋体" w:cs="宋体"/>
                <w:kern w:val="2"/>
                <w:sz w:val="24"/>
                <w:szCs w:val="24"/>
                <w:highlight w:val="none"/>
              </w:rPr>
            </w:pPr>
          </w:p>
        </w:tc>
        <w:tc>
          <w:tcPr>
            <w:tcW w:w="1032" w:type="dxa"/>
            <w:shd w:val="clear" w:color="auto" w:fill="auto"/>
            <w:vAlign w:val="center"/>
          </w:tcPr>
          <w:p w14:paraId="1A26FDD4">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便捷购药</w:t>
            </w:r>
          </w:p>
        </w:tc>
        <w:tc>
          <w:tcPr>
            <w:tcW w:w="1436" w:type="dxa"/>
            <w:vAlign w:val="center"/>
          </w:tcPr>
          <w:p w14:paraId="64E45EA4">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便捷购药</w:t>
            </w:r>
          </w:p>
        </w:tc>
        <w:tc>
          <w:tcPr>
            <w:tcW w:w="6012" w:type="dxa"/>
            <w:shd w:val="clear" w:color="auto" w:fill="auto"/>
          </w:tcPr>
          <w:p w14:paraId="5F6B3511">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应用设置。</w:t>
            </w:r>
          </w:p>
          <w:p w14:paraId="06006B56">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用以设置便捷购药服务参数，支持与his系统集成。</w:t>
            </w:r>
          </w:p>
          <w:p w14:paraId="592279C3">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1. 支持对便捷购药药品目录进行统一管理，设置药品所属分类，限购范围等。</w:t>
            </w:r>
          </w:p>
          <w:p w14:paraId="58923324">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2. 支持设置医生权限，管理医护人员的购药申请处理权限。</w:t>
            </w:r>
          </w:p>
          <w:p w14:paraId="2287173B">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智能开方。</w:t>
            </w:r>
          </w:p>
          <w:p w14:paraId="5431162C">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用以协助医院快速处理患者的便捷购药申请，支持配置指定药品的开方模板与病历模板。患者下单后，系统自动生成病历与处方，由医护人员进行审核确认。</w:t>
            </w:r>
          </w:p>
          <w:p w14:paraId="155208C2">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续方申请。</w:t>
            </w:r>
          </w:p>
          <w:p w14:paraId="684B81D5">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患者选择门诊处方记录或上传病历照片，选择所需复购药品种类与数量，支付申请费用提交申请。</w:t>
            </w:r>
          </w:p>
          <w:p w14:paraId="35E7EE69">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续方处理。</w:t>
            </w:r>
          </w:p>
          <w:p w14:paraId="26156910">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医生收到续方申请后，可进入续方大厅快速接单。经医生审核通过后快速开具处方。药师审方完成后支持患者线上购买药品，配送到家。</w:t>
            </w:r>
          </w:p>
          <w:p w14:paraId="547469FE">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购药订单管理。</w:t>
            </w:r>
          </w:p>
          <w:p w14:paraId="75834800">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1. 管理后台支持查看患者提交的续方订单详情，如订单信息、商品信息、交易信息、药品信息、物流信息等。管理员可对订单进行发货、确认收货、退款等操作并支持打印相关凭证。</w:t>
            </w:r>
          </w:p>
          <w:p w14:paraId="486E25A8">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2. 医护人员可在移动端内查看其开具的处方所生成的订单详情与订单状态。</w:t>
            </w:r>
          </w:p>
          <w:p w14:paraId="280FB55D">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3. 患者可在患者端H5页面内查看其购买的药品订单记录、订单状态与物流等信息。</w:t>
            </w:r>
          </w:p>
        </w:tc>
      </w:tr>
      <w:tr w14:paraId="29F2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545DDAF8">
            <w:pPr>
              <w:pStyle w:val="21"/>
              <w:spacing w:line="360" w:lineRule="auto"/>
              <w:ind w:right="210"/>
              <w:jc w:val="center"/>
              <w:rPr>
                <w:rFonts w:hint="eastAsia" w:ascii="宋体" w:hAnsi="宋体" w:eastAsia="宋体" w:cs="宋体"/>
                <w:kern w:val="2"/>
                <w:sz w:val="24"/>
                <w:szCs w:val="24"/>
                <w:highlight w:val="none"/>
              </w:rPr>
            </w:pPr>
          </w:p>
        </w:tc>
        <w:tc>
          <w:tcPr>
            <w:tcW w:w="1032" w:type="dxa"/>
            <w:shd w:val="clear" w:color="auto" w:fill="auto"/>
            <w:vAlign w:val="center"/>
          </w:tcPr>
          <w:p w14:paraId="2FA649A4">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自助开单</w:t>
            </w:r>
          </w:p>
        </w:tc>
        <w:tc>
          <w:tcPr>
            <w:tcW w:w="1436" w:type="dxa"/>
            <w:vAlign w:val="center"/>
          </w:tcPr>
          <w:p w14:paraId="1963E17C">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▲自助开单</w:t>
            </w:r>
          </w:p>
        </w:tc>
        <w:tc>
          <w:tcPr>
            <w:tcW w:w="6012" w:type="dxa"/>
            <w:shd w:val="clear" w:color="auto" w:fill="auto"/>
          </w:tcPr>
          <w:p w14:paraId="27CE21C6">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针对复诊患者或某些检验、检查项目，患者可自行发起检验、检查开单申请，医院可安排医生审核开单或自动开单，开单完毕患者缴费后，即可根据指引消息执行相应检验、检查项目。</w:t>
            </w:r>
          </w:p>
        </w:tc>
      </w:tr>
      <w:tr w14:paraId="1CAA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0F33FFC1">
            <w:pPr>
              <w:pStyle w:val="21"/>
              <w:spacing w:line="360" w:lineRule="auto"/>
              <w:ind w:right="210"/>
              <w:jc w:val="center"/>
              <w:rPr>
                <w:rFonts w:hint="eastAsia" w:ascii="宋体" w:hAnsi="宋体" w:eastAsia="宋体" w:cs="宋体"/>
                <w:kern w:val="2"/>
                <w:sz w:val="24"/>
                <w:szCs w:val="24"/>
                <w:highlight w:val="none"/>
              </w:rPr>
            </w:pPr>
          </w:p>
        </w:tc>
        <w:tc>
          <w:tcPr>
            <w:tcW w:w="1032" w:type="dxa"/>
            <w:shd w:val="clear" w:color="auto" w:fill="auto"/>
            <w:vAlign w:val="center"/>
          </w:tcPr>
          <w:p w14:paraId="58E74AC1">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线上诊疗医保支付</w:t>
            </w:r>
          </w:p>
        </w:tc>
        <w:tc>
          <w:tcPr>
            <w:tcW w:w="1436" w:type="dxa"/>
            <w:vAlign w:val="center"/>
          </w:tcPr>
          <w:p w14:paraId="3C2BBE6E">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▲线上诊疗医保支付</w:t>
            </w:r>
          </w:p>
        </w:tc>
        <w:tc>
          <w:tcPr>
            <w:tcW w:w="6012" w:type="dxa"/>
            <w:shd w:val="clear" w:color="auto" w:fill="auto"/>
            <w:vAlign w:val="center"/>
          </w:tcPr>
          <w:p w14:paraId="75356683">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支持对接当地医保系统，实现线上医保支付，包含问诊/复诊医保结算、线上处方（院内）医保结算。</w:t>
            </w:r>
          </w:p>
        </w:tc>
      </w:tr>
      <w:tr w14:paraId="5FD2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170DE21F">
            <w:pPr>
              <w:pStyle w:val="21"/>
              <w:spacing w:line="360" w:lineRule="auto"/>
              <w:ind w:right="210"/>
              <w:jc w:val="center"/>
              <w:rPr>
                <w:rFonts w:hint="eastAsia" w:ascii="宋体" w:hAnsi="宋体" w:eastAsia="宋体" w:cs="宋体"/>
                <w:kern w:val="2"/>
                <w:sz w:val="24"/>
                <w:szCs w:val="24"/>
                <w:highlight w:val="none"/>
              </w:rPr>
            </w:pPr>
          </w:p>
        </w:tc>
        <w:tc>
          <w:tcPr>
            <w:tcW w:w="1032" w:type="dxa"/>
            <w:shd w:val="clear" w:color="auto" w:fill="auto"/>
            <w:vAlign w:val="center"/>
          </w:tcPr>
          <w:p w14:paraId="0AA888D8">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统计分析</w:t>
            </w:r>
          </w:p>
        </w:tc>
        <w:tc>
          <w:tcPr>
            <w:tcW w:w="1436" w:type="dxa"/>
            <w:vAlign w:val="center"/>
          </w:tcPr>
          <w:p w14:paraId="7E96882D">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数据统计</w:t>
            </w:r>
          </w:p>
        </w:tc>
        <w:tc>
          <w:tcPr>
            <w:tcW w:w="6012" w:type="dxa"/>
            <w:shd w:val="clear" w:color="auto" w:fill="auto"/>
            <w:vAlign w:val="center"/>
          </w:tcPr>
          <w:p w14:paraId="6FF33203">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支持为医院以不同维度（如科室、订单时间等）去统计各项互联网医院数据，包含订单数据、患者数据、签约医生数、医生服务质量等，且可以导出报表。</w:t>
            </w:r>
          </w:p>
        </w:tc>
      </w:tr>
      <w:tr w14:paraId="49BB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232D0B05">
            <w:pPr>
              <w:pStyle w:val="21"/>
              <w:spacing w:line="360" w:lineRule="auto"/>
              <w:ind w:right="210"/>
              <w:jc w:val="center"/>
              <w:rPr>
                <w:rFonts w:hint="eastAsia" w:ascii="宋体" w:hAnsi="宋体" w:eastAsia="宋体" w:cs="宋体"/>
                <w:kern w:val="2"/>
                <w:sz w:val="24"/>
                <w:szCs w:val="24"/>
                <w:highlight w:val="none"/>
              </w:rPr>
            </w:pPr>
          </w:p>
        </w:tc>
        <w:tc>
          <w:tcPr>
            <w:tcW w:w="1032" w:type="dxa"/>
            <w:shd w:val="clear" w:color="auto" w:fill="auto"/>
            <w:vAlign w:val="center"/>
          </w:tcPr>
          <w:p w14:paraId="120C761E">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数据大屏</w:t>
            </w:r>
          </w:p>
        </w:tc>
        <w:tc>
          <w:tcPr>
            <w:tcW w:w="1436" w:type="dxa"/>
            <w:vAlign w:val="center"/>
          </w:tcPr>
          <w:p w14:paraId="031C1254">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数据大屏</w:t>
            </w:r>
          </w:p>
        </w:tc>
        <w:tc>
          <w:tcPr>
            <w:tcW w:w="6012" w:type="dxa"/>
            <w:shd w:val="clear" w:color="auto" w:fill="auto"/>
            <w:vAlign w:val="center"/>
          </w:tcPr>
          <w:p w14:paraId="66F7C12F">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系统采集的数据根据所设定的统计指标与排序规则，以数据大屏的形式直观呈现，用以辅助医院呈现其互联网医院运营成果。</w:t>
            </w:r>
          </w:p>
        </w:tc>
      </w:tr>
      <w:tr w14:paraId="1CA4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66C4FBB6">
            <w:pPr>
              <w:pStyle w:val="21"/>
              <w:spacing w:line="360" w:lineRule="auto"/>
              <w:ind w:right="210"/>
              <w:jc w:val="center"/>
              <w:rPr>
                <w:rFonts w:hint="eastAsia" w:ascii="宋体" w:hAnsi="宋体" w:eastAsia="宋体" w:cs="宋体"/>
                <w:kern w:val="2"/>
                <w:sz w:val="24"/>
                <w:szCs w:val="24"/>
                <w:highlight w:val="none"/>
              </w:rPr>
            </w:pPr>
          </w:p>
        </w:tc>
        <w:tc>
          <w:tcPr>
            <w:tcW w:w="1032" w:type="dxa"/>
            <w:shd w:val="clear" w:color="auto" w:fill="auto"/>
            <w:vAlign w:val="center"/>
          </w:tcPr>
          <w:p w14:paraId="2DF96390">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组织人员</w:t>
            </w:r>
          </w:p>
        </w:tc>
        <w:tc>
          <w:tcPr>
            <w:tcW w:w="1436" w:type="dxa"/>
            <w:vAlign w:val="center"/>
          </w:tcPr>
          <w:p w14:paraId="536D5B1C">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组织人员</w:t>
            </w:r>
          </w:p>
        </w:tc>
        <w:tc>
          <w:tcPr>
            <w:tcW w:w="6012" w:type="dxa"/>
            <w:shd w:val="clear" w:color="auto" w:fill="auto"/>
            <w:vAlign w:val="center"/>
          </w:tcPr>
          <w:p w14:paraId="0DE3C2DD">
            <w:pPr>
              <w:pStyle w:val="39"/>
              <w:spacing w:before="92"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 对接医院组织架构，对医院的医生和科室进行管理，维护医生任岗信息，设置医生任岗科室。</w:t>
            </w:r>
          </w:p>
          <w:p w14:paraId="75B73EB8">
            <w:pPr>
              <w:pStyle w:val="39"/>
              <w:spacing w:before="92"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 支持维护医护人员的基本信息、功能开通状态，以及配置相应的功能权限。</w:t>
            </w:r>
          </w:p>
          <w:p w14:paraId="254D2C2C">
            <w:pPr>
              <w:spacing w:before="45" w:line="360" w:lineRule="auto"/>
              <w:ind w:right="107"/>
              <w:rPr>
                <w:rFonts w:hint="eastAsia" w:ascii="宋体" w:hAnsi="宋体" w:eastAsia="宋体" w:cs="宋体"/>
                <w:sz w:val="24"/>
                <w:szCs w:val="24"/>
                <w:highlight w:val="none"/>
              </w:rPr>
            </w:pPr>
            <w:r>
              <w:rPr>
                <w:rFonts w:hint="eastAsia" w:ascii="宋体" w:hAnsi="宋体" w:eastAsia="宋体" w:cs="宋体"/>
                <w:sz w:val="24"/>
                <w:szCs w:val="24"/>
                <w:highlight w:val="none"/>
              </w:rPr>
              <w:t>3. 支持对医护人员的台卡、二维码等资料进行维护更新，用以辅助医生宣传。</w:t>
            </w:r>
          </w:p>
        </w:tc>
      </w:tr>
      <w:tr w14:paraId="5BE9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3EDB8ECE">
            <w:pPr>
              <w:pStyle w:val="21"/>
              <w:spacing w:line="360" w:lineRule="auto"/>
              <w:ind w:right="210"/>
              <w:jc w:val="center"/>
              <w:rPr>
                <w:rFonts w:hint="eastAsia" w:ascii="宋体" w:hAnsi="宋体" w:eastAsia="宋体" w:cs="宋体"/>
                <w:kern w:val="2"/>
                <w:sz w:val="24"/>
                <w:szCs w:val="24"/>
                <w:highlight w:val="none"/>
              </w:rPr>
            </w:pPr>
          </w:p>
        </w:tc>
        <w:tc>
          <w:tcPr>
            <w:tcW w:w="1032" w:type="dxa"/>
            <w:shd w:val="clear" w:color="auto" w:fill="auto"/>
            <w:vAlign w:val="center"/>
          </w:tcPr>
          <w:p w14:paraId="0802551F">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数据对账</w:t>
            </w:r>
          </w:p>
        </w:tc>
        <w:tc>
          <w:tcPr>
            <w:tcW w:w="1436" w:type="dxa"/>
            <w:vAlign w:val="center"/>
          </w:tcPr>
          <w:p w14:paraId="5C884965">
            <w:pPr>
              <w:pStyle w:val="21"/>
              <w:spacing w:line="360" w:lineRule="auto"/>
              <w:ind w:right="21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▲对账管理</w:t>
            </w:r>
          </w:p>
        </w:tc>
        <w:tc>
          <w:tcPr>
            <w:tcW w:w="6012" w:type="dxa"/>
            <w:shd w:val="clear" w:color="auto" w:fill="auto"/>
          </w:tcPr>
          <w:p w14:paraId="73749E4D">
            <w:pPr>
              <w:spacing w:before="45" w:line="360" w:lineRule="auto"/>
              <w:ind w:right="107"/>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改造优化现有对账功能，实现全院统一支付渠道对账（包括但不限于现金、微信、支付宝、医保、MISPOS等）</w:t>
            </w:r>
            <w:r>
              <w:rPr>
                <w:rFonts w:hint="eastAsia" w:ascii="宋体" w:hAnsi="宋体" w:eastAsia="宋体" w:cs="宋体"/>
                <w:color w:val="auto"/>
                <w:sz w:val="24"/>
                <w:szCs w:val="24"/>
                <w:highlight w:val="none"/>
              </w:rPr>
              <w:t>支持后台实现账单管理，实现在线对账、账单下载功能。</w:t>
            </w:r>
          </w:p>
        </w:tc>
      </w:tr>
      <w:tr w14:paraId="134D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gridSpan w:val="3"/>
            <w:vAlign w:val="center"/>
          </w:tcPr>
          <w:p w14:paraId="24824CA1">
            <w:pPr>
              <w:pStyle w:val="21"/>
              <w:spacing w:line="360" w:lineRule="auto"/>
              <w:ind w:right="21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相关接口</w:t>
            </w:r>
          </w:p>
        </w:tc>
        <w:tc>
          <w:tcPr>
            <w:tcW w:w="6012" w:type="dxa"/>
            <w:shd w:val="clear" w:color="auto" w:fill="auto"/>
          </w:tcPr>
          <w:p w14:paraId="40E1FF9C">
            <w:pPr>
              <w:spacing w:before="45" w:line="360" w:lineRule="auto"/>
              <w:ind w:right="107"/>
              <w:rPr>
                <w:rFonts w:hint="eastAsia" w:ascii="宋体" w:hAnsi="宋体" w:eastAsia="宋体" w:cs="宋体"/>
                <w:color w:val="ED7D31" w:themeColor="accent2"/>
                <w:sz w:val="24"/>
                <w:szCs w:val="24"/>
                <w:highlight w:val="none"/>
                <w:lang w:val="en-US" w:eastAsia="zh-CN"/>
                <w14:textFill>
                  <w14:solidFill>
                    <w14:schemeClr w14:val="accent2"/>
                  </w14:solidFill>
                </w14:textFill>
              </w:rPr>
            </w:pPr>
            <w:r>
              <w:rPr>
                <w:rFonts w:hint="eastAsia" w:ascii="宋体" w:hAnsi="宋体" w:eastAsia="宋体" w:cs="宋体"/>
                <w:color w:val="auto"/>
                <w:sz w:val="24"/>
                <w:szCs w:val="24"/>
                <w:highlight w:val="none"/>
                <w:lang w:val="en-US" w:eastAsia="zh-CN"/>
              </w:rPr>
              <w:t>系统维保期内按照医院信息化发展需求免费对接其他相关信息系统（不再单独收取接口费），满足科室使用需求和医院数据共享及信息化建设标准。</w:t>
            </w:r>
          </w:p>
        </w:tc>
      </w:tr>
    </w:tbl>
    <w:p w14:paraId="55781FE8">
      <w:pPr>
        <w:spacing w:line="360" w:lineRule="auto"/>
        <w:rPr>
          <w:rFonts w:hint="eastAsia" w:ascii="宋体" w:hAnsi="宋体" w:eastAsia="宋体" w:cs="宋体"/>
          <w:sz w:val="24"/>
          <w:szCs w:val="24"/>
          <w:highlight w:val="none"/>
        </w:rPr>
      </w:pPr>
    </w:p>
    <w:p w14:paraId="170CB11C">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”条款为实质性条款，不允许负偏离，如有负偏离投标文件将按无效文件处理。</w:t>
      </w:r>
    </w:p>
    <w:p w14:paraId="3784CB3B">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项目商务要求</w:t>
      </w:r>
    </w:p>
    <w:p w14:paraId="14E5110C">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1.项目实施要求</w:t>
      </w:r>
    </w:p>
    <w:p w14:paraId="32CBBE4B">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1.1建设周期：合同签订后6个月内完成系统的上线使用。</w:t>
      </w:r>
    </w:p>
    <w:p w14:paraId="16199F6D">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1.2项目需按期开发完毕、调试通过并交付。因采购人原因或其它不可抗力原因影响开发进度，经双方书面协商一致后可变更时间进度计划，并按变更后的进度计划执行。</w:t>
      </w:r>
    </w:p>
    <w:p w14:paraId="7005CB06">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2.人员培训要求</w:t>
      </w:r>
    </w:p>
    <w:p w14:paraId="294A8863">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2.1中标人应提供相应的应用软件技术和系统操作等方面的培训。有关应用软件的操作培训课程，培训应该在系统运作前完成。中标人将详细的培训课程以及时间表交给采购人，最后以采购人认可为准。</w:t>
      </w:r>
    </w:p>
    <w:p w14:paraId="2B5F0453">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2.2中标人必须派出具有同类型项目实际工作经验和教学经验的教师和相应的辅导人员进行培训。培训所使用的语言和教材必须是中文，否则中标人提供相应的翻译。</w:t>
      </w:r>
    </w:p>
    <w:p w14:paraId="613FC80B">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2.3 培训内容包括：</w:t>
      </w:r>
    </w:p>
    <w:p w14:paraId="66EA2DFA">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（1）在软件的安装调试、故障处理过程中，对系统使用人员进行实际的操作和故障处理培训；</w:t>
      </w:r>
    </w:p>
    <w:p w14:paraId="40F2C3CF">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（2）在整套系统安装、调试完成后，对系统使用人员的操作培训，讲授说明系统的安装、保养和应该注意的事项，使系统使用人员能够尽快地熟悉软件的性能。</w:t>
      </w:r>
    </w:p>
    <w:p w14:paraId="3C4EBCEF">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（3）中标人须提供培训方案，包括培训教师、培训内容、培训教材。</w:t>
      </w:r>
    </w:p>
    <w:p w14:paraId="33B2E368">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3.验收标准</w:t>
      </w:r>
    </w:p>
    <w:p w14:paraId="158C7E79">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验收的主要依据包括本招标需求书、投标文件、合同文件，以及用户需求说明书、设计方案，将系统安装并调试至正常运行的最佳状态。</w:t>
      </w:r>
    </w:p>
    <w:p w14:paraId="27A9DA8E">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3.2系统运行正常后，中标人需按合同所列产品标准，</w:t>
      </w:r>
      <w:r>
        <w:rPr>
          <w:rFonts w:hint="eastAsia" w:ascii="宋体" w:hAnsi="宋体" w:eastAsia="宋体" w:cs="宋体"/>
          <w:sz w:val="24"/>
          <w:szCs w:val="24"/>
          <w:highlight w:val="none"/>
          <w:lang w:val="en-US" w:eastAsia="zh-CN"/>
        </w:rPr>
        <w:t>根据信息化建设项目第三方监理公司的项目监理标准</w:t>
      </w:r>
      <w:r>
        <w:rPr>
          <w:rFonts w:hint="eastAsia" w:ascii="宋体" w:hAnsi="宋体" w:eastAsia="宋体" w:cs="宋体"/>
          <w:sz w:val="24"/>
          <w:szCs w:val="24"/>
          <w:highlight w:val="none"/>
        </w:rPr>
        <w:t>向采购人提供完成验收报告及相关资料，包括但不限于本合同涉及的全部有关产品说明书、安装手册、资料及安装、测试、试运行合格报告等文档，汇集成册交予采购人。</w:t>
      </w:r>
    </w:p>
    <w:p w14:paraId="7DE100B5">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3.3项目验收依次序对照执行标准：</w:t>
      </w:r>
    </w:p>
    <w:p w14:paraId="34F3ACEA">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3.3.1符合中华人民共和国国家和履约地相关安全质量标准、行业技术规范标准、环保节能标准。</w:t>
      </w:r>
    </w:p>
    <w:p w14:paraId="377BC363">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3.3.2符合招标文件和投标响应承诺中采购人认可的合理最佳配置、参数规格及各项要求。</w:t>
      </w:r>
    </w:p>
    <w:p w14:paraId="33287C56">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3.3.3</w:t>
      </w:r>
      <w:r>
        <w:rPr>
          <w:rFonts w:hint="eastAsia" w:ascii="宋体" w:hAnsi="宋体" w:eastAsia="宋体" w:cs="宋体"/>
          <w:sz w:val="24"/>
          <w:szCs w:val="24"/>
          <w:highlight w:val="none"/>
          <w:lang w:val="en-US" w:eastAsia="zh-CN"/>
        </w:rPr>
        <w:t>第三方监理公司和</w:t>
      </w:r>
      <w:r>
        <w:rPr>
          <w:rFonts w:hint="eastAsia" w:ascii="宋体" w:hAnsi="宋体" w:eastAsia="宋体" w:cs="宋体"/>
          <w:sz w:val="24"/>
          <w:szCs w:val="24"/>
          <w:highlight w:val="none"/>
        </w:rPr>
        <w:t>双方约定的其他验收标准。</w:t>
      </w:r>
    </w:p>
    <w:p w14:paraId="5E032E5E">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3.3.4交付验收要求：中标人在完成本合同约定项目的安装、调试等工作后应书面通知采购人进行验收，采购人在收到中标人通知后5个工作日内进行验收，验收标准根据合同约定及相关法律、法规规定、行业标准（按较高标准执行）。在验收过程中如发现问题中标人需立即进行修复，中标人修复完成并经采购人验收合格，双方在</w:t>
      </w:r>
      <w:r>
        <w:rPr>
          <w:rFonts w:hint="eastAsia" w:ascii="宋体" w:hAnsi="宋体" w:eastAsia="宋体" w:cs="宋体"/>
          <w:sz w:val="24"/>
          <w:szCs w:val="24"/>
          <w:highlight w:val="none"/>
          <w:lang w:val="en-US" w:eastAsia="zh-CN"/>
        </w:rPr>
        <w:t>验收单</w:t>
      </w:r>
      <w:r>
        <w:rPr>
          <w:rFonts w:hint="eastAsia" w:ascii="宋体" w:hAnsi="宋体" w:eastAsia="宋体" w:cs="宋体"/>
          <w:sz w:val="24"/>
          <w:szCs w:val="24"/>
          <w:highlight w:val="none"/>
        </w:rPr>
        <w:t>上签字之日为验收合格之日。</w:t>
      </w:r>
    </w:p>
    <w:p w14:paraId="767C0449">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4.付款方式</w:t>
      </w:r>
    </w:p>
    <w:p w14:paraId="0E50BA19">
      <w:pPr>
        <w:spacing w:line="360" w:lineRule="auto"/>
        <w:ind w:firstLine="480" w:firstLineChars="200"/>
        <w:rPr>
          <w:rFonts w:hint="eastAsia" w:ascii="宋体" w:hAnsi="宋体" w:eastAsia="宋体" w:cs="宋体"/>
          <w:bCs/>
          <w:szCs w:val="24"/>
          <w:highlight w:val="none"/>
          <w:lang w:val="en-US" w:eastAsia="zh-CN"/>
        </w:rPr>
      </w:pPr>
      <w:r>
        <w:rPr>
          <w:rFonts w:hint="eastAsia" w:ascii="宋体" w:hAnsi="宋体" w:eastAsia="宋体" w:cs="宋体"/>
          <w:bCs/>
          <w:szCs w:val="24"/>
          <w:highlight w:val="none"/>
          <w:lang w:val="en-US" w:eastAsia="zh-CN"/>
        </w:rPr>
        <w:t>项目验收合格后次月支付合同金额的40%；项目验收合格后第10个月支付合同金额的55%；项目质保期到期后支付合同金额的5%。</w:t>
      </w:r>
    </w:p>
    <w:p w14:paraId="70CAEAAA">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5.售后服务要求</w:t>
      </w:r>
    </w:p>
    <w:p w14:paraId="33996C73">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5.1质保期：自项目最终验收通过之日起，中标人应为采购人提供1年质保，保证采购人顺利运行系统。包括软件维护服务、技术服务支持，维护包括系统维护、性能提升、故障检测，相关费用包含在合同金额内，日期从项目通过验收次日起计算。</w:t>
      </w:r>
    </w:p>
    <w:p w14:paraId="1FE258D0">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5.2售后服务内容包括：</w:t>
      </w:r>
    </w:p>
    <w:p w14:paraId="4975DFA8">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（1）系统环境的维护：主要防止因操作系统故障或系统配置故障影响用户正常使用。</w:t>
      </w:r>
    </w:p>
    <w:p w14:paraId="4A11FD6F">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（2）系统应用软件维护：对应用软件设计在保证期内进行更新维护，并迅速恢复因用户误操作或某些错误操作导致系统故障。</w:t>
      </w:r>
    </w:p>
    <w:p w14:paraId="42CC5F0D">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3后期维保服务</w:t>
      </w:r>
      <w:r>
        <w:rPr>
          <w:rFonts w:hint="eastAsia" w:ascii="宋体" w:hAnsi="宋体" w:eastAsia="宋体" w:cs="宋体"/>
          <w:sz w:val="24"/>
          <w:szCs w:val="24"/>
          <w:highlight w:val="none"/>
        </w:rPr>
        <w:t>：</w:t>
      </w:r>
    </w:p>
    <w:p w14:paraId="100C6F13">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免费维保期后医院可根据实际情况签订维保服务协议，年维保费用不得超过中标金额的5%</w:t>
      </w:r>
      <w:r>
        <w:rPr>
          <w:rFonts w:hint="eastAsia" w:ascii="宋体" w:hAnsi="宋体" w:eastAsia="宋体" w:cs="宋体"/>
          <w:sz w:val="24"/>
          <w:szCs w:val="24"/>
          <w:highlight w:val="none"/>
        </w:rPr>
        <w:t>。</w:t>
      </w:r>
    </w:p>
    <w:p w14:paraId="72A9158B">
      <w:pPr>
        <w:pStyle w:val="58"/>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维保期内需提供系统环境及应用服务的免费更新维护，并根据医院需要免费提供接口对接医院其他业务，同时免费提供现有模块的优化升级。</w:t>
      </w:r>
    </w:p>
    <w:p w14:paraId="356FED04">
      <w:pPr>
        <w:rPr>
          <w:rFonts w:hint="eastAsia" w:ascii="宋体" w:eastAsia="宋体" w:cs="宋体"/>
          <w:sz w:val="36"/>
          <w:szCs w:val="36"/>
          <w:highlight w:val="none"/>
        </w:rPr>
      </w:pPr>
      <w:r>
        <w:rPr>
          <w:rFonts w:hint="eastAsia" w:ascii="宋体" w:eastAsia="宋体" w:cs="宋体"/>
          <w:sz w:val="36"/>
          <w:szCs w:val="36"/>
          <w:highlight w:val="none"/>
        </w:rPr>
        <w:br w:type="page"/>
      </w:r>
    </w:p>
    <w:p w14:paraId="25F03622">
      <w:pPr>
        <w:pStyle w:val="2"/>
        <w:jc w:val="center"/>
        <w:rPr>
          <w:highlight w:val="none"/>
        </w:rPr>
      </w:pPr>
      <w:r>
        <w:rPr>
          <w:rFonts w:hint="eastAsia" w:ascii="宋体" w:eastAsia="宋体" w:cs="宋体"/>
          <w:sz w:val="36"/>
          <w:szCs w:val="36"/>
          <w:highlight w:val="none"/>
        </w:rPr>
        <w:t>第五章  评标方法</w:t>
      </w:r>
      <w:bookmarkEnd w:id="92"/>
    </w:p>
    <w:p w14:paraId="3B54AACF">
      <w:pPr>
        <w:spacing w:line="360" w:lineRule="auto"/>
        <w:rPr>
          <w:rFonts w:hAnsi="宋体" w:cs="宋体"/>
          <w:b/>
          <w:sz w:val="28"/>
          <w:szCs w:val="28"/>
          <w:highlight w:val="none"/>
        </w:rPr>
      </w:pPr>
      <w:bookmarkStart w:id="101" w:name="_Toc363463332"/>
      <w:r>
        <w:rPr>
          <w:rFonts w:hint="eastAsia" w:hAnsi="宋体" w:cs="宋体"/>
          <w:b/>
          <w:sz w:val="28"/>
          <w:szCs w:val="28"/>
          <w:highlight w:val="none"/>
        </w:rPr>
        <w:t>一、评标方法</w:t>
      </w:r>
      <w:bookmarkEnd w:id="101"/>
    </w:p>
    <w:p w14:paraId="201BB928">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按照</w:t>
      </w:r>
      <w:r>
        <w:rPr>
          <w:rFonts w:hint="eastAsia" w:hAnsi="宋体" w:cs="宋体"/>
          <w:szCs w:val="24"/>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14:paraId="77E942FB">
      <w:pPr>
        <w:spacing w:line="360" w:lineRule="auto"/>
        <w:rPr>
          <w:rFonts w:hAnsi="宋体" w:cs="宋体"/>
          <w:b/>
          <w:sz w:val="28"/>
          <w:szCs w:val="28"/>
          <w:highlight w:val="none"/>
        </w:rPr>
      </w:pPr>
      <w:r>
        <w:rPr>
          <w:rFonts w:hint="eastAsia" w:hAnsi="宋体" w:cs="宋体"/>
          <w:b/>
          <w:sz w:val="28"/>
          <w:szCs w:val="28"/>
          <w:highlight w:val="none"/>
        </w:rPr>
        <w:t>二、评审标准</w:t>
      </w:r>
    </w:p>
    <w:p w14:paraId="4030ABA2">
      <w:pPr>
        <w:tabs>
          <w:tab w:val="left" w:pos="0"/>
        </w:tabs>
        <w:adjustRightInd w:val="0"/>
        <w:snapToGrid w:val="0"/>
        <w:spacing w:line="360" w:lineRule="auto"/>
        <w:ind w:firstLine="472" w:firstLineChars="196"/>
        <w:rPr>
          <w:rFonts w:hAnsi="宋体" w:cs="宋体"/>
          <w:b/>
          <w:szCs w:val="24"/>
          <w:highlight w:val="none"/>
        </w:rPr>
      </w:pPr>
      <w:r>
        <w:rPr>
          <w:rFonts w:hint="eastAsia" w:hAnsi="宋体" w:cs="宋体"/>
          <w:b/>
          <w:szCs w:val="24"/>
          <w:highlight w:val="none"/>
        </w:rPr>
        <w:t>2.1初步评审标准</w:t>
      </w:r>
    </w:p>
    <w:p w14:paraId="0203D49D">
      <w:pPr>
        <w:tabs>
          <w:tab w:val="left" w:pos="0"/>
        </w:tabs>
        <w:adjustRightInd w:val="0"/>
        <w:snapToGrid w:val="0"/>
        <w:spacing w:line="360" w:lineRule="auto"/>
        <w:ind w:firstLine="470" w:firstLineChars="196"/>
        <w:rPr>
          <w:rFonts w:hAnsi="宋体" w:cs="宋体"/>
          <w:szCs w:val="24"/>
          <w:highlight w:val="none"/>
        </w:rPr>
      </w:pPr>
      <w:r>
        <w:rPr>
          <w:rFonts w:hint="eastAsia" w:hAnsi="宋体" w:cs="宋体"/>
          <w:szCs w:val="24"/>
          <w:highlight w:val="none"/>
        </w:rPr>
        <w:t>2.1.1资格性审查标准：见附件1初步审查要素表。</w:t>
      </w:r>
    </w:p>
    <w:p w14:paraId="5D4268A2">
      <w:pPr>
        <w:tabs>
          <w:tab w:val="left" w:pos="0"/>
        </w:tabs>
        <w:adjustRightInd w:val="0"/>
        <w:snapToGrid w:val="0"/>
        <w:spacing w:line="360" w:lineRule="auto"/>
        <w:ind w:firstLine="470" w:firstLineChars="196"/>
        <w:rPr>
          <w:rFonts w:hAnsi="宋体" w:cs="宋体"/>
          <w:szCs w:val="24"/>
          <w:highlight w:val="none"/>
        </w:rPr>
      </w:pPr>
      <w:r>
        <w:rPr>
          <w:rFonts w:hint="eastAsia" w:hAnsi="宋体" w:cs="宋体"/>
          <w:szCs w:val="24"/>
          <w:highlight w:val="none"/>
        </w:rPr>
        <w:t>2.1.2符合性审查标准：见附件1初步审查要素表。</w:t>
      </w:r>
    </w:p>
    <w:p w14:paraId="2CBE9008">
      <w:pPr>
        <w:tabs>
          <w:tab w:val="left" w:pos="0"/>
        </w:tabs>
        <w:adjustRightInd w:val="0"/>
        <w:snapToGrid w:val="0"/>
        <w:spacing w:line="360" w:lineRule="auto"/>
        <w:ind w:firstLine="472" w:firstLineChars="196"/>
        <w:rPr>
          <w:rFonts w:hAnsi="宋体" w:cs="宋体"/>
          <w:b/>
          <w:szCs w:val="24"/>
          <w:highlight w:val="none"/>
        </w:rPr>
      </w:pPr>
      <w:r>
        <w:rPr>
          <w:rFonts w:hint="eastAsia" w:hAnsi="宋体" w:cs="宋体"/>
          <w:b/>
          <w:szCs w:val="24"/>
          <w:highlight w:val="none"/>
        </w:rPr>
        <w:t>2.2分值构成与评分标准</w:t>
      </w:r>
    </w:p>
    <w:p w14:paraId="21617ADB">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2.2.1 分值构成</w:t>
      </w:r>
    </w:p>
    <w:p w14:paraId="239B86F9">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（1）投标价格：见附件2评标因素及权重分值表。</w:t>
      </w:r>
    </w:p>
    <w:p w14:paraId="799BFEEB">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（2）技术评审：见附件2评标因素及权重分值表。</w:t>
      </w:r>
    </w:p>
    <w:p w14:paraId="47E31261">
      <w:pPr>
        <w:tabs>
          <w:tab w:val="left" w:pos="0"/>
        </w:tabs>
        <w:adjustRightInd w:val="0"/>
        <w:snapToGrid w:val="0"/>
        <w:spacing w:line="360" w:lineRule="auto"/>
        <w:ind w:firstLine="470" w:firstLineChars="196"/>
        <w:rPr>
          <w:rFonts w:hAnsi="宋体" w:cs="宋体"/>
          <w:bCs/>
          <w:szCs w:val="24"/>
          <w:highlight w:val="none"/>
        </w:rPr>
      </w:pPr>
      <w:r>
        <w:rPr>
          <w:rFonts w:hint="eastAsia" w:hAnsi="宋体" w:cs="宋体"/>
          <w:bCs/>
          <w:szCs w:val="24"/>
          <w:highlight w:val="none"/>
        </w:rPr>
        <w:t>（3）履约能力及服务承诺：见附件2评标因素及权重分值表。</w:t>
      </w:r>
    </w:p>
    <w:p w14:paraId="6A02564E">
      <w:pPr>
        <w:spacing w:line="360" w:lineRule="auto"/>
        <w:rPr>
          <w:rFonts w:hAnsi="宋体" w:cs="宋体"/>
          <w:b/>
          <w:sz w:val="28"/>
          <w:szCs w:val="28"/>
          <w:highlight w:val="none"/>
        </w:rPr>
      </w:pPr>
      <w:bookmarkStart w:id="102" w:name="_Toc363463333"/>
      <w:r>
        <w:rPr>
          <w:rFonts w:hint="eastAsia" w:hAnsi="宋体" w:cs="宋体"/>
          <w:b/>
          <w:sz w:val="28"/>
          <w:szCs w:val="28"/>
          <w:highlight w:val="none"/>
        </w:rPr>
        <w:t>三、评标程序</w:t>
      </w:r>
      <w:bookmarkEnd w:id="102"/>
    </w:p>
    <w:p w14:paraId="2A588F4E">
      <w:pPr>
        <w:spacing w:line="360" w:lineRule="auto"/>
        <w:ind w:firstLine="482" w:firstLineChars="200"/>
        <w:rPr>
          <w:rFonts w:hAnsi="宋体" w:cs="宋体"/>
          <w:b/>
          <w:szCs w:val="24"/>
          <w:highlight w:val="none"/>
        </w:rPr>
      </w:pPr>
      <w:r>
        <w:rPr>
          <w:rFonts w:hint="eastAsia" w:hAnsi="宋体" w:cs="宋体"/>
          <w:b/>
          <w:szCs w:val="24"/>
          <w:highlight w:val="none"/>
        </w:rPr>
        <w:t>1.本采购项目评标按照下列工作程序进行</w:t>
      </w:r>
      <w:r>
        <w:rPr>
          <w:rFonts w:hint="eastAsia" w:hAnsi="宋体" w:cs="宋体"/>
          <w:bCs/>
          <w:szCs w:val="24"/>
          <w:highlight w:val="none"/>
        </w:rPr>
        <w:t>（在上一步评审中被认定无效投标者，不进入下一步的评审）。</w:t>
      </w:r>
    </w:p>
    <w:p w14:paraId="0BF6E654">
      <w:pPr>
        <w:spacing w:line="360" w:lineRule="auto"/>
        <w:ind w:firstLine="495"/>
        <w:rPr>
          <w:rFonts w:hAnsi="宋体" w:cs="宋体"/>
          <w:szCs w:val="24"/>
          <w:highlight w:val="none"/>
        </w:rPr>
      </w:pPr>
      <w:r>
        <w:rPr>
          <w:rFonts w:hint="eastAsia" w:hAnsi="宋体" w:cs="宋体"/>
          <w:szCs w:val="24"/>
          <w:highlight w:val="none"/>
        </w:rPr>
        <w:t>（1）投标文件初审；</w:t>
      </w:r>
    </w:p>
    <w:p w14:paraId="70B0EF05">
      <w:pPr>
        <w:spacing w:line="360" w:lineRule="auto"/>
        <w:ind w:firstLine="495"/>
        <w:rPr>
          <w:rFonts w:hAnsi="宋体" w:cs="宋体"/>
          <w:szCs w:val="24"/>
          <w:highlight w:val="none"/>
        </w:rPr>
      </w:pPr>
      <w:r>
        <w:rPr>
          <w:rFonts w:hint="eastAsia" w:hAnsi="宋体" w:cs="宋体"/>
          <w:szCs w:val="24"/>
          <w:highlight w:val="none"/>
        </w:rPr>
        <w:t>（2）澄清有关问题；</w:t>
      </w:r>
    </w:p>
    <w:p w14:paraId="27D263B1">
      <w:pPr>
        <w:spacing w:line="360" w:lineRule="auto"/>
        <w:ind w:firstLine="495"/>
        <w:rPr>
          <w:rFonts w:hAnsi="宋体" w:cs="宋体"/>
          <w:szCs w:val="24"/>
          <w:highlight w:val="none"/>
        </w:rPr>
      </w:pPr>
      <w:r>
        <w:rPr>
          <w:rFonts w:hint="eastAsia" w:hAnsi="宋体" w:cs="宋体"/>
          <w:szCs w:val="24"/>
          <w:highlight w:val="none"/>
        </w:rPr>
        <w:t>（3）比较与评价；</w:t>
      </w:r>
    </w:p>
    <w:p w14:paraId="309E1054">
      <w:pPr>
        <w:spacing w:line="360" w:lineRule="auto"/>
        <w:ind w:firstLine="495"/>
        <w:rPr>
          <w:rFonts w:hAnsi="宋体" w:cs="宋体"/>
          <w:szCs w:val="24"/>
          <w:highlight w:val="none"/>
        </w:rPr>
      </w:pPr>
      <w:r>
        <w:rPr>
          <w:rFonts w:hint="eastAsia" w:hAnsi="宋体" w:cs="宋体"/>
          <w:szCs w:val="24"/>
          <w:highlight w:val="none"/>
        </w:rPr>
        <w:t>（4）推荐中标候选人名单。</w:t>
      </w:r>
    </w:p>
    <w:p w14:paraId="3E72B597">
      <w:pPr>
        <w:spacing w:before="120" w:after="120" w:line="360" w:lineRule="auto"/>
        <w:rPr>
          <w:rFonts w:hAnsi="宋体" w:cs="宋体"/>
          <w:b/>
          <w:szCs w:val="24"/>
          <w:highlight w:val="none"/>
        </w:rPr>
      </w:pPr>
      <w:r>
        <w:rPr>
          <w:rFonts w:hint="eastAsia" w:hAnsi="宋体" w:cs="宋体"/>
          <w:b/>
          <w:szCs w:val="24"/>
          <w:highlight w:val="none"/>
        </w:rPr>
        <w:t>2.投标文件初审</w:t>
      </w:r>
    </w:p>
    <w:p w14:paraId="154F2E8D">
      <w:pPr>
        <w:tabs>
          <w:tab w:val="left" w:pos="0"/>
        </w:tabs>
        <w:adjustRightInd w:val="0"/>
        <w:snapToGrid w:val="0"/>
        <w:spacing w:line="360" w:lineRule="auto"/>
        <w:ind w:firstLine="472" w:firstLineChars="196"/>
        <w:rPr>
          <w:rFonts w:hAnsi="宋体" w:cs="宋体"/>
          <w:szCs w:val="24"/>
          <w:highlight w:val="none"/>
        </w:rPr>
      </w:pPr>
      <w:r>
        <w:rPr>
          <w:rFonts w:hint="eastAsia" w:hAnsi="宋体" w:cs="宋体"/>
          <w:b/>
          <w:bCs/>
          <w:szCs w:val="24"/>
          <w:highlight w:val="none"/>
        </w:rPr>
        <w:t>采购人及采购代理机构根据本章第 2.1 项规定的评审标准对投标文件进行初步评审。有一项不符合评审标准的，应当否决其投标。</w:t>
      </w:r>
    </w:p>
    <w:p w14:paraId="3DE18814">
      <w:pPr>
        <w:tabs>
          <w:tab w:val="left" w:pos="0"/>
        </w:tabs>
        <w:adjustRightInd w:val="0"/>
        <w:snapToGrid w:val="0"/>
        <w:spacing w:line="360" w:lineRule="auto"/>
        <w:ind w:firstLine="472" w:firstLineChars="196"/>
        <w:rPr>
          <w:rFonts w:hAnsi="宋体" w:cs="宋体"/>
          <w:b/>
          <w:bCs/>
          <w:szCs w:val="24"/>
          <w:highlight w:val="none"/>
        </w:rPr>
      </w:pPr>
      <w:r>
        <w:rPr>
          <w:rFonts w:hint="eastAsia" w:hAnsi="宋体" w:cs="宋体"/>
          <w:b/>
          <w:bCs/>
          <w:szCs w:val="24"/>
          <w:highlight w:val="none"/>
        </w:rPr>
        <w:t>在资格性审查阶段，不符合文件要求的，不得进入符合性审查，在资格性审查和符合性审查时未通过的，不得进入后续评审环节。</w:t>
      </w:r>
    </w:p>
    <w:p w14:paraId="34DA42BD">
      <w:pPr>
        <w:spacing w:before="120" w:after="120" w:line="360" w:lineRule="auto"/>
        <w:rPr>
          <w:rFonts w:hAnsi="宋体" w:cs="宋体"/>
          <w:b/>
          <w:szCs w:val="24"/>
          <w:highlight w:val="none"/>
        </w:rPr>
      </w:pPr>
      <w:r>
        <w:rPr>
          <w:rFonts w:hint="eastAsia" w:hAnsi="宋体" w:cs="宋体"/>
          <w:b/>
          <w:szCs w:val="24"/>
          <w:highlight w:val="none"/>
        </w:rPr>
        <w:t>3.投标文件的澄清</w:t>
      </w:r>
    </w:p>
    <w:p w14:paraId="4A992A2C">
      <w:pPr>
        <w:spacing w:line="360" w:lineRule="auto"/>
        <w:ind w:firstLine="480" w:firstLineChars="200"/>
        <w:rPr>
          <w:rFonts w:hAnsi="宋体" w:cs="宋体"/>
          <w:szCs w:val="24"/>
          <w:highlight w:val="none"/>
        </w:rPr>
      </w:pPr>
      <w:r>
        <w:rPr>
          <w:rFonts w:hint="eastAsia" w:hAnsi="宋体" w:cs="宋体"/>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负责人或授权代表签字。供应商的澄清、说明或者补正不得超出投标文件的范围或者改变投标文件的实质性内容。评标委员会不接受供应商主动提出的澄清、说明。</w:t>
      </w:r>
    </w:p>
    <w:p w14:paraId="3F8BFEE7">
      <w:pPr>
        <w:spacing w:line="360" w:lineRule="auto"/>
        <w:ind w:firstLine="480" w:firstLineChars="200"/>
        <w:rPr>
          <w:rFonts w:hAnsi="宋体" w:cs="宋体"/>
          <w:szCs w:val="24"/>
          <w:highlight w:val="none"/>
        </w:rPr>
      </w:pPr>
      <w:r>
        <w:rPr>
          <w:rFonts w:hint="eastAsia" w:hAnsi="宋体" w:cs="宋体"/>
          <w:szCs w:val="24"/>
          <w:highlight w:val="none"/>
        </w:rPr>
        <w:t>3.2有效的书面澄清材料，是投标文件的补充材料，成为投标文件的组成部分。</w:t>
      </w:r>
    </w:p>
    <w:p w14:paraId="49271EC8">
      <w:pPr>
        <w:tabs>
          <w:tab w:val="left" w:pos="851"/>
        </w:tabs>
        <w:spacing w:line="360" w:lineRule="auto"/>
        <w:ind w:firstLine="480" w:firstLineChars="200"/>
        <w:rPr>
          <w:rFonts w:hAnsi="宋体" w:cs="宋体"/>
          <w:szCs w:val="24"/>
          <w:highlight w:val="none"/>
        </w:rPr>
      </w:pPr>
      <w:r>
        <w:rPr>
          <w:rFonts w:hint="eastAsia" w:hAnsi="宋体" w:cs="宋体"/>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201A4E5">
      <w:pPr>
        <w:spacing w:before="120" w:after="120" w:line="360" w:lineRule="auto"/>
        <w:jc w:val="left"/>
        <w:rPr>
          <w:rFonts w:hAnsi="宋体" w:cs="宋体"/>
          <w:b/>
          <w:szCs w:val="24"/>
          <w:highlight w:val="none"/>
        </w:rPr>
      </w:pPr>
      <w:r>
        <w:rPr>
          <w:rFonts w:hint="eastAsia" w:hAnsi="宋体" w:cs="宋体"/>
          <w:b/>
          <w:szCs w:val="24"/>
          <w:highlight w:val="none"/>
        </w:rPr>
        <w:t>4.投标文件比较与评价</w:t>
      </w:r>
    </w:p>
    <w:p w14:paraId="376E9F2A">
      <w:pPr>
        <w:tabs>
          <w:tab w:val="left" w:pos="0"/>
        </w:tabs>
        <w:adjustRightInd w:val="0"/>
        <w:snapToGrid w:val="0"/>
        <w:spacing w:before="120" w:line="360" w:lineRule="auto"/>
        <w:ind w:firstLine="480" w:firstLineChars="200"/>
        <w:rPr>
          <w:rFonts w:hAnsi="宋体" w:cs="宋体"/>
          <w:szCs w:val="24"/>
          <w:highlight w:val="none"/>
        </w:rPr>
      </w:pPr>
      <w:r>
        <w:rPr>
          <w:rFonts w:hint="eastAsia" w:hAnsi="宋体" w:cs="宋体"/>
          <w:szCs w:val="24"/>
          <w:highlight w:val="none"/>
        </w:rPr>
        <w:t>4.1</w:t>
      </w:r>
      <w:r>
        <w:rPr>
          <w:rFonts w:hint="eastAsia" w:hAnsi="宋体" w:cs="宋体"/>
          <w:bCs/>
          <w:szCs w:val="24"/>
          <w:highlight w:val="none"/>
        </w:rPr>
        <w:t>评委会应按照招标文件中规定的评标方法</w:t>
      </w:r>
      <w:r>
        <w:rPr>
          <w:rFonts w:hint="eastAsia" w:hAnsi="宋体" w:cs="宋体"/>
          <w:szCs w:val="24"/>
          <w:highlight w:val="none"/>
        </w:rPr>
        <w:t>和标准，</w:t>
      </w:r>
      <w:r>
        <w:rPr>
          <w:rFonts w:hint="eastAsia" w:hAnsi="宋体" w:cs="宋体"/>
          <w:bCs/>
          <w:szCs w:val="24"/>
          <w:highlight w:val="none"/>
        </w:rPr>
        <w:t>对</w:t>
      </w:r>
      <w:r>
        <w:rPr>
          <w:rFonts w:hint="eastAsia" w:hAnsi="宋体" w:cs="宋体"/>
          <w:szCs w:val="24"/>
          <w:highlight w:val="none"/>
        </w:rPr>
        <w:t>资格性检查和符合性检查</w:t>
      </w:r>
      <w:r>
        <w:rPr>
          <w:rFonts w:hint="eastAsia" w:hAnsi="宋体" w:cs="宋体"/>
          <w:bCs/>
          <w:szCs w:val="24"/>
          <w:highlight w:val="none"/>
        </w:rPr>
        <w:t>合格的投标文件进行商务和技术评估，综合比较与评价。</w:t>
      </w:r>
    </w:p>
    <w:p w14:paraId="59483D97">
      <w:pPr>
        <w:spacing w:line="360" w:lineRule="auto"/>
        <w:ind w:firstLine="470" w:firstLineChars="196"/>
        <w:rPr>
          <w:rFonts w:hAnsi="宋体" w:cs="宋体"/>
          <w:szCs w:val="24"/>
          <w:highlight w:val="none"/>
        </w:rPr>
      </w:pPr>
      <w:r>
        <w:rPr>
          <w:rFonts w:hint="eastAsia" w:hAnsi="宋体" w:cs="宋体"/>
          <w:szCs w:val="24"/>
          <w:highlight w:val="none"/>
        </w:rPr>
        <w:t>4.2如果投标文件没有实质性响应招标文件的要求，评委会将予以拒绝。供应商不得通过修正或撤销不合要求的偏离或保留，从而使其投标成为实质性响应的投标。</w:t>
      </w:r>
    </w:p>
    <w:p w14:paraId="4A5221CE">
      <w:pPr>
        <w:spacing w:line="360" w:lineRule="auto"/>
        <w:ind w:firstLine="120" w:firstLineChars="50"/>
        <w:rPr>
          <w:rFonts w:hAnsi="宋体" w:cs="宋体"/>
          <w:b/>
          <w:szCs w:val="24"/>
          <w:highlight w:val="none"/>
        </w:rPr>
      </w:pPr>
      <w:r>
        <w:rPr>
          <w:rFonts w:hint="eastAsia" w:hAnsi="宋体" w:cs="宋体"/>
          <w:b/>
          <w:szCs w:val="24"/>
          <w:highlight w:val="none"/>
        </w:rPr>
        <w:t>四、政策性扣减</w:t>
      </w:r>
    </w:p>
    <w:p w14:paraId="06CE1CA2">
      <w:pPr>
        <w:spacing w:line="600" w:lineRule="exact"/>
        <w:ind w:firstLine="482" w:firstLineChars="200"/>
        <w:rPr>
          <w:rFonts w:hAnsi="宋体" w:cs="宋体"/>
          <w:b/>
          <w:szCs w:val="24"/>
          <w:highlight w:val="none"/>
        </w:rPr>
      </w:pPr>
      <w:r>
        <w:rPr>
          <w:rFonts w:hint="eastAsia" w:hAnsi="宋体" w:cs="宋体"/>
          <w:b/>
          <w:szCs w:val="24"/>
          <w:highlight w:val="none"/>
        </w:rPr>
        <w:t>1、政策性扣减范围</w:t>
      </w:r>
    </w:p>
    <w:p w14:paraId="3999E880">
      <w:pPr>
        <w:spacing w:line="600" w:lineRule="exact"/>
        <w:ind w:firstLine="480" w:firstLineChars="200"/>
        <w:rPr>
          <w:rFonts w:hAnsi="宋体" w:cs="宋体"/>
          <w:szCs w:val="24"/>
          <w:highlight w:val="none"/>
        </w:rPr>
      </w:pPr>
      <w:r>
        <w:rPr>
          <w:rFonts w:hint="eastAsia" w:hAnsi="宋体" w:cs="宋体"/>
          <w:szCs w:val="24"/>
          <w:highlight w:val="none"/>
        </w:rPr>
        <w:t>1.1供应商符合小型、微型企业或监狱企业、残疾人福利性单位条件的，其投标报价价格评审时将按相应比例进行扣减。</w:t>
      </w:r>
    </w:p>
    <w:p w14:paraId="4561434D">
      <w:pPr>
        <w:spacing w:line="600" w:lineRule="exact"/>
        <w:ind w:firstLine="480" w:firstLineChars="200"/>
        <w:rPr>
          <w:rFonts w:hAnsi="宋体" w:cs="宋体"/>
          <w:szCs w:val="24"/>
          <w:highlight w:val="none"/>
        </w:rPr>
      </w:pPr>
      <w:r>
        <w:rPr>
          <w:rFonts w:hint="eastAsia" w:hAnsi="宋体" w:cs="宋体"/>
          <w:szCs w:val="24"/>
          <w:highlight w:val="none"/>
        </w:rPr>
        <w:t>1.2依照&lt;关于印发《政府采购促进中小企业发展暂行办法》的通知&gt;财库〔2020〕46号的规定，小型、微型企业应当同时符合以下条件：</w:t>
      </w:r>
    </w:p>
    <w:p w14:paraId="70E8C4DD">
      <w:pPr>
        <w:spacing w:line="600" w:lineRule="exact"/>
        <w:ind w:firstLine="480" w:firstLineChars="200"/>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3B44F7D1">
      <w:pPr>
        <w:spacing w:line="600" w:lineRule="exact"/>
        <w:ind w:firstLine="480" w:firstLineChars="200"/>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48262609">
      <w:pPr>
        <w:spacing w:line="600" w:lineRule="exact"/>
        <w:ind w:firstLine="480" w:firstLineChars="200"/>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45CCDA2E">
      <w:pPr>
        <w:spacing w:line="600" w:lineRule="exact"/>
        <w:ind w:firstLine="480" w:firstLineChars="200"/>
        <w:rPr>
          <w:rFonts w:hAnsi="宋体" w:cs="宋体"/>
          <w:szCs w:val="24"/>
          <w:highlight w:val="none"/>
        </w:rPr>
      </w:pPr>
      <w:r>
        <w:rPr>
          <w:rFonts w:hint="eastAsia" w:hAnsi="宋体" w:cs="宋体"/>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14:paraId="497463F8">
      <w:pPr>
        <w:spacing w:line="360" w:lineRule="auto"/>
        <w:ind w:firstLine="480" w:firstLineChars="200"/>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7"/>
          <w:rFonts w:hint="default"/>
          <w:color w:val="auto"/>
          <w:sz w:val="24"/>
          <w:szCs w:val="24"/>
          <w:highlight w:val="none"/>
        </w:rPr>
        <w:t>http://www.ccgp.gov.cn/</w:t>
      </w:r>
      <w:r>
        <w:rPr>
          <w:rStyle w:val="27"/>
          <w:rFonts w:hint="default"/>
          <w:color w:val="auto"/>
          <w:sz w:val="24"/>
          <w:szCs w:val="24"/>
          <w:highlight w:val="none"/>
        </w:rPr>
        <w:fldChar w:fldCharType="end"/>
      </w:r>
      <w:r>
        <w:rPr>
          <w:rFonts w:hint="eastAsia" w:hAnsi="宋体" w:cs="宋体"/>
          <w:szCs w:val="24"/>
          <w:highlight w:val="none"/>
        </w:rPr>
        <w:t>）上查找。</w:t>
      </w:r>
    </w:p>
    <w:p w14:paraId="0A24007E">
      <w:pPr>
        <w:spacing w:line="360" w:lineRule="auto"/>
        <w:ind w:firstLine="480" w:firstLineChars="200"/>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7"/>
          <w:rFonts w:hint="default"/>
          <w:color w:val="auto"/>
          <w:sz w:val="24"/>
          <w:szCs w:val="24"/>
          <w:highlight w:val="none"/>
        </w:rPr>
        <w:t>http://www.ccgp.gov.cn/</w:t>
      </w:r>
      <w:r>
        <w:rPr>
          <w:rStyle w:val="27"/>
          <w:rFonts w:hint="default"/>
          <w:color w:val="auto"/>
          <w:sz w:val="24"/>
          <w:szCs w:val="24"/>
          <w:highlight w:val="none"/>
        </w:rPr>
        <w:fldChar w:fldCharType="end"/>
      </w:r>
      <w:r>
        <w:rPr>
          <w:rFonts w:hint="eastAsia" w:hAnsi="宋体" w:cs="宋体"/>
          <w:szCs w:val="24"/>
          <w:highlight w:val="none"/>
        </w:rPr>
        <w:t>）上查找。</w:t>
      </w:r>
    </w:p>
    <w:p w14:paraId="4C86BB6B">
      <w:pPr>
        <w:spacing w:line="560" w:lineRule="exact"/>
        <w:ind w:firstLine="480" w:firstLineChars="200"/>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1082D19C">
      <w:pPr>
        <w:spacing w:line="560" w:lineRule="exact"/>
        <w:ind w:firstLine="480" w:firstLineChars="20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674F0D1B">
      <w:pPr>
        <w:spacing w:line="600" w:lineRule="exact"/>
        <w:ind w:firstLine="482" w:firstLineChars="200"/>
        <w:rPr>
          <w:rFonts w:hAnsi="宋体" w:cs="宋体"/>
          <w:b/>
          <w:szCs w:val="24"/>
          <w:highlight w:val="none"/>
        </w:rPr>
      </w:pPr>
      <w:r>
        <w:rPr>
          <w:rFonts w:hint="eastAsia" w:hAnsi="宋体" w:cs="宋体"/>
          <w:b/>
          <w:szCs w:val="24"/>
          <w:highlight w:val="none"/>
        </w:rPr>
        <w:t>2、政策性扣减方式：</w:t>
      </w:r>
    </w:p>
    <w:p w14:paraId="412B45A6">
      <w:pPr>
        <w:spacing w:line="600" w:lineRule="exact"/>
        <w:ind w:firstLine="480" w:firstLineChars="200"/>
        <w:rPr>
          <w:rFonts w:hAnsi="宋体" w:cs="宋体"/>
          <w:szCs w:val="24"/>
          <w:highlight w:val="none"/>
        </w:rPr>
      </w:pPr>
      <w:r>
        <w:rPr>
          <w:rFonts w:hint="eastAsia" w:hAnsi="宋体" w:cs="宋体"/>
          <w:szCs w:val="24"/>
          <w:highlight w:val="none"/>
        </w:rPr>
        <w:t>2.1在投标报价的基础上，对小微企业、监狱企业、残疾人福利性单位，按“投标报价×6%”进行扣减；</w:t>
      </w:r>
    </w:p>
    <w:p w14:paraId="496042E2">
      <w:pPr>
        <w:spacing w:line="600" w:lineRule="exact"/>
        <w:ind w:firstLine="480" w:firstLineChars="200"/>
        <w:rPr>
          <w:rFonts w:hAnsi="宋体" w:cs="宋体"/>
          <w:szCs w:val="24"/>
          <w:highlight w:val="none"/>
        </w:rPr>
      </w:pPr>
      <w:r>
        <w:rPr>
          <w:rFonts w:hint="eastAsia" w:hAnsi="宋体" w:cs="宋体"/>
          <w:szCs w:val="24"/>
          <w:highlight w:val="none"/>
        </w:rPr>
        <w:t>2.2供应商为联合体参与投标，且联合协议中约定小型或微型企业的协议合同金额占到联合体协议合同总金额30％以上的，按“投标报价×2%”进行扣减；</w:t>
      </w:r>
    </w:p>
    <w:p w14:paraId="1FA8738C">
      <w:pPr>
        <w:spacing w:line="600" w:lineRule="exact"/>
        <w:ind w:firstLine="480" w:firstLineChars="200"/>
        <w:rPr>
          <w:rFonts w:hAnsi="宋体" w:cs="宋体"/>
          <w:szCs w:val="24"/>
          <w:highlight w:val="none"/>
        </w:rPr>
      </w:pPr>
      <w:r>
        <w:rPr>
          <w:rFonts w:hint="eastAsia" w:hAnsi="宋体" w:cs="宋体"/>
          <w:szCs w:val="24"/>
          <w:highlight w:val="none"/>
        </w:rPr>
        <w:t>2.3供应商享受</w:t>
      </w:r>
      <w:r>
        <w:rPr>
          <w:rFonts w:hint="eastAsia" w:hAnsi="宋体" w:cs="宋体"/>
          <w:bCs/>
          <w:szCs w:val="24"/>
          <w:highlight w:val="none"/>
        </w:rPr>
        <w:t>支持</w:t>
      </w:r>
      <w:r>
        <w:rPr>
          <w:rFonts w:hint="eastAsia" w:hAnsi="宋体" w:cs="宋体"/>
          <w:szCs w:val="24"/>
          <w:highlight w:val="none"/>
        </w:rPr>
        <w:t>中小型企业发展政策优惠的，可以同时享受节能、环境标志产品优先采购政策；</w:t>
      </w:r>
    </w:p>
    <w:p w14:paraId="494BA2A4">
      <w:pPr>
        <w:spacing w:line="600" w:lineRule="exact"/>
        <w:ind w:firstLine="480" w:firstLineChars="200"/>
        <w:rPr>
          <w:rFonts w:hAnsi="宋体" w:cs="宋体"/>
          <w:szCs w:val="24"/>
          <w:highlight w:val="none"/>
        </w:rPr>
      </w:pPr>
      <w:r>
        <w:rPr>
          <w:rFonts w:hint="eastAsia" w:hAnsi="宋体" w:cs="宋体"/>
          <w:szCs w:val="24"/>
          <w:highlight w:val="none"/>
        </w:rPr>
        <w:t>3、中标价格=中标供应商的有效投标报价。</w:t>
      </w:r>
    </w:p>
    <w:p w14:paraId="7CCB21D9">
      <w:pPr>
        <w:pStyle w:val="9"/>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附件1：</w:t>
      </w:r>
    </w:p>
    <w:p w14:paraId="22B9A348">
      <w:pPr>
        <w:pStyle w:val="9"/>
        <w:jc w:val="center"/>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2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87"/>
        <w:gridCol w:w="553"/>
        <w:gridCol w:w="2349"/>
        <w:gridCol w:w="5064"/>
      </w:tblGrid>
      <w:tr w14:paraId="4C2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1332" w:type="dxa"/>
            <w:gridSpan w:val="2"/>
            <w:vAlign w:val="center"/>
          </w:tcPr>
          <w:p w14:paraId="4AF20E13">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条款号</w:t>
            </w:r>
          </w:p>
        </w:tc>
        <w:tc>
          <w:tcPr>
            <w:tcW w:w="2902" w:type="dxa"/>
            <w:gridSpan w:val="2"/>
            <w:vAlign w:val="center"/>
          </w:tcPr>
          <w:p w14:paraId="0E18EBC1">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评审因素</w:t>
            </w:r>
          </w:p>
        </w:tc>
        <w:tc>
          <w:tcPr>
            <w:tcW w:w="5064" w:type="dxa"/>
            <w:vAlign w:val="center"/>
          </w:tcPr>
          <w:p w14:paraId="5A3D364B">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评审标准</w:t>
            </w:r>
          </w:p>
        </w:tc>
      </w:tr>
      <w:tr w14:paraId="6774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45" w:type="dxa"/>
            <w:vMerge w:val="restart"/>
            <w:vAlign w:val="center"/>
          </w:tcPr>
          <w:p w14:paraId="77357B8F">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2.1.1</w:t>
            </w:r>
          </w:p>
        </w:tc>
        <w:tc>
          <w:tcPr>
            <w:tcW w:w="587" w:type="dxa"/>
            <w:vMerge w:val="restart"/>
            <w:vAlign w:val="center"/>
          </w:tcPr>
          <w:p w14:paraId="3A676F6A">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资格评审</w:t>
            </w:r>
          </w:p>
          <w:p w14:paraId="61F47D8A">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标准</w:t>
            </w:r>
          </w:p>
        </w:tc>
        <w:tc>
          <w:tcPr>
            <w:tcW w:w="2902" w:type="dxa"/>
            <w:gridSpan w:val="2"/>
            <w:vAlign w:val="center"/>
          </w:tcPr>
          <w:p w14:paraId="2681531E">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营业执照等主体资格证明文件</w:t>
            </w:r>
          </w:p>
        </w:tc>
        <w:tc>
          <w:tcPr>
            <w:tcW w:w="5064" w:type="dxa"/>
            <w:vAlign w:val="center"/>
          </w:tcPr>
          <w:p w14:paraId="27F7D085">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提供合格有效的法人或者其他组织的营业执照等证明文件，自然人的身份证明</w:t>
            </w:r>
          </w:p>
        </w:tc>
      </w:tr>
      <w:tr w14:paraId="6D3A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5" w:type="dxa"/>
            <w:vMerge w:val="continue"/>
            <w:vAlign w:val="center"/>
          </w:tcPr>
          <w:p w14:paraId="255733ED">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2143A7D0">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467B557D">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法定代表人或负责人授权书/法定代表人身份证明</w:t>
            </w:r>
          </w:p>
        </w:tc>
        <w:tc>
          <w:tcPr>
            <w:tcW w:w="5064" w:type="dxa"/>
            <w:vAlign w:val="center"/>
          </w:tcPr>
          <w:p w14:paraId="671DC324">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提供法定代表人授权书（附法定代表人、被授权人身份证复印件）及被授权人身份证原件（法定代表人直接参加投标，须提供法定代表人身份证明及身份证原件）</w:t>
            </w:r>
            <w:r>
              <w:rPr>
                <w:rFonts w:hint="eastAsia" w:hAnsi="宋体" w:cs="宋体"/>
                <w:bCs/>
                <w:szCs w:val="24"/>
                <w:highlight w:val="none"/>
              </w:rPr>
              <w:t>；</w:t>
            </w:r>
          </w:p>
        </w:tc>
      </w:tr>
      <w:tr w14:paraId="5107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5" w:type="dxa"/>
            <w:vMerge w:val="continue"/>
            <w:vAlign w:val="center"/>
          </w:tcPr>
          <w:p w14:paraId="677E85E6">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48F96C3D">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46A98F42">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财务状况报告</w:t>
            </w:r>
          </w:p>
        </w:tc>
        <w:tc>
          <w:tcPr>
            <w:tcW w:w="5064" w:type="dxa"/>
            <w:vAlign w:val="center"/>
          </w:tcPr>
          <w:p w14:paraId="52791DDA">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2023年度经审计的财务审计报告，内容至少包括资产负债表、利润表、现金流量表及附注（成立时间至提交响应文件截止时间不足一年的可提供成立后任意时段的资产负债表）或开标时间前六个月内银行出具的资信证明</w:t>
            </w:r>
            <w:r>
              <w:rPr>
                <w:rFonts w:hint="eastAsia" w:hAnsi="宋体" w:cs="宋体"/>
                <w:bCs/>
                <w:szCs w:val="24"/>
                <w:highlight w:val="none"/>
              </w:rPr>
              <w:t>；</w:t>
            </w:r>
          </w:p>
        </w:tc>
      </w:tr>
      <w:tr w14:paraId="6D72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5" w:type="dxa"/>
            <w:vMerge w:val="continue"/>
            <w:vAlign w:val="center"/>
          </w:tcPr>
          <w:p w14:paraId="54B15F3E">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159CB23A">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1C4D0276">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税收缴纳证明</w:t>
            </w:r>
          </w:p>
        </w:tc>
        <w:tc>
          <w:tcPr>
            <w:tcW w:w="5064" w:type="dxa"/>
            <w:vAlign w:val="center"/>
          </w:tcPr>
          <w:p w14:paraId="0D31A917">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提供近一年已缴纳的至少一个月纳税证明或完税证明，依法免税或无须缴纳税收的投标人，应提供相应证明文件</w:t>
            </w:r>
            <w:r>
              <w:rPr>
                <w:rFonts w:hint="eastAsia" w:hAnsi="宋体" w:cs="宋体"/>
                <w:szCs w:val="24"/>
                <w:highlight w:val="none"/>
                <w:shd w:val="clear" w:color="auto" w:fill="FFFFFF"/>
              </w:rPr>
              <w:t xml:space="preserve">； </w:t>
            </w:r>
          </w:p>
        </w:tc>
      </w:tr>
      <w:tr w14:paraId="3278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5" w:type="dxa"/>
            <w:vMerge w:val="continue"/>
            <w:vAlign w:val="center"/>
          </w:tcPr>
          <w:p w14:paraId="4CBFB92A">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35DBBCDA">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5BB2E472">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社会保障资金缴纳证明</w:t>
            </w:r>
          </w:p>
        </w:tc>
        <w:tc>
          <w:tcPr>
            <w:tcW w:w="5064" w:type="dxa"/>
            <w:vAlign w:val="center"/>
          </w:tcPr>
          <w:p w14:paraId="20467E4E">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提供近一年已缴存的至少一个月的社会保障资金缴存单据或社保机构开具的社会保险参保缴费情况证明，依法不需要缴纳社会保障资金的单位应提供相关证明材料</w:t>
            </w:r>
            <w:r>
              <w:rPr>
                <w:rFonts w:hint="eastAsia" w:hAnsi="宋体" w:cs="宋体"/>
                <w:szCs w:val="24"/>
                <w:highlight w:val="none"/>
                <w:shd w:val="clear" w:color="auto" w:fill="FFFFFF"/>
              </w:rPr>
              <w:t>；</w:t>
            </w:r>
          </w:p>
        </w:tc>
      </w:tr>
      <w:tr w14:paraId="27BD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5" w:type="dxa"/>
            <w:vMerge w:val="continue"/>
            <w:vAlign w:val="center"/>
          </w:tcPr>
          <w:p w14:paraId="4DD1750A">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34C007CA">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7A397AB6">
            <w:pPr>
              <w:tabs>
                <w:tab w:val="left" w:pos="0"/>
              </w:tabs>
              <w:adjustRightInd w:val="0"/>
              <w:snapToGrid w:val="0"/>
              <w:spacing w:line="360" w:lineRule="auto"/>
              <w:jc w:val="center"/>
              <w:rPr>
                <w:rFonts w:hAnsi="宋体" w:cs="宋体"/>
                <w:b/>
                <w:bCs/>
                <w:szCs w:val="24"/>
                <w:highlight w:val="none"/>
              </w:rPr>
            </w:pPr>
            <w:r>
              <w:rPr>
                <w:rFonts w:hint="eastAsia" w:hAnsi="宋体" w:cs="宋体"/>
                <w:b/>
                <w:szCs w:val="24"/>
                <w:highlight w:val="none"/>
              </w:rPr>
              <w:t>信用记录</w:t>
            </w:r>
          </w:p>
        </w:tc>
        <w:tc>
          <w:tcPr>
            <w:tcW w:w="5064" w:type="dxa"/>
            <w:vAlign w:val="center"/>
          </w:tcPr>
          <w:p w14:paraId="22043A9E">
            <w:pPr>
              <w:tabs>
                <w:tab w:val="left" w:pos="0"/>
              </w:tabs>
              <w:adjustRightInd w:val="0"/>
              <w:snapToGrid w:val="0"/>
              <w:spacing w:line="360" w:lineRule="auto"/>
              <w:jc w:val="left"/>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投标人不得列入“信用中国”严重失信主体名单、不得列入“中国执行信息公开网”失信被执行人名单（包括投标人及法定代表人），不得为“中国政府采购网”政府采购严重违法失信行为记录名单中被财政部门禁止参加政府采购活动的投标人</w:t>
            </w:r>
          </w:p>
        </w:tc>
      </w:tr>
      <w:tr w14:paraId="57CF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5" w:type="dxa"/>
            <w:vMerge w:val="continue"/>
            <w:vAlign w:val="center"/>
          </w:tcPr>
          <w:p w14:paraId="6B7006C5">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0B09E79F">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3EAA5221">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书面声明</w:t>
            </w:r>
          </w:p>
        </w:tc>
        <w:tc>
          <w:tcPr>
            <w:tcW w:w="5064" w:type="dxa"/>
            <w:vAlign w:val="center"/>
          </w:tcPr>
          <w:p w14:paraId="2B260EBC">
            <w:pPr>
              <w:tabs>
                <w:tab w:val="left" w:pos="0"/>
              </w:tabs>
              <w:adjustRightInd w:val="0"/>
              <w:snapToGrid w:val="0"/>
              <w:spacing w:line="360" w:lineRule="auto"/>
              <w:jc w:val="left"/>
              <w:rPr>
                <w:rFonts w:hAnsi="宋体" w:cs="宋体"/>
                <w:color w:val="333333"/>
                <w:szCs w:val="24"/>
                <w:highlight w:val="none"/>
                <w:shd w:val="clear" w:color="auto" w:fill="FFFFFF"/>
              </w:rPr>
            </w:pPr>
            <w:r>
              <w:rPr>
                <w:rFonts w:hint="eastAsia" w:hAnsi="宋体" w:cs="宋体"/>
                <w:color w:val="333333"/>
                <w:szCs w:val="24"/>
                <w:highlight w:val="none"/>
                <w:shd w:val="clear" w:color="auto" w:fill="FFFFFF"/>
              </w:rPr>
              <w:t>参加政府采购活动前3年内，在经营活动中没有重大违法记录的书面声明</w:t>
            </w:r>
          </w:p>
        </w:tc>
      </w:tr>
      <w:tr w14:paraId="44AC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45" w:type="dxa"/>
            <w:vMerge w:val="continue"/>
            <w:vAlign w:val="center"/>
          </w:tcPr>
          <w:p w14:paraId="74E150F6">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0234BDD4">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39299EEA">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shd w:val="clear" w:color="auto" w:fill="FFFFFF"/>
              </w:rPr>
              <w:t>具有履行本合同所必需的设备和专业技术能力的说明及承诺函</w:t>
            </w:r>
          </w:p>
        </w:tc>
        <w:tc>
          <w:tcPr>
            <w:tcW w:w="5064" w:type="dxa"/>
            <w:vAlign w:val="center"/>
          </w:tcPr>
          <w:p w14:paraId="477B6124">
            <w:pPr>
              <w:tabs>
                <w:tab w:val="left" w:pos="0"/>
              </w:tabs>
              <w:adjustRightInd w:val="0"/>
              <w:snapToGrid w:val="0"/>
              <w:spacing w:line="360" w:lineRule="auto"/>
              <w:jc w:val="left"/>
              <w:rPr>
                <w:rFonts w:hAnsi="宋体" w:cs="宋体"/>
                <w:szCs w:val="24"/>
                <w:highlight w:val="none"/>
                <w:shd w:val="clear" w:color="auto" w:fill="FFFFFF"/>
              </w:rPr>
            </w:pPr>
            <w:r>
              <w:rPr>
                <w:rFonts w:hint="eastAsia" w:hAnsi="宋体" w:cs="宋体"/>
                <w:szCs w:val="24"/>
                <w:highlight w:val="none"/>
                <w:shd w:val="clear" w:color="auto" w:fill="FFFFFF"/>
              </w:rPr>
              <w:t xml:space="preserve">提供具有履行本合同所必需的设备和专业技术能力的说明及承诺函； </w:t>
            </w:r>
          </w:p>
        </w:tc>
      </w:tr>
      <w:tr w14:paraId="0DC3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45" w:type="dxa"/>
            <w:vMerge w:val="continue"/>
            <w:vAlign w:val="center"/>
          </w:tcPr>
          <w:p w14:paraId="55938E79">
            <w:pPr>
              <w:tabs>
                <w:tab w:val="left" w:pos="0"/>
              </w:tabs>
              <w:adjustRightInd w:val="0"/>
              <w:snapToGrid w:val="0"/>
              <w:spacing w:line="360" w:lineRule="auto"/>
              <w:jc w:val="center"/>
              <w:rPr>
                <w:rFonts w:hAnsi="宋体" w:cs="宋体"/>
                <w:b/>
                <w:szCs w:val="24"/>
                <w:highlight w:val="none"/>
              </w:rPr>
            </w:pPr>
          </w:p>
        </w:tc>
        <w:tc>
          <w:tcPr>
            <w:tcW w:w="587" w:type="dxa"/>
            <w:vMerge w:val="continue"/>
            <w:vAlign w:val="center"/>
          </w:tcPr>
          <w:p w14:paraId="205D640F">
            <w:pPr>
              <w:tabs>
                <w:tab w:val="left" w:pos="0"/>
              </w:tabs>
              <w:adjustRightInd w:val="0"/>
              <w:snapToGrid w:val="0"/>
              <w:spacing w:line="360" w:lineRule="auto"/>
              <w:jc w:val="center"/>
              <w:rPr>
                <w:rFonts w:hAnsi="宋体" w:cs="宋体"/>
                <w:b/>
                <w:szCs w:val="24"/>
                <w:highlight w:val="none"/>
              </w:rPr>
            </w:pPr>
          </w:p>
        </w:tc>
        <w:tc>
          <w:tcPr>
            <w:tcW w:w="2902" w:type="dxa"/>
            <w:gridSpan w:val="2"/>
            <w:vAlign w:val="center"/>
          </w:tcPr>
          <w:p w14:paraId="34DDA1E6">
            <w:pPr>
              <w:tabs>
                <w:tab w:val="left" w:pos="0"/>
              </w:tabs>
              <w:adjustRightInd w:val="0"/>
              <w:snapToGrid w:val="0"/>
              <w:spacing w:line="360" w:lineRule="auto"/>
              <w:jc w:val="center"/>
              <w:rPr>
                <w:rFonts w:hAnsi="宋体" w:cs="宋体"/>
                <w:b/>
                <w:szCs w:val="24"/>
                <w:highlight w:val="none"/>
              </w:rPr>
            </w:pPr>
            <w:r>
              <w:rPr>
                <w:rFonts w:hint="eastAsia" w:hAnsi="宋体" w:cs="宋体"/>
                <w:b/>
                <w:szCs w:val="24"/>
                <w:highlight w:val="none"/>
              </w:rPr>
              <w:t>不接受联合体投标</w:t>
            </w:r>
          </w:p>
        </w:tc>
        <w:tc>
          <w:tcPr>
            <w:tcW w:w="5064" w:type="dxa"/>
            <w:vAlign w:val="center"/>
          </w:tcPr>
          <w:p w14:paraId="536568C4">
            <w:pPr>
              <w:tabs>
                <w:tab w:val="left" w:pos="0"/>
              </w:tabs>
              <w:adjustRightInd w:val="0"/>
              <w:snapToGrid w:val="0"/>
              <w:spacing w:line="360" w:lineRule="auto"/>
              <w:jc w:val="left"/>
              <w:rPr>
                <w:rFonts w:hAnsi="宋体" w:cs="宋体"/>
                <w:bCs/>
                <w:szCs w:val="24"/>
                <w:highlight w:val="none"/>
              </w:rPr>
            </w:pPr>
            <w:r>
              <w:rPr>
                <w:rFonts w:hint="eastAsia" w:hAnsi="宋体" w:cs="宋体"/>
                <w:color w:val="333333"/>
                <w:szCs w:val="24"/>
                <w:highlight w:val="none"/>
                <w:shd w:val="clear" w:color="auto" w:fill="FFFFFF"/>
              </w:rPr>
              <w:t>本项目不接受联合体投标（需提供承诺书）</w:t>
            </w:r>
          </w:p>
        </w:tc>
      </w:tr>
      <w:tr w14:paraId="6FE7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298" w:type="dxa"/>
            <w:gridSpan w:val="5"/>
            <w:vAlign w:val="center"/>
          </w:tcPr>
          <w:p w14:paraId="7ED555A6">
            <w:pPr>
              <w:tabs>
                <w:tab w:val="left" w:pos="0"/>
              </w:tabs>
              <w:adjustRightInd w:val="0"/>
              <w:snapToGrid w:val="0"/>
              <w:spacing w:line="360" w:lineRule="auto"/>
              <w:rPr>
                <w:rFonts w:hAnsi="宋体" w:cs="宋体"/>
                <w:b/>
                <w:szCs w:val="24"/>
                <w:highlight w:val="none"/>
              </w:rPr>
            </w:pPr>
            <w:r>
              <w:rPr>
                <w:rFonts w:hint="eastAsia" w:hAnsi="宋体" w:cs="宋体"/>
                <w:b/>
                <w:szCs w:val="24"/>
                <w:highlight w:val="none"/>
              </w:rPr>
              <w:t>注：以上为必备资质，缺一项或某项达不到要求，按无效投标处理。</w:t>
            </w:r>
          </w:p>
        </w:tc>
      </w:tr>
      <w:tr w14:paraId="66C7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restart"/>
            <w:vAlign w:val="center"/>
          </w:tcPr>
          <w:p w14:paraId="32939C85">
            <w:pPr>
              <w:tabs>
                <w:tab w:val="left" w:pos="0"/>
              </w:tabs>
              <w:adjustRightInd w:val="0"/>
              <w:snapToGrid w:val="0"/>
              <w:spacing w:line="360" w:lineRule="auto"/>
              <w:jc w:val="center"/>
              <w:rPr>
                <w:rFonts w:hAnsi="宋体" w:cs="宋体"/>
                <w:szCs w:val="24"/>
                <w:highlight w:val="none"/>
              </w:rPr>
            </w:pPr>
            <w:r>
              <w:rPr>
                <w:rFonts w:hint="eastAsia" w:hAnsi="宋体" w:cs="宋体"/>
                <w:szCs w:val="24"/>
                <w:highlight w:val="none"/>
              </w:rPr>
              <w:t>2.1.2</w:t>
            </w:r>
          </w:p>
        </w:tc>
        <w:tc>
          <w:tcPr>
            <w:tcW w:w="587" w:type="dxa"/>
            <w:vMerge w:val="restart"/>
            <w:vAlign w:val="center"/>
          </w:tcPr>
          <w:p w14:paraId="3784E811">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符合性评审标准</w:t>
            </w:r>
          </w:p>
        </w:tc>
        <w:tc>
          <w:tcPr>
            <w:tcW w:w="553" w:type="dxa"/>
            <w:vMerge w:val="restart"/>
            <w:vAlign w:val="center"/>
          </w:tcPr>
          <w:p w14:paraId="3117D531">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有效性审查</w:t>
            </w:r>
          </w:p>
        </w:tc>
        <w:tc>
          <w:tcPr>
            <w:tcW w:w="2349" w:type="dxa"/>
            <w:vAlign w:val="center"/>
          </w:tcPr>
          <w:p w14:paraId="5A09F579">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投标文件的签署盖章</w:t>
            </w:r>
          </w:p>
        </w:tc>
        <w:tc>
          <w:tcPr>
            <w:tcW w:w="5064" w:type="dxa"/>
            <w:vAlign w:val="center"/>
          </w:tcPr>
          <w:p w14:paraId="09948E72">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投标文件上法定代表人或负责人或其授权代表人的签字齐全并加盖公章</w:t>
            </w:r>
          </w:p>
        </w:tc>
      </w:tr>
      <w:tr w14:paraId="695B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45" w:type="dxa"/>
            <w:vMerge w:val="continue"/>
          </w:tcPr>
          <w:p w14:paraId="5C6B9562">
            <w:pPr>
              <w:tabs>
                <w:tab w:val="left" w:pos="0"/>
              </w:tabs>
              <w:adjustRightInd w:val="0"/>
              <w:snapToGrid w:val="0"/>
              <w:spacing w:line="360" w:lineRule="auto"/>
              <w:rPr>
                <w:rFonts w:hAnsi="宋体" w:cs="宋体"/>
                <w:szCs w:val="24"/>
                <w:highlight w:val="none"/>
              </w:rPr>
            </w:pPr>
          </w:p>
        </w:tc>
        <w:tc>
          <w:tcPr>
            <w:tcW w:w="587" w:type="dxa"/>
            <w:vMerge w:val="continue"/>
          </w:tcPr>
          <w:p w14:paraId="2C58655D">
            <w:pPr>
              <w:tabs>
                <w:tab w:val="left" w:pos="0"/>
              </w:tabs>
              <w:adjustRightInd w:val="0"/>
              <w:snapToGrid w:val="0"/>
              <w:spacing w:line="360" w:lineRule="auto"/>
              <w:rPr>
                <w:rFonts w:hAnsi="宋体" w:cs="宋体"/>
                <w:b/>
                <w:bCs/>
                <w:szCs w:val="24"/>
                <w:highlight w:val="none"/>
              </w:rPr>
            </w:pPr>
          </w:p>
        </w:tc>
        <w:tc>
          <w:tcPr>
            <w:tcW w:w="553" w:type="dxa"/>
            <w:vMerge w:val="continue"/>
          </w:tcPr>
          <w:p w14:paraId="5C75DA0C">
            <w:pPr>
              <w:tabs>
                <w:tab w:val="left" w:pos="0"/>
              </w:tabs>
              <w:adjustRightInd w:val="0"/>
              <w:snapToGrid w:val="0"/>
              <w:spacing w:line="360" w:lineRule="auto"/>
              <w:rPr>
                <w:rFonts w:hAnsi="宋体" w:cs="宋体"/>
                <w:b/>
                <w:bCs/>
                <w:szCs w:val="24"/>
                <w:highlight w:val="none"/>
              </w:rPr>
            </w:pPr>
          </w:p>
        </w:tc>
        <w:tc>
          <w:tcPr>
            <w:tcW w:w="2349" w:type="dxa"/>
            <w:vAlign w:val="center"/>
          </w:tcPr>
          <w:p w14:paraId="53ED430E">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投标文件格式</w:t>
            </w:r>
          </w:p>
        </w:tc>
        <w:tc>
          <w:tcPr>
            <w:tcW w:w="5064" w:type="dxa"/>
            <w:vAlign w:val="center"/>
          </w:tcPr>
          <w:p w14:paraId="00CFEAE4">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应符合“投标文件格式”要求</w:t>
            </w:r>
          </w:p>
        </w:tc>
      </w:tr>
      <w:tr w14:paraId="4574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continue"/>
          </w:tcPr>
          <w:p w14:paraId="2BC80263">
            <w:pPr>
              <w:tabs>
                <w:tab w:val="left" w:pos="0"/>
              </w:tabs>
              <w:adjustRightInd w:val="0"/>
              <w:snapToGrid w:val="0"/>
              <w:spacing w:line="360" w:lineRule="auto"/>
              <w:rPr>
                <w:rFonts w:hAnsi="宋体" w:cs="宋体"/>
                <w:szCs w:val="24"/>
                <w:highlight w:val="none"/>
              </w:rPr>
            </w:pPr>
          </w:p>
        </w:tc>
        <w:tc>
          <w:tcPr>
            <w:tcW w:w="587" w:type="dxa"/>
            <w:vMerge w:val="continue"/>
          </w:tcPr>
          <w:p w14:paraId="2E7395CA">
            <w:pPr>
              <w:tabs>
                <w:tab w:val="left" w:pos="0"/>
              </w:tabs>
              <w:adjustRightInd w:val="0"/>
              <w:snapToGrid w:val="0"/>
              <w:spacing w:line="360" w:lineRule="auto"/>
              <w:rPr>
                <w:rFonts w:hAnsi="宋体" w:cs="宋体"/>
                <w:b/>
                <w:bCs/>
                <w:szCs w:val="24"/>
                <w:highlight w:val="none"/>
              </w:rPr>
            </w:pPr>
          </w:p>
        </w:tc>
        <w:tc>
          <w:tcPr>
            <w:tcW w:w="553" w:type="dxa"/>
            <w:vMerge w:val="continue"/>
          </w:tcPr>
          <w:p w14:paraId="68D47DDC">
            <w:pPr>
              <w:tabs>
                <w:tab w:val="left" w:pos="0"/>
              </w:tabs>
              <w:adjustRightInd w:val="0"/>
              <w:snapToGrid w:val="0"/>
              <w:spacing w:line="360" w:lineRule="auto"/>
              <w:rPr>
                <w:rFonts w:hAnsi="宋体" w:cs="宋体"/>
                <w:b/>
                <w:bCs/>
                <w:szCs w:val="24"/>
                <w:highlight w:val="none"/>
              </w:rPr>
            </w:pPr>
          </w:p>
        </w:tc>
        <w:tc>
          <w:tcPr>
            <w:tcW w:w="2349" w:type="dxa"/>
            <w:vAlign w:val="center"/>
          </w:tcPr>
          <w:p w14:paraId="2F4F44DA">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报价唯一</w:t>
            </w:r>
          </w:p>
        </w:tc>
        <w:tc>
          <w:tcPr>
            <w:tcW w:w="5064" w:type="dxa"/>
            <w:vAlign w:val="center"/>
          </w:tcPr>
          <w:p w14:paraId="73E664EE">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只能有一个有效报价，不得提交选择性报价，且报价不超过采购预算金额或最高限价。</w:t>
            </w:r>
          </w:p>
        </w:tc>
      </w:tr>
      <w:tr w14:paraId="5A9C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01EFA47B">
            <w:pPr>
              <w:tabs>
                <w:tab w:val="left" w:pos="0"/>
              </w:tabs>
              <w:adjustRightInd w:val="0"/>
              <w:snapToGrid w:val="0"/>
              <w:spacing w:line="360" w:lineRule="auto"/>
              <w:jc w:val="center"/>
              <w:rPr>
                <w:rFonts w:hAnsi="宋体" w:cs="宋体"/>
                <w:szCs w:val="24"/>
                <w:highlight w:val="none"/>
              </w:rPr>
            </w:pPr>
          </w:p>
        </w:tc>
        <w:tc>
          <w:tcPr>
            <w:tcW w:w="587" w:type="dxa"/>
            <w:vMerge w:val="continue"/>
            <w:vAlign w:val="center"/>
          </w:tcPr>
          <w:p w14:paraId="5C2826B1">
            <w:pPr>
              <w:tabs>
                <w:tab w:val="left" w:pos="0"/>
              </w:tabs>
              <w:adjustRightInd w:val="0"/>
              <w:snapToGrid w:val="0"/>
              <w:spacing w:line="360" w:lineRule="auto"/>
              <w:jc w:val="center"/>
              <w:rPr>
                <w:rFonts w:hAnsi="宋体" w:cs="宋体"/>
                <w:b/>
                <w:bCs/>
                <w:szCs w:val="24"/>
                <w:highlight w:val="none"/>
              </w:rPr>
            </w:pPr>
          </w:p>
        </w:tc>
        <w:tc>
          <w:tcPr>
            <w:tcW w:w="553" w:type="dxa"/>
            <w:vAlign w:val="bottom"/>
          </w:tcPr>
          <w:p w14:paraId="29DE1067">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完整性审查</w:t>
            </w:r>
          </w:p>
        </w:tc>
        <w:tc>
          <w:tcPr>
            <w:tcW w:w="2349" w:type="dxa"/>
            <w:vAlign w:val="center"/>
          </w:tcPr>
          <w:p w14:paraId="471372B9">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投标文件内容</w:t>
            </w:r>
          </w:p>
        </w:tc>
        <w:tc>
          <w:tcPr>
            <w:tcW w:w="5064" w:type="dxa"/>
            <w:vAlign w:val="center"/>
          </w:tcPr>
          <w:p w14:paraId="33850422">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投标文件内容齐全、无遗漏</w:t>
            </w:r>
          </w:p>
        </w:tc>
      </w:tr>
      <w:tr w14:paraId="7C59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5" w:type="dxa"/>
            <w:vMerge w:val="continue"/>
            <w:vAlign w:val="center"/>
          </w:tcPr>
          <w:p w14:paraId="398BE8FC">
            <w:pPr>
              <w:tabs>
                <w:tab w:val="left" w:pos="0"/>
              </w:tabs>
              <w:adjustRightInd w:val="0"/>
              <w:snapToGrid w:val="0"/>
              <w:spacing w:line="360" w:lineRule="auto"/>
              <w:jc w:val="center"/>
              <w:rPr>
                <w:rFonts w:hAnsi="宋体" w:cs="宋体"/>
                <w:szCs w:val="24"/>
                <w:highlight w:val="none"/>
              </w:rPr>
            </w:pPr>
          </w:p>
        </w:tc>
        <w:tc>
          <w:tcPr>
            <w:tcW w:w="587" w:type="dxa"/>
            <w:vMerge w:val="continue"/>
            <w:vAlign w:val="center"/>
          </w:tcPr>
          <w:p w14:paraId="7083DC23">
            <w:pPr>
              <w:tabs>
                <w:tab w:val="left" w:pos="0"/>
              </w:tabs>
              <w:adjustRightInd w:val="0"/>
              <w:snapToGrid w:val="0"/>
              <w:spacing w:line="360" w:lineRule="auto"/>
              <w:jc w:val="center"/>
              <w:rPr>
                <w:rFonts w:hAnsi="宋体" w:cs="宋体"/>
                <w:b/>
                <w:bCs/>
                <w:szCs w:val="24"/>
                <w:highlight w:val="none"/>
              </w:rPr>
            </w:pPr>
          </w:p>
        </w:tc>
        <w:tc>
          <w:tcPr>
            <w:tcW w:w="553" w:type="dxa"/>
            <w:vMerge w:val="restart"/>
            <w:vAlign w:val="center"/>
          </w:tcPr>
          <w:p w14:paraId="60BCBFE2">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响应性审查</w:t>
            </w:r>
          </w:p>
        </w:tc>
        <w:tc>
          <w:tcPr>
            <w:tcW w:w="2349" w:type="dxa"/>
            <w:vAlign w:val="bottom"/>
          </w:tcPr>
          <w:p w14:paraId="5C139AD5">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对招标文件响应程度</w:t>
            </w:r>
          </w:p>
        </w:tc>
        <w:tc>
          <w:tcPr>
            <w:tcW w:w="5064" w:type="dxa"/>
            <w:vAlign w:val="bottom"/>
          </w:tcPr>
          <w:p w14:paraId="4BAA3E2B">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要求全面响应，不能有任何采购人不能接受的附加条件</w:t>
            </w:r>
          </w:p>
        </w:tc>
      </w:tr>
      <w:tr w14:paraId="5A90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5" w:type="dxa"/>
            <w:vMerge w:val="continue"/>
          </w:tcPr>
          <w:p w14:paraId="2E5F2CA9">
            <w:pPr>
              <w:tabs>
                <w:tab w:val="left" w:pos="0"/>
              </w:tabs>
              <w:adjustRightInd w:val="0"/>
              <w:snapToGrid w:val="0"/>
              <w:spacing w:line="360" w:lineRule="auto"/>
              <w:rPr>
                <w:rFonts w:hAnsi="宋体" w:cs="宋体"/>
                <w:szCs w:val="24"/>
                <w:highlight w:val="none"/>
              </w:rPr>
            </w:pPr>
          </w:p>
        </w:tc>
        <w:tc>
          <w:tcPr>
            <w:tcW w:w="587" w:type="dxa"/>
            <w:vMerge w:val="continue"/>
          </w:tcPr>
          <w:p w14:paraId="4B45D301">
            <w:pPr>
              <w:tabs>
                <w:tab w:val="left" w:pos="0"/>
              </w:tabs>
              <w:adjustRightInd w:val="0"/>
              <w:snapToGrid w:val="0"/>
              <w:spacing w:line="360" w:lineRule="auto"/>
              <w:rPr>
                <w:rFonts w:hAnsi="宋体" w:cs="宋体"/>
                <w:b/>
                <w:bCs/>
                <w:szCs w:val="24"/>
                <w:highlight w:val="none"/>
              </w:rPr>
            </w:pPr>
          </w:p>
        </w:tc>
        <w:tc>
          <w:tcPr>
            <w:tcW w:w="553" w:type="dxa"/>
            <w:vMerge w:val="continue"/>
          </w:tcPr>
          <w:p w14:paraId="75C2424D">
            <w:pPr>
              <w:tabs>
                <w:tab w:val="left" w:pos="0"/>
              </w:tabs>
              <w:adjustRightInd w:val="0"/>
              <w:snapToGrid w:val="0"/>
              <w:spacing w:line="360" w:lineRule="auto"/>
              <w:rPr>
                <w:rFonts w:hAnsi="宋体" w:cs="宋体"/>
                <w:b/>
                <w:bCs/>
                <w:szCs w:val="24"/>
                <w:highlight w:val="none"/>
              </w:rPr>
            </w:pPr>
          </w:p>
        </w:tc>
        <w:tc>
          <w:tcPr>
            <w:tcW w:w="2349" w:type="dxa"/>
            <w:vAlign w:val="bottom"/>
          </w:tcPr>
          <w:p w14:paraId="2ACE9AB5">
            <w:pPr>
              <w:tabs>
                <w:tab w:val="left" w:pos="0"/>
              </w:tabs>
              <w:adjustRightInd w:val="0"/>
              <w:snapToGrid w:val="0"/>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建设周期、质保期</w:t>
            </w:r>
          </w:p>
        </w:tc>
        <w:tc>
          <w:tcPr>
            <w:tcW w:w="5064" w:type="dxa"/>
            <w:vAlign w:val="bottom"/>
          </w:tcPr>
          <w:p w14:paraId="309D2323">
            <w:pPr>
              <w:tabs>
                <w:tab w:val="left" w:pos="0"/>
              </w:tabs>
              <w:adjustRightInd w:val="0"/>
              <w:snapToGrid w:val="0"/>
              <w:spacing w:line="360" w:lineRule="auto"/>
              <w:rPr>
                <w:rFonts w:hint="default" w:hAnsi="宋体" w:eastAsia="宋体" w:cs="宋体"/>
                <w:szCs w:val="24"/>
                <w:highlight w:val="none"/>
                <w:lang w:val="en-US" w:eastAsia="zh-CN"/>
              </w:rPr>
            </w:pPr>
            <w:r>
              <w:rPr>
                <w:rFonts w:hint="eastAsia" w:hAnsi="宋体" w:cs="宋体"/>
                <w:szCs w:val="24"/>
                <w:highlight w:val="none"/>
              </w:rPr>
              <w:t>应满足招标文件中要求的</w:t>
            </w:r>
            <w:r>
              <w:rPr>
                <w:rFonts w:hint="eastAsia" w:hAnsi="宋体" w:cs="宋体"/>
                <w:szCs w:val="24"/>
                <w:highlight w:val="none"/>
                <w:lang w:val="en-US" w:eastAsia="zh-CN"/>
              </w:rPr>
              <w:t>建设周期、质保期</w:t>
            </w:r>
          </w:p>
        </w:tc>
      </w:tr>
      <w:tr w14:paraId="689D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vMerge w:val="continue"/>
          </w:tcPr>
          <w:p w14:paraId="368709AD">
            <w:pPr>
              <w:tabs>
                <w:tab w:val="left" w:pos="0"/>
              </w:tabs>
              <w:adjustRightInd w:val="0"/>
              <w:snapToGrid w:val="0"/>
              <w:spacing w:line="360" w:lineRule="auto"/>
              <w:rPr>
                <w:rFonts w:hAnsi="宋体" w:cs="宋体"/>
                <w:szCs w:val="24"/>
                <w:highlight w:val="none"/>
              </w:rPr>
            </w:pPr>
          </w:p>
        </w:tc>
        <w:tc>
          <w:tcPr>
            <w:tcW w:w="587" w:type="dxa"/>
            <w:vMerge w:val="continue"/>
          </w:tcPr>
          <w:p w14:paraId="3414A2A5">
            <w:pPr>
              <w:tabs>
                <w:tab w:val="left" w:pos="0"/>
              </w:tabs>
              <w:adjustRightInd w:val="0"/>
              <w:snapToGrid w:val="0"/>
              <w:spacing w:line="360" w:lineRule="auto"/>
              <w:rPr>
                <w:rFonts w:hAnsi="宋体" w:cs="宋体"/>
                <w:b/>
                <w:bCs/>
                <w:szCs w:val="24"/>
                <w:highlight w:val="none"/>
              </w:rPr>
            </w:pPr>
          </w:p>
        </w:tc>
        <w:tc>
          <w:tcPr>
            <w:tcW w:w="553" w:type="dxa"/>
            <w:vMerge w:val="continue"/>
          </w:tcPr>
          <w:p w14:paraId="63575455">
            <w:pPr>
              <w:tabs>
                <w:tab w:val="left" w:pos="0"/>
              </w:tabs>
              <w:adjustRightInd w:val="0"/>
              <w:snapToGrid w:val="0"/>
              <w:spacing w:line="360" w:lineRule="auto"/>
              <w:rPr>
                <w:rFonts w:hAnsi="宋体" w:cs="宋体"/>
                <w:b/>
                <w:bCs/>
                <w:szCs w:val="24"/>
                <w:highlight w:val="none"/>
              </w:rPr>
            </w:pPr>
          </w:p>
        </w:tc>
        <w:tc>
          <w:tcPr>
            <w:tcW w:w="2349" w:type="dxa"/>
            <w:vAlign w:val="bottom"/>
          </w:tcPr>
          <w:p w14:paraId="3481EB48">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交货地点</w:t>
            </w:r>
          </w:p>
        </w:tc>
        <w:tc>
          <w:tcPr>
            <w:tcW w:w="5064" w:type="dxa"/>
            <w:vAlign w:val="bottom"/>
          </w:tcPr>
          <w:p w14:paraId="5091747C">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应满足招标文件中要求的交货地点</w:t>
            </w:r>
          </w:p>
        </w:tc>
      </w:tr>
      <w:tr w14:paraId="148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5" w:type="dxa"/>
            <w:vMerge w:val="continue"/>
          </w:tcPr>
          <w:p w14:paraId="2705C951">
            <w:pPr>
              <w:tabs>
                <w:tab w:val="left" w:pos="0"/>
              </w:tabs>
              <w:adjustRightInd w:val="0"/>
              <w:snapToGrid w:val="0"/>
              <w:spacing w:line="360" w:lineRule="auto"/>
              <w:rPr>
                <w:rFonts w:hAnsi="宋体" w:cs="宋体"/>
                <w:szCs w:val="24"/>
                <w:highlight w:val="none"/>
              </w:rPr>
            </w:pPr>
          </w:p>
        </w:tc>
        <w:tc>
          <w:tcPr>
            <w:tcW w:w="587" w:type="dxa"/>
            <w:vMerge w:val="continue"/>
          </w:tcPr>
          <w:p w14:paraId="3DD8F102">
            <w:pPr>
              <w:tabs>
                <w:tab w:val="left" w:pos="0"/>
              </w:tabs>
              <w:adjustRightInd w:val="0"/>
              <w:snapToGrid w:val="0"/>
              <w:spacing w:line="360" w:lineRule="auto"/>
              <w:rPr>
                <w:rFonts w:hAnsi="宋体" w:cs="宋体"/>
                <w:b/>
                <w:bCs/>
                <w:szCs w:val="24"/>
                <w:highlight w:val="none"/>
              </w:rPr>
            </w:pPr>
          </w:p>
        </w:tc>
        <w:tc>
          <w:tcPr>
            <w:tcW w:w="553" w:type="dxa"/>
            <w:vMerge w:val="continue"/>
          </w:tcPr>
          <w:p w14:paraId="55A4CE1E">
            <w:pPr>
              <w:tabs>
                <w:tab w:val="left" w:pos="0"/>
              </w:tabs>
              <w:adjustRightInd w:val="0"/>
              <w:snapToGrid w:val="0"/>
              <w:spacing w:line="360" w:lineRule="auto"/>
              <w:rPr>
                <w:rFonts w:hAnsi="宋体" w:cs="宋体"/>
                <w:b/>
                <w:bCs/>
                <w:szCs w:val="24"/>
                <w:highlight w:val="none"/>
              </w:rPr>
            </w:pPr>
          </w:p>
        </w:tc>
        <w:tc>
          <w:tcPr>
            <w:tcW w:w="2349" w:type="dxa"/>
            <w:vAlign w:val="bottom"/>
          </w:tcPr>
          <w:p w14:paraId="03E203B4">
            <w:pPr>
              <w:tabs>
                <w:tab w:val="left" w:pos="0"/>
              </w:tabs>
              <w:adjustRightInd w:val="0"/>
              <w:snapToGrid w:val="0"/>
              <w:spacing w:line="360" w:lineRule="auto"/>
              <w:jc w:val="center"/>
              <w:rPr>
                <w:rFonts w:hAnsi="宋体" w:cs="宋体"/>
                <w:b/>
                <w:bCs/>
                <w:szCs w:val="24"/>
                <w:highlight w:val="none"/>
              </w:rPr>
            </w:pPr>
            <w:r>
              <w:rPr>
                <w:rFonts w:hint="eastAsia" w:hAnsi="宋体" w:cs="宋体"/>
                <w:b/>
                <w:bCs/>
                <w:szCs w:val="24"/>
                <w:highlight w:val="none"/>
              </w:rPr>
              <w:t>投标有效期</w:t>
            </w:r>
          </w:p>
        </w:tc>
        <w:tc>
          <w:tcPr>
            <w:tcW w:w="5064" w:type="dxa"/>
            <w:vAlign w:val="bottom"/>
          </w:tcPr>
          <w:p w14:paraId="7C120265">
            <w:pPr>
              <w:tabs>
                <w:tab w:val="left" w:pos="0"/>
              </w:tabs>
              <w:adjustRightInd w:val="0"/>
              <w:snapToGrid w:val="0"/>
              <w:spacing w:line="360" w:lineRule="auto"/>
              <w:rPr>
                <w:rFonts w:hAnsi="宋体" w:cs="宋体"/>
                <w:szCs w:val="24"/>
                <w:highlight w:val="none"/>
              </w:rPr>
            </w:pPr>
            <w:r>
              <w:rPr>
                <w:rFonts w:hint="eastAsia" w:hAnsi="宋体" w:cs="宋体"/>
                <w:szCs w:val="24"/>
                <w:highlight w:val="none"/>
              </w:rPr>
              <w:t>应满足招标文件中的规定</w:t>
            </w:r>
          </w:p>
        </w:tc>
      </w:tr>
    </w:tbl>
    <w:p w14:paraId="44336AB6">
      <w:pPr>
        <w:spacing w:line="56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附件2：</w:t>
      </w:r>
    </w:p>
    <w:p w14:paraId="2EA6BA0A">
      <w:pPr>
        <w:spacing w:line="560" w:lineRule="exact"/>
        <w:jc w:val="center"/>
        <w:rPr>
          <w:rFonts w:hint="eastAsia" w:hAnsi="宋体" w:cs="宋体"/>
          <w:b/>
          <w:szCs w:val="24"/>
          <w:highlight w:val="none"/>
        </w:rPr>
      </w:pPr>
      <w:r>
        <w:rPr>
          <w:rFonts w:hint="eastAsia" w:hAnsi="宋体" w:cs="宋体"/>
          <w:b/>
          <w:szCs w:val="24"/>
          <w:highlight w:val="none"/>
        </w:rPr>
        <w:t>评标因素及权重分值表</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4"/>
        <w:gridCol w:w="1206"/>
        <w:gridCol w:w="6317"/>
        <w:gridCol w:w="881"/>
      </w:tblGrid>
      <w:tr w14:paraId="5217C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76" w:type="pct"/>
            <w:vAlign w:val="center"/>
          </w:tcPr>
          <w:p w14:paraId="631AD652">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649" w:type="pct"/>
            <w:vAlign w:val="center"/>
          </w:tcPr>
          <w:p w14:paraId="179CEAD9">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评审因素</w:t>
            </w:r>
          </w:p>
        </w:tc>
        <w:tc>
          <w:tcPr>
            <w:tcW w:w="3400" w:type="pct"/>
            <w:vAlign w:val="center"/>
          </w:tcPr>
          <w:p w14:paraId="79EA3F40">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评分细则</w:t>
            </w:r>
          </w:p>
        </w:tc>
        <w:tc>
          <w:tcPr>
            <w:tcW w:w="474" w:type="pct"/>
            <w:vAlign w:val="center"/>
          </w:tcPr>
          <w:p w14:paraId="2A8971D6">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分值</w:t>
            </w:r>
          </w:p>
          <w:p w14:paraId="75E0F4AF">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w:t>
            </w:r>
          </w:p>
        </w:tc>
      </w:tr>
      <w:tr w14:paraId="3A044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76" w:type="pct"/>
            <w:vAlign w:val="center"/>
          </w:tcPr>
          <w:p w14:paraId="74DB38B2">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w:t>
            </w:r>
          </w:p>
        </w:tc>
        <w:tc>
          <w:tcPr>
            <w:tcW w:w="4523" w:type="pct"/>
            <w:gridSpan w:val="3"/>
            <w:vAlign w:val="center"/>
          </w:tcPr>
          <w:p w14:paraId="191AF3B6">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技术部分（合计</w:t>
            </w:r>
            <w:r>
              <w:rPr>
                <w:rFonts w:hint="eastAsia" w:ascii="宋体" w:hAnsi="宋体" w:eastAsia="宋体" w:cs="宋体"/>
                <w:b/>
                <w:color w:val="000000" w:themeColor="text1"/>
                <w:sz w:val="24"/>
                <w:szCs w:val="24"/>
                <w:highlight w:val="none"/>
                <w:lang w:val="en-US" w:eastAsia="zh-CN"/>
                <w14:textFill>
                  <w14:solidFill>
                    <w14:schemeClr w14:val="tx1"/>
                  </w14:solidFill>
                </w14:textFill>
              </w:rPr>
              <w:t>73</w:t>
            </w:r>
            <w:r>
              <w:rPr>
                <w:rFonts w:hint="eastAsia" w:ascii="宋体" w:hAnsi="宋体" w:eastAsia="宋体" w:cs="宋体"/>
                <w:b/>
                <w:color w:val="000000" w:themeColor="text1"/>
                <w:sz w:val="24"/>
                <w:szCs w:val="24"/>
                <w:highlight w:val="none"/>
                <w14:textFill>
                  <w14:solidFill>
                    <w14:schemeClr w14:val="tx1"/>
                  </w14:solidFill>
                </w14:textFill>
              </w:rPr>
              <w:t>分）</w:t>
            </w:r>
          </w:p>
        </w:tc>
      </w:tr>
      <w:tr w14:paraId="0DCEC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476" w:type="pct"/>
            <w:vAlign w:val="center"/>
          </w:tcPr>
          <w:p w14:paraId="514E4BF5">
            <w:pPr>
              <w:pStyle w:val="59"/>
              <w:numPr>
                <w:ilvl w:val="0"/>
                <w:numId w:val="8"/>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43C4D9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技术指标响应情况</w:t>
            </w:r>
          </w:p>
        </w:tc>
        <w:tc>
          <w:tcPr>
            <w:tcW w:w="3400" w:type="pct"/>
            <w:vAlign w:val="center"/>
          </w:tcPr>
          <w:p w14:paraId="71D092D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详见“建设功能模块”的功能模块描述，没有负偏离得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分；低于要求出现负偏离的扣分，带“▲”的条款出现一项负偏离扣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分，其他条款每出现一项负偏离扣1分，累计扣分，扣完为止。</w:t>
            </w:r>
          </w:p>
          <w:p w14:paraId="699E53B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带“▲”重要功能技术参数需提供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佐证材料（包括但不限于</w:t>
            </w:r>
            <w:r>
              <w:rPr>
                <w:rFonts w:hint="eastAsia" w:ascii="宋体" w:hAnsi="宋体" w:eastAsia="宋体" w:cs="宋体"/>
                <w:color w:val="000000" w:themeColor="text1"/>
                <w:sz w:val="24"/>
                <w:szCs w:val="24"/>
                <w:highlight w:val="none"/>
                <w14:textFill>
                  <w14:solidFill>
                    <w14:schemeClr w14:val="tx1"/>
                  </w14:solidFill>
                </w14:textFill>
              </w:rPr>
              <w:t>功能截图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网页截图、第三方检测报告等证明材料）</w:t>
            </w:r>
          </w:p>
        </w:tc>
        <w:tc>
          <w:tcPr>
            <w:tcW w:w="474" w:type="pct"/>
            <w:vAlign w:val="center"/>
          </w:tcPr>
          <w:p w14:paraId="79FD8470">
            <w:pPr>
              <w:spacing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14</w:t>
            </w:r>
          </w:p>
        </w:tc>
      </w:tr>
      <w:tr w14:paraId="0F953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476" w:type="pct"/>
            <w:vAlign w:val="center"/>
          </w:tcPr>
          <w:p w14:paraId="509E583A">
            <w:pPr>
              <w:pStyle w:val="59"/>
              <w:numPr>
                <w:ilvl w:val="0"/>
                <w:numId w:val="8"/>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65AB77B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项目整体建设方案</w:t>
            </w:r>
          </w:p>
        </w:tc>
        <w:tc>
          <w:tcPr>
            <w:tcW w:w="3400" w:type="pct"/>
            <w:vAlign w:val="center"/>
          </w:tcPr>
          <w:p w14:paraId="3196D8C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根据供应商针对本项目提供的项目实施方案进行综合评审，内容包括但不限于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系统架构方案、项目管理机构、试运行方案、项目验收方案、项目质量保障措施、项目进度计划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FE94A0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建设</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内容全部提供的得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分；每缺少一项方案的扣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分；每项方案中每有一处存在缺陷的扣2分，直至该项分值扣完为止。</w:t>
            </w:r>
          </w:p>
        </w:tc>
        <w:tc>
          <w:tcPr>
            <w:tcW w:w="474" w:type="pct"/>
            <w:vAlign w:val="center"/>
          </w:tcPr>
          <w:p w14:paraId="33CB0BEC">
            <w:pPr>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24</w:t>
            </w:r>
          </w:p>
        </w:tc>
      </w:tr>
      <w:tr w14:paraId="4ED55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476" w:type="pct"/>
            <w:vAlign w:val="center"/>
          </w:tcPr>
          <w:p w14:paraId="0CF39472">
            <w:pPr>
              <w:pStyle w:val="59"/>
              <w:numPr>
                <w:ilvl w:val="0"/>
                <w:numId w:val="8"/>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77928279">
            <w:pPr>
              <w:spacing w:line="360" w:lineRule="auto"/>
              <w:jc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bCs/>
                <w:color w:val="000000" w:themeColor="text1"/>
                <w:sz w:val="24"/>
                <w:szCs w:val="24"/>
                <w:highlight w:val="none"/>
                <w14:textFill>
                  <w14:solidFill>
                    <w14:schemeClr w14:val="tx1"/>
                  </w14:solidFill>
                </w14:textFill>
              </w:rPr>
              <w:t>方案</w:t>
            </w:r>
          </w:p>
        </w:tc>
        <w:tc>
          <w:tcPr>
            <w:tcW w:w="3400" w:type="pct"/>
            <w:vAlign w:val="center"/>
          </w:tcPr>
          <w:p w14:paraId="3175094D">
            <w:pPr>
              <w:spacing w:line="360" w:lineRule="auto"/>
              <w:jc w:val="left"/>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根据投标人提供针对本项目的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具体实施方案（</w:t>
            </w:r>
            <w:r>
              <w:rPr>
                <w:rFonts w:hint="eastAsia" w:ascii="宋体" w:hAnsi="宋体" w:eastAsia="宋体" w:cs="宋体"/>
                <w:b/>
                <w:bCs/>
                <w:color w:val="000000" w:themeColor="text1"/>
                <w:sz w:val="24"/>
                <w:szCs w:val="24"/>
                <w:highlight w:val="none"/>
                <w14:textFill>
                  <w14:solidFill>
                    <w14:schemeClr w14:val="tx1"/>
                  </w14:solidFill>
                </w14:textFill>
              </w:rPr>
              <w:t>运维服务体系、</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b/>
                <w:bCs/>
                <w:color w:val="000000" w:themeColor="text1"/>
                <w:sz w:val="24"/>
                <w:szCs w:val="24"/>
                <w:highlight w:val="none"/>
                <w14:textFill>
                  <w14:solidFill>
                    <w14:schemeClr w14:val="tx1"/>
                  </w14:solidFill>
                </w14:textFill>
              </w:rPr>
              <w:t>流程、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b/>
                <w:bCs/>
                <w:color w:val="000000" w:themeColor="text1"/>
                <w:sz w:val="24"/>
                <w:szCs w:val="24"/>
                <w:highlight w:val="none"/>
                <w14:textFill>
                  <w14:solidFill>
                    <w14:schemeClr w14:val="tx1"/>
                  </w14:solidFill>
                </w14:textFill>
              </w:rPr>
              <w:t>方式、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b/>
                <w:bCs/>
                <w:color w:val="000000" w:themeColor="text1"/>
                <w:sz w:val="24"/>
                <w:szCs w:val="24"/>
                <w:highlight w:val="none"/>
                <w14:textFill>
                  <w14:solidFill>
                    <w14:schemeClr w14:val="tx1"/>
                  </w14:solidFill>
                </w14:textFill>
              </w:rPr>
              <w:t>监督管理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w:t>
            </w:r>
          </w:p>
          <w:p w14:paraId="2DBF94FF">
            <w:pPr>
              <w:adjustRightInd w:val="0"/>
              <w:snapToGrid w:val="0"/>
              <w:spacing w:line="360" w:lineRule="auto"/>
              <w:ind w:left="24" w:leftChars="10" w:right="24" w:rightChars="1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投标人提供的上述</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实施方案</w:t>
            </w:r>
            <w:r>
              <w:rPr>
                <w:rFonts w:hint="eastAsia" w:ascii="宋体" w:hAnsi="宋体" w:eastAsia="宋体" w:cs="宋体"/>
                <w:color w:val="000000" w:themeColor="text1"/>
                <w:sz w:val="24"/>
                <w:szCs w:val="24"/>
                <w:highlight w:val="none"/>
                <w14:textFill>
                  <w14:solidFill>
                    <w14:schemeClr w14:val="tx1"/>
                  </w14:solidFill>
                </w14:textFill>
              </w:rPr>
              <w:t>内容具有较强的科学性、合理性及针对性、完善程度非常全面准确的，得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10-15</w:t>
            </w:r>
            <w:r>
              <w:rPr>
                <w:rFonts w:hint="eastAsia" w:ascii="宋体" w:hAnsi="宋体" w:eastAsia="宋体" w:cs="宋体"/>
                <w:color w:val="000000" w:themeColor="text1"/>
                <w:sz w:val="24"/>
                <w:szCs w:val="24"/>
                <w:highlight w:val="none"/>
                <w14:textFill>
                  <w14:solidFill>
                    <w14:schemeClr w14:val="tx1"/>
                  </w14:solidFill>
                </w14:textFill>
              </w:rPr>
              <w:t>分；</w:t>
            </w:r>
          </w:p>
          <w:p w14:paraId="46B5F19A">
            <w:pPr>
              <w:adjustRightInd w:val="0"/>
              <w:snapToGrid w:val="0"/>
              <w:spacing w:line="360" w:lineRule="auto"/>
              <w:ind w:left="24" w:leftChars="10" w:right="24" w:rightChars="1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投标人提供的上述</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实施方案</w:t>
            </w:r>
            <w:r>
              <w:rPr>
                <w:rFonts w:hint="eastAsia" w:ascii="宋体" w:hAnsi="宋体" w:eastAsia="宋体" w:cs="宋体"/>
                <w:color w:val="000000" w:themeColor="text1"/>
                <w:sz w:val="24"/>
                <w:szCs w:val="24"/>
                <w:highlight w:val="none"/>
                <w14:textFill>
                  <w14:solidFill>
                    <w14:schemeClr w14:val="tx1"/>
                  </w14:solidFill>
                </w14:textFill>
              </w:rPr>
              <w:t>内容具有一定的科学性、合理性、针对性、完善程度比较全面的，得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5-10</w:t>
            </w:r>
            <w:r>
              <w:rPr>
                <w:rFonts w:hint="eastAsia" w:ascii="宋体" w:hAnsi="宋体" w:eastAsia="宋体" w:cs="宋体"/>
                <w:color w:val="000000" w:themeColor="text1"/>
                <w:sz w:val="24"/>
                <w:szCs w:val="24"/>
                <w:highlight w:val="none"/>
                <w14:textFill>
                  <w14:solidFill>
                    <w14:schemeClr w14:val="tx1"/>
                  </w14:solidFill>
                </w14:textFill>
              </w:rPr>
              <w:t>分；</w:t>
            </w:r>
          </w:p>
          <w:p w14:paraId="0AFC84EC">
            <w:pPr>
              <w:adjustRightInd w:val="0"/>
              <w:snapToGrid w:val="0"/>
              <w:spacing w:line="360" w:lineRule="auto"/>
              <w:ind w:left="24" w:leftChars="10" w:right="24" w:rightChars="1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投标人提供的上述</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实施方案</w:t>
            </w:r>
            <w:r>
              <w:rPr>
                <w:rFonts w:hint="eastAsia" w:ascii="宋体" w:hAnsi="宋体" w:eastAsia="宋体" w:cs="宋体"/>
                <w:color w:val="000000" w:themeColor="text1"/>
                <w:sz w:val="24"/>
                <w:szCs w:val="24"/>
                <w:highlight w:val="none"/>
                <w14:textFill>
                  <w14:solidFill>
                    <w14:schemeClr w14:val="tx1"/>
                  </w14:solidFill>
                </w14:textFill>
              </w:rPr>
              <w:t>内容科学性、合理性、针对性一般、完善程度一般，得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3641DA4">
            <w:pPr>
              <w:adjustRightInd w:val="0"/>
              <w:snapToGrid w:val="0"/>
              <w:spacing w:line="360" w:lineRule="auto"/>
              <w:ind w:left="24" w:leftChars="10" w:right="24"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投标人没有提供上述内容或提供的不完整的，得0分。</w:t>
            </w:r>
          </w:p>
        </w:tc>
        <w:tc>
          <w:tcPr>
            <w:tcW w:w="474" w:type="pct"/>
            <w:vAlign w:val="center"/>
          </w:tcPr>
          <w:p w14:paraId="1D833D5A">
            <w:pPr>
              <w:spacing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p>
        </w:tc>
      </w:tr>
      <w:tr w14:paraId="09C6D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476" w:type="pct"/>
            <w:vAlign w:val="center"/>
          </w:tcPr>
          <w:p w14:paraId="36CAE20F">
            <w:pPr>
              <w:pStyle w:val="59"/>
              <w:numPr>
                <w:ilvl w:val="0"/>
                <w:numId w:val="8"/>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356A9C1B">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售后服务方案</w:t>
            </w:r>
          </w:p>
        </w:tc>
        <w:tc>
          <w:tcPr>
            <w:tcW w:w="3400" w:type="pct"/>
            <w:vAlign w:val="center"/>
          </w:tcPr>
          <w:p w14:paraId="508D7A55">
            <w:pPr>
              <w:spacing w:line="360" w:lineRule="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售后服务方案和应急预案。方案详细、具体、可行，成立本项目售后服务团队，提供24小时服务热线，售后服务方案和应急预案（响应时间、电话支持、远程服务、现场服务、定期巡查、应急解决方案、服务监督管理机制、质量保障的具体措施等），根据详尽情况计分</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满分为10分</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0ED1C9E9">
            <w:pPr>
              <w:adjustRightInd w:val="0"/>
              <w:snapToGrid w:val="0"/>
              <w:spacing w:line="360" w:lineRule="auto"/>
              <w:ind w:left="24" w:leftChars="10" w:right="24" w:rightChars="1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投标人提供的上述内容具有较强的科学性、合理性及针对性、完善程度非常全面准确的，得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5-10</w:t>
            </w:r>
            <w:r>
              <w:rPr>
                <w:rFonts w:hint="eastAsia" w:ascii="宋体" w:hAnsi="宋体" w:eastAsia="宋体" w:cs="宋体"/>
                <w:color w:val="000000" w:themeColor="text1"/>
                <w:sz w:val="24"/>
                <w:szCs w:val="24"/>
                <w:highlight w:val="none"/>
                <w14:textFill>
                  <w14:solidFill>
                    <w14:schemeClr w14:val="tx1"/>
                  </w14:solidFill>
                </w14:textFill>
              </w:rPr>
              <w:t>分；</w:t>
            </w:r>
          </w:p>
          <w:p w14:paraId="4A55E871">
            <w:pPr>
              <w:adjustRightInd w:val="0"/>
              <w:snapToGrid w:val="0"/>
              <w:spacing w:line="360" w:lineRule="auto"/>
              <w:ind w:left="24" w:leftChars="10" w:right="24" w:rightChars="1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投标人提供的上述内容科学性、合理性、针对性一般、完善程度一般，得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p>
          <w:p w14:paraId="0D5AD45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投标人没有提供上述内容或提供的不完整的，得0分。</w:t>
            </w:r>
          </w:p>
        </w:tc>
        <w:tc>
          <w:tcPr>
            <w:tcW w:w="474" w:type="pct"/>
            <w:vAlign w:val="center"/>
          </w:tcPr>
          <w:p w14:paraId="43571A77">
            <w:pPr>
              <w:spacing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p>
        </w:tc>
      </w:tr>
      <w:tr w14:paraId="6A97D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476" w:type="pct"/>
            <w:vAlign w:val="center"/>
          </w:tcPr>
          <w:p w14:paraId="5F7F8997">
            <w:pPr>
              <w:pStyle w:val="59"/>
              <w:numPr>
                <w:ilvl w:val="0"/>
                <w:numId w:val="8"/>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0AA60B56">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培训方案</w:t>
            </w:r>
          </w:p>
        </w:tc>
        <w:tc>
          <w:tcPr>
            <w:tcW w:w="3400" w:type="pct"/>
            <w:vAlign w:val="center"/>
          </w:tcPr>
          <w:p w14:paraId="09314256">
            <w:pPr>
              <w:adjustRightInd w:val="0"/>
              <w:snapToGrid w:val="0"/>
              <w:spacing w:line="360" w:lineRule="auto"/>
              <w:ind w:left="24" w:leftChars="10" w:right="24" w:rightChars="1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提供完整的培训方案，</w:t>
            </w:r>
            <w:r>
              <w:rPr>
                <w:rFonts w:hint="eastAsia" w:ascii="宋体" w:hAnsi="宋体" w:eastAsia="宋体" w:cs="宋体"/>
                <w:color w:val="000000" w:themeColor="text1"/>
                <w:sz w:val="24"/>
                <w:szCs w:val="24"/>
                <w:highlight w:val="none"/>
                <w14:textFill>
                  <w14:solidFill>
                    <w14:schemeClr w14:val="tx1"/>
                  </w14:solidFill>
                </w14:textFill>
              </w:rPr>
              <w:t>根据投标人提供的针对本项目培训方案（包含但不限于培训人员安排、培训实施方案、培训安排）等进行综合评价：</w:t>
            </w:r>
          </w:p>
          <w:p w14:paraId="70205854">
            <w:pPr>
              <w:adjustRightInd w:val="0"/>
              <w:snapToGrid w:val="0"/>
              <w:spacing w:line="360" w:lineRule="auto"/>
              <w:ind w:left="24" w:leftChars="10" w:right="24" w:rightChars="1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投标人提供的上述内容具有较强的科学性、合理性及针对性、完善程度非常全面准确的，得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5-10</w:t>
            </w:r>
            <w:r>
              <w:rPr>
                <w:rFonts w:hint="eastAsia" w:ascii="宋体" w:hAnsi="宋体" w:eastAsia="宋体" w:cs="宋体"/>
                <w:color w:val="000000" w:themeColor="text1"/>
                <w:sz w:val="24"/>
                <w:szCs w:val="24"/>
                <w:highlight w:val="none"/>
                <w14:textFill>
                  <w14:solidFill>
                    <w14:schemeClr w14:val="tx1"/>
                  </w14:solidFill>
                </w14:textFill>
              </w:rPr>
              <w:t>分；</w:t>
            </w:r>
          </w:p>
          <w:p w14:paraId="70490EFA">
            <w:pPr>
              <w:adjustRightInd w:val="0"/>
              <w:snapToGrid w:val="0"/>
              <w:spacing w:line="360" w:lineRule="auto"/>
              <w:ind w:left="24" w:leftChars="10" w:right="24" w:rightChars="1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投标人提供的上述内容科学性、合理性、针对性一般、完善程度一般，得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p>
          <w:p w14:paraId="0A2F321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投标人没有提供上述内容或提供的不完整的，得0分。</w:t>
            </w:r>
          </w:p>
        </w:tc>
        <w:tc>
          <w:tcPr>
            <w:tcW w:w="474" w:type="pct"/>
            <w:vAlign w:val="center"/>
          </w:tcPr>
          <w:p w14:paraId="4342AA38">
            <w:pPr>
              <w:spacing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p>
        </w:tc>
      </w:tr>
      <w:tr w14:paraId="510A2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476" w:type="pct"/>
            <w:vAlign w:val="center"/>
          </w:tcPr>
          <w:p w14:paraId="318511FD">
            <w:pPr>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w:t>
            </w:r>
          </w:p>
        </w:tc>
        <w:tc>
          <w:tcPr>
            <w:tcW w:w="4523" w:type="pct"/>
            <w:gridSpan w:val="3"/>
            <w:vAlign w:val="center"/>
          </w:tcPr>
          <w:p w14:paraId="590FDFD0">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商务部分（合计</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b/>
                <w:color w:val="000000" w:themeColor="text1"/>
                <w:sz w:val="24"/>
                <w:szCs w:val="24"/>
                <w:highlight w:val="none"/>
                <w14:textFill>
                  <w14:solidFill>
                    <w14:schemeClr w14:val="tx1"/>
                  </w14:solidFill>
                </w14:textFill>
              </w:rPr>
              <w:t xml:space="preserve"> 分）</w:t>
            </w:r>
          </w:p>
        </w:tc>
      </w:tr>
      <w:tr w14:paraId="1FB0C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476" w:type="pct"/>
            <w:vAlign w:val="center"/>
          </w:tcPr>
          <w:p w14:paraId="0D2CD856">
            <w:pPr>
              <w:pStyle w:val="59"/>
              <w:numPr>
                <w:ilvl w:val="0"/>
                <w:numId w:val="9"/>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0C7421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企业资质及信誉</w:t>
            </w:r>
          </w:p>
        </w:tc>
        <w:tc>
          <w:tcPr>
            <w:tcW w:w="3400" w:type="pct"/>
            <w:vAlign w:val="center"/>
          </w:tcPr>
          <w:p w14:paraId="5E36FA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投标人的企业资质及信誉情况：</w:t>
            </w:r>
          </w:p>
          <w:p w14:paraId="54F32EB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具有ISO9001质量管理体系认证证书，ISO20000信息技术服务管理体系认证证书， ISO27001信息安全管理体系认证证书等，每提供一项得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分，最高得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分；</w:t>
            </w:r>
          </w:p>
        </w:tc>
        <w:tc>
          <w:tcPr>
            <w:tcW w:w="474" w:type="pct"/>
            <w:vAlign w:val="center"/>
          </w:tcPr>
          <w:p w14:paraId="1054C907">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14:paraId="09A15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76" w:type="pct"/>
            <w:vAlign w:val="center"/>
          </w:tcPr>
          <w:p w14:paraId="5BAE408C">
            <w:pPr>
              <w:pStyle w:val="59"/>
              <w:numPr>
                <w:ilvl w:val="0"/>
                <w:numId w:val="9"/>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46EF232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类似业绩</w:t>
            </w:r>
          </w:p>
        </w:tc>
        <w:tc>
          <w:tcPr>
            <w:tcW w:w="3400" w:type="pct"/>
            <w:vAlign w:val="center"/>
          </w:tcPr>
          <w:p w14:paraId="5F24AFB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投标人需具备同类项目建设经验：</w:t>
            </w:r>
          </w:p>
          <w:p w14:paraId="7115F23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（1）投标人提供自202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年1月至今的同类业绩，每提供一个合同得1分，本项最高得5分。</w:t>
            </w:r>
          </w:p>
          <w:p w14:paraId="71FA980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注：提供证明材料</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完整合同复印件加盖公章</w:t>
            </w:r>
            <w:r>
              <w:rPr>
                <w:rFonts w:hint="eastAsia" w:ascii="宋体" w:hAnsi="宋体" w:eastAsia="宋体" w:cs="宋体"/>
                <w:bCs/>
                <w:color w:val="000000" w:themeColor="text1"/>
                <w:sz w:val="24"/>
                <w:szCs w:val="24"/>
                <w:highlight w:val="none"/>
                <w14:textFill>
                  <w14:solidFill>
                    <w14:schemeClr w14:val="tx1"/>
                  </w14:solidFill>
                </w14:textFill>
              </w:rPr>
              <w:t>。</w:t>
            </w:r>
          </w:p>
        </w:tc>
        <w:tc>
          <w:tcPr>
            <w:tcW w:w="474" w:type="pct"/>
            <w:vAlign w:val="center"/>
          </w:tcPr>
          <w:p w14:paraId="35A803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r>
      <w:tr w14:paraId="6AB06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76" w:type="pct"/>
            <w:vAlign w:val="center"/>
          </w:tcPr>
          <w:p w14:paraId="0E445B1F">
            <w:pPr>
              <w:pStyle w:val="59"/>
              <w:numPr>
                <w:ilvl w:val="0"/>
                <w:numId w:val="9"/>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6F6879D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企业软件研发能力</w:t>
            </w:r>
          </w:p>
        </w:tc>
        <w:tc>
          <w:tcPr>
            <w:tcW w:w="3400" w:type="pct"/>
            <w:vAlign w:val="center"/>
          </w:tcPr>
          <w:p w14:paraId="1618300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投标人须提供具有软件研发能力的证明材料，包括：</w:t>
            </w:r>
          </w:p>
          <w:p w14:paraId="38F7A2CF">
            <w:pPr>
              <w:pStyle w:val="15"/>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相关著作权登记证书及软件产品登记证书：</w:t>
            </w:r>
            <w:r>
              <w:rPr>
                <w:rFonts w:hint="eastAsia" w:ascii="宋体" w:hAnsi="宋体" w:eastAsia="宋体" w:cs="宋体"/>
                <w:color w:val="000000" w:themeColor="text1"/>
                <w:kern w:val="2"/>
                <w:sz w:val="24"/>
                <w:szCs w:val="24"/>
                <w:highlight w:val="none"/>
                <w14:textFill>
                  <w14:solidFill>
                    <w14:schemeClr w14:val="tx1"/>
                  </w14:solidFill>
                </w14:textFill>
              </w:rPr>
              <w:t>患</w:t>
            </w:r>
            <w:r>
              <w:rPr>
                <w:rFonts w:hint="eastAsia" w:ascii="宋体" w:hAnsi="宋体" w:eastAsia="宋体" w:cs="宋体"/>
                <w:color w:val="000000" w:themeColor="text1"/>
                <w:sz w:val="24"/>
                <w:szCs w:val="24"/>
                <w:highlight w:val="none"/>
                <w14:textFill>
                  <w14:solidFill>
                    <w14:schemeClr w14:val="tx1"/>
                  </w14:solidFill>
                </w14:textFill>
              </w:rPr>
              <w:t>者移动服务软件、互联网医院软件、互联网诊疗服务软件、医技管理软件的著作权登记证书。</w:t>
            </w:r>
          </w:p>
          <w:p w14:paraId="0F2DBB5D">
            <w:pPr>
              <w:pStyle w:val="15"/>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全部提供并满足的得4分，每缺1项扣1分，扣完为止。</w:t>
            </w:r>
          </w:p>
          <w:p w14:paraId="11C1B5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注：须提供证书扫描复印件并加盖公章，不提供不得分。</w:t>
            </w:r>
          </w:p>
        </w:tc>
        <w:tc>
          <w:tcPr>
            <w:tcW w:w="474" w:type="pct"/>
            <w:vAlign w:val="center"/>
          </w:tcPr>
          <w:p w14:paraId="4F577F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r>
      <w:tr w14:paraId="0BD8A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76" w:type="pct"/>
            <w:vAlign w:val="center"/>
          </w:tcPr>
          <w:p w14:paraId="0BA66773">
            <w:pPr>
              <w:pStyle w:val="59"/>
              <w:numPr>
                <w:ilvl w:val="0"/>
                <w:numId w:val="9"/>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09DB614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具有稳定技术服务人员情况</w:t>
            </w:r>
          </w:p>
        </w:tc>
        <w:tc>
          <w:tcPr>
            <w:tcW w:w="3400" w:type="pct"/>
            <w:vAlign w:val="center"/>
          </w:tcPr>
          <w:p w14:paraId="40307521">
            <w:pPr>
              <w:spacing w:line="360" w:lineRule="auto"/>
              <w:jc w:val="left"/>
              <w:textAlignment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投标人须提供稳定技术服务人员团队，包括：</w:t>
            </w:r>
          </w:p>
          <w:p w14:paraId="1E0A48A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（一）项目负责人：</w:t>
            </w:r>
          </w:p>
          <w:p w14:paraId="5D68397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考察项目拟安排负责人的基本能力情况，本项目拟安排的项目负责人1人： </w:t>
            </w:r>
          </w:p>
          <w:p w14:paraId="3CF7371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1.具有信息系统项目管理师证书（高级）的，得1分。</w:t>
            </w:r>
          </w:p>
          <w:p w14:paraId="730A228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注：提供相关证书复印件并加盖公章。</w:t>
            </w:r>
          </w:p>
          <w:p w14:paraId="66DAD74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（二）项目团队资质：</w:t>
            </w:r>
          </w:p>
          <w:p w14:paraId="74828B6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总体要求：团队成员需具备相关的技术支持能力（不含项目负责人），要求提供以下证书作为证明材料。具体要求如下： </w:t>
            </w:r>
          </w:p>
          <w:p w14:paraId="4F2AAD8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1、项目团队成员具有系统集成项目管理工程师证书的，得1分；</w:t>
            </w:r>
          </w:p>
          <w:p w14:paraId="334F2BF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2、项目团队成员具有数据库系统工程师资格证书的，得1分；</w:t>
            </w:r>
          </w:p>
          <w:p w14:paraId="7F56977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3、项目团队成员具有网络工程师证书的，得1分；</w:t>
            </w:r>
          </w:p>
          <w:p w14:paraId="37FDB04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4、项目团队成员具有系统分析师，得1分。</w:t>
            </w:r>
          </w:p>
          <w:p w14:paraId="1A60A45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提供相关证书复印件并加盖公章。</w:t>
            </w:r>
          </w:p>
          <w:p w14:paraId="088D131F">
            <w:pPr>
              <w:pStyle w:val="60"/>
              <w:numPr>
                <w:ilvl w:val="0"/>
                <w:numId w:val="0"/>
              </w:numPr>
              <w:spacing w:line="360" w:lineRule="auto"/>
              <w:ind w:leftChars="0"/>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（2）同1人员具有多个证书的，不累计得分。</w:t>
            </w:r>
          </w:p>
          <w:p w14:paraId="58A1E864">
            <w:pPr>
              <w:pStyle w:val="60"/>
              <w:numPr>
                <w:ilvl w:val="0"/>
                <w:numId w:val="0"/>
              </w:numPr>
              <w:spacing w:line="360" w:lineRule="auto"/>
              <w:ind w:leftChars="0"/>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（3）以上项目负责人、项目组成员人员需提供本单位近6个月社保证明。</w:t>
            </w:r>
          </w:p>
        </w:tc>
        <w:tc>
          <w:tcPr>
            <w:tcW w:w="474" w:type="pct"/>
            <w:vAlign w:val="center"/>
          </w:tcPr>
          <w:p w14:paraId="27232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14:paraId="1EA74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476" w:type="pct"/>
            <w:vAlign w:val="center"/>
          </w:tcPr>
          <w:p w14:paraId="11102153">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4523" w:type="pct"/>
            <w:gridSpan w:val="3"/>
            <w:vAlign w:val="center"/>
          </w:tcPr>
          <w:p w14:paraId="32DB35AF">
            <w:pPr>
              <w:snapToGrid w:val="0"/>
              <w:spacing w:line="360" w:lineRule="auto"/>
              <w:ind w:left="-89" w:leftChars="-37" w:right="-84" w:rightChars="-35"/>
              <w:jc w:val="center"/>
              <w:rPr>
                <w:rFonts w:hint="eastAsia" w:ascii="宋体" w:hAnsi="宋体" w:eastAsia="宋体" w:cs="宋体"/>
                <w:bCs/>
                <w:i/>
                <w:color w:val="000000" w:themeColor="text1"/>
                <w:sz w:val="24"/>
                <w:szCs w:val="24"/>
                <w:highlight w:val="none"/>
                <w:shd w:val="pct10" w:color="auto" w:fill="FFFFFF"/>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价格部分（合计10分）</w:t>
            </w:r>
          </w:p>
        </w:tc>
      </w:tr>
      <w:tr w14:paraId="36713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76" w:type="pct"/>
            <w:vAlign w:val="center"/>
          </w:tcPr>
          <w:p w14:paraId="13614390">
            <w:pPr>
              <w:pStyle w:val="59"/>
              <w:numPr>
                <w:ilvl w:val="0"/>
                <w:numId w:val="10"/>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49" w:type="pct"/>
            <w:vAlign w:val="center"/>
          </w:tcPr>
          <w:p w14:paraId="1569AFB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3400" w:type="pct"/>
            <w:vAlign w:val="center"/>
          </w:tcPr>
          <w:p w14:paraId="45FF636B">
            <w:pPr>
              <w:pStyle w:val="61"/>
              <w:snapToGrid w:val="0"/>
              <w:spacing w:line="360" w:lineRule="auto"/>
              <w:ind w:firstLine="0" w:firstLineChars="0"/>
              <w:rPr>
                <w:rFonts w:hint="eastAsia" w:ascii="宋体" w:hAnsi="宋体" w:eastAsia="宋体" w:cs="宋体"/>
                <w:bCs/>
                <w:color w:val="000000" w:themeColor="text1"/>
                <w:sz w:val="24"/>
                <w:szCs w:val="24"/>
                <w:highlight w:val="none"/>
                <w14:textFill>
                  <w14:solidFill>
                    <w14:schemeClr w14:val="tx1"/>
                  </w14:solidFill>
                </w14:textFill>
              </w:rPr>
            </w:pPr>
            <w:bookmarkStart w:id="103" w:name="OLE_LINK22"/>
            <w:r>
              <w:rPr>
                <w:rFonts w:hint="eastAsia" w:ascii="宋体" w:hAnsi="宋体" w:eastAsia="宋体" w:cs="宋体"/>
                <w:bCs/>
                <w:color w:val="000000" w:themeColor="text1"/>
                <w:sz w:val="24"/>
                <w:szCs w:val="24"/>
                <w:highlight w:val="none"/>
                <w14:textFill>
                  <w14:solidFill>
                    <w14:schemeClr w14:val="tx1"/>
                  </w14:solidFill>
                </w14:textFill>
              </w:rPr>
              <w:t>满足投标文件要求且响应价格最低的响应报价为基准价，其价格分为满分。其他供应商的价格分统一按照下列公式计算：</w:t>
            </w:r>
          </w:p>
          <w:p w14:paraId="62535EDE">
            <w:pPr>
              <w:pStyle w:val="61"/>
              <w:snapToGrid w:val="0"/>
              <w:spacing w:line="360" w:lineRule="auto"/>
              <w:ind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报价得分=(基准价／最后报价)*10%*100</w:t>
            </w:r>
            <w:bookmarkEnd w:id="103"/>
          </w:p>
          <w:p w14:paraId="7623698A">
            <w:pPr>
              <w:pStyle w:val="61"/>
              <w:snapToGrid w:val="0"/>
              <w:spacing w:line="360" w:lineRule="auto"/>
              <w:ind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lang w:val="en-US" w:eastAsia="zh-CN" w:bidi="ar-SA"/>
              </w:rPr>
              <w:t>对符合政策性扣减的有效投标报价进行政策性扣减，并依据扣减后的价格（评审价格）进行价格评审。</w:t>
            </w:r>
          </w:p>
        </w:tc>
        <w:tc>
          <w:tcPr>
            <w:tcW w:w="474" w:type="pct"/>
            <w:vAlign w:val="center"/>
          </w:tcPr>
          <w:p w14:paraId="336B4CE1">
            <w:pPr>
              <w:pStyle w:val="2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14:paraId="34A96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76" w:type="pct"/>
            <w:vAlign w:val="center"/>
          </w:tcPr>
          <w:p w14:paraId="2FAEEFC6">
            <w:pPr>
              <w:pStyle w:val="59"/>
              <w:numPr>
                <w:ilvl w:val="0"/>
                <w:numId w:val="10"/>
              </w:numPr>
              <w:snapToGrid w:val="0"/>
              <w:spacing w:line="360" w:lineRule="auto"/>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23" w:type="pct"/>
            <w:gridSpan w:val="3"/>
            <w:vAlign w:val="center"/>
          </w:tcPr>
          <w:p w14:paraId="653150C0">
            <w:pPr>
              <w:spacing w:line="360" w:lineRule="auto"/>
              <w:ind w:left="-72" w:leftChars="-30" w:right="-101" w:rightChars="-4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低于成本价不正当竞争预防措施：</w:t>
            </w:r>
          </w:p>
          <w:p w14:paraId="2FF3BD14">
            <w:pPr>
              <w:snapToGrid w:val="0"/>
              <w:spacing w:line="360" w:lineRule="auto"/>
              <w:ind w:left="-89" w:leftChars="-37" w:right="-84" w:rightChars="-3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评标委员会认为投标人的投标报价低于</w:t>
            </w:r>
            <w:r>
              <w:rPr>
                <w:rFonts w:hint="eastAsia" w:ascii="宋体" w:hAnsi="宋体" w:eastAsia="宋体" w:cs="宋体"/>
                <w:color w:val="000000" w:themeColor="text1"/>
                <w:sz w:val="24"/>
                <w:szCs w:val="24"/>
                <w:highlight w:val="none"/>
                <w14:textFill>
                  <w14:solidFill>
                    <w14:schemeClr w14:val="tx1"/>
                  </w14:solidFill>
                </w14:textFill>
              </w:rPr>
              <w:t>其他通过初步审查投标人的报价，有可能影响产品质量或者不能诚信履约的，</w:t>
            </w:r>
            <w:r>
              <w:rPr>
                <w:rFonts w:hint="eastAsia" w:ascii="宋体" w:hAnsi="宋体" w:eastAsia="宋体" w:cs="宋体"/>
                <w:bCs/>
                <w:color w:val="000000" w:themeColor="text1"/>
                <w:sz w:val="24"/>
                <w:szCs w:val="24"/>
                <w:highlight w:val="none"/>
                <w14:textFill>
                  <w14:solidFill>
                    <w14:schemeClr w14:val="tx1"/>
                  </w14:solidFill>
                </w14:textFill>
              </w:rPr>
              <w:t>投标人必须对其报价提供详细的企业成本分析，并提供相应的证明材料。评标委员会根据投标人提供的成本分析说明，依照少数服从多数的原则，以书面形式认定投标人是否低于成本竞标，若经评标委员会评定，其投标报价存在低于成本竞标或未按要求提供成本分析说明或成本分析说明不能合理说明的，评标委员会将该投标文件视为没有在实质上响应招标文件要求，作无效投标处理。（持不同意见的评标委员会成员应当在评标报告上签署不同意见及理由，否则视为同意评标报告。）</w:t>
            </w:r>
          </w:p>
        </w:tc>
      </w:tr>
      <w:tr w14:paraId="6163D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525" w:type="pct"/>
            <w:gridSpan w:val="3"/>
            <w:vAlign w:val="center"/>
          </w:tcPr>
          <w:p w14:paraId="62F759C0">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合计</w:t>
            </w:r>
          </w:p>
        </w:tc>
        <w:tc>
          <w:tcPr>
            <w:tcW w:w="474" w:type="pct"/>
            <w:vAlign w:val="center"/>
          </w:tcPr>
          <w:p w14:paraId="463B060C">
            <w:pPr>
              <w:snapToGrid w:val="0"/>
              <w:spacing w:line="360" w:lineRule="auto"/>
              <w:ind w:left="-89" w:leftChars="-37" w:right="-84" w:rightChars="-3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100分 </w:t>
            </w:r>
          </w:p>
        </w:tc>
      </w:tr>
    </w:tbl>
    <w:p w14:paraId="5C785114">
      <w:pPr>
        <w:rPr>
          <w:highlight w:val="none"/>
        </w:rPr>
      </w:pPr>
    </w:p>
    <w:p w14:paraId="2BEB7DE5">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788CEBB0">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评标委员会</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3D3B650">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2、采购人根据评标报告中推荐的中标候选人排列顺序确定投标人，以复函通知招标代理机构。</w:t>
      </w:r>
    </w:p>
    <w:p w14:paraId="6EB708B3">
      <w:pPr>
        <w:rPr>
          <w:rFonts w:cs="宋体"/>
          <w:bCs/>
          <w:sz w:val="36"/>
          <w:szCs w:val="36"/>
          <w:highlight w:val="none"/>
        </w:rPr>
      </w:pPr>
      <w:r>
        <w:rPr>
          <w:rFonts w:hint="eastAsia" w:cs="宋体"/>
          <w:bCs/>
          <w:sz w:val="36"/>
          <w:szCs w:val="36"/>
          <w:highlight w:val="none"/>
        </w:rPr>
        <w:br w:type="page"/>
      </w:r>
    </w:p>
    <w:p w14:paraId="2F26B1A6">
      <w:pPr>
        <w:pStyle w:val="2"/>
        <w:spacing w:line="360" w:lineRule="auto"/>
        <w:jc w:val="center"/>
        <w:rPr>
          <w:rFonts w:ascii="宋体" w:eastAsia="宋体" w:cs="宋体"/>
          <w:bCs/>
          <w:sz w:val="36"/>
          <w:szCs w:val="36"/>
          <w:highlight w:val="none"/>
        </w:rPr>
      </w:pPr>
      <w:bookmarkStart w:id="104" w:name="_Toc2042"/>
      <w:r>
        <w:rPr>
          <w:rFonts w:hint="eastAsia" w:ascii="宋体" w:eastAsia="宋体" w:cs="宋体"/>
          <w:bCs/>
          <w:sz w:val="36"/>
          <w:szCs w:val="36"/>
          <w:highlight w:val="none"/>
        </w:rPr>
        <w:t>第六章  投标文件构成及格式</w:t>
      </w:r>
      <w:bookmarkEnd w:id="93"/>
      <w:bookmarkEnd w:id="94"/>
      <w:bookmarkEnd w:id="95"/>
      <w:bookmarkEnd w:id="96"/>
      <w:bookmarkEnd w:id="97"/>
      <w:bookmarkEnd w:id="98"/>
      <w:bookmarkEnd w:id="104"/>
    </w:p>
    <w:p w14:paraId="2854EF1B">
      <w:pPr>
        <w:rPr>
          <w:rFonts w:hAnsi="宋体" w:cs="宋体"/>
          <w:highlight w:val="none"/>
        </w:rPr>
      </w:pPr>
    </w:p>
    <w:p w14:paraId="07BF2890">
      <w:pPr>
        <w:rPr>
          <w:rFonts w:hint="eastAsia" w:hAnsi="宋体" w:eastAsia="宋体" w:cs="宋体"/>
          <w:b/>
          <w:sz w:val="32"/>
          <w:szCs w:val="32"/>
          <w:highlight w:val="none"/>
          <w:lang w:eastAsia="zh-CN"/>
        </w:rPr>
      </w:pPr>
      <w:r>
        <w:rPr>
          <w:rFonts w:hint="eastAsia" w:hAnsi="宋体" w:cs="宋体"/>
          <w:b/>
          <w:sz w:val="32"/>
          <w:szCs w:val="32"/>
          <w:highlight w:val="none"/>
        </w:rPr>
        <w:t>项目编号：</w:t>
      </w:r>
      <w:r>
        <w:rPr>
          <w:rFonts w:hint="eastAsia" w:hAnsi="宋体" w:cs="宋体"/>
          <w:b/>
          <w:sz w:val="32"/>
          <w:szCs w:val="32"/>
          <w:highlight w:val="none"/>
          <w:lang w:eastAsia="zh-CN"/>
        </w:rPr>
        <w:t>SXZCZB2024-ZCGK-1212</w:t>
      </w:r>
    </w:p>
    <w:p w14:paraId="4AF441AC">
      <w:pPr>
        <w:jc w:val="right"/>
        <w:rPr>
          <w:rFonts w:hAnsi="宋体" w:cs="宋体"/>
          <w:b/>
          <w:sz w:val="32"/>
          <w:szCs w:val="32"/>
          <w:highlight w:val="none"/>
        </w:rPr>
      </w:pPr>
      <w:r>
        <w:rPr>
          <w:rFonts w:hint="eastAsia" w:hAnsi="宋体" w:cs="宋体"/>
          <w:b/>
          <w:sz w:val="32"/>
          <w:szCs w:val="32"/>
          <w:highlight w:val="none"/>
        </w:rPr>
        <w:t>（正本或副本）</w:t>
      </w:r>
    </w:p>
    <w:p w14:paraId="173B61BE">
      <w:pPr>
        <w:jc w:val="center"/>
        <w:rPr>
          <w:rFonts w:hAnsi="宋体" w:cs="宋体"/>
          <w:b/>
          <w:sz w:val="36"/>
          <w:szCs w:val="36"/>
          <w:highlight w:val="none"/>
        </w:rPr>
      </w:pPr>
    </w:p>
    <w:p w14:paraId="75724651">
      <w:pPr>
        <w:rPr>
          <w:rFonts w:hAnsi="宋体" w:cs="宋体"/>
          <w:b/>
          <w:sz w:val="52"/>
          <w:szCs w:val="52"/>
          <w:highlight w:val="none"/>
        </w:rPr>
      </w:pPr>
    </w:p>
    <w:p w14:paraId="0A202CAB">
      <w:pPr>
        <w:jc w:val="center"/>
        <w:rPr>
          <w:rFonts w:hint="eastAsia" w:hAnsi="宋体" w:eastAsia="宋体" w:cs="宋体"/>
          <w:b/>
          <w:sz w:val="40"/>
          <w:szCs w:val="40"/>
          <w:highlight w:val="none"/>
          <w:lang w:eastAsia="zh-CN"/>
        </w:rPr>
      </w:pPr>
      <w:r>
        <w:rPr>
          <w:rFonts w:hint="eastAsia" w:hAnsi="宋体" w:cs="宋体"/>
          <w:b/>
          <w:sz w:val="48"/>
          <w:szCs w:val="48"/>
          <w:highlight w:val="none"/>
          <w:lang w:eastAsia="zh-CN"/>
        </w:rPr>
        <w:t>汉中市人民医院互联网二期升级改造（银医合作）采购项目</w:t>
      </w:r>
    </w:p>
    <w:p w14:paraId="2F3A93E9">
      <w:pPr>
        <w:rPr>
          <w:rFonts w:hAnsi="宋体" w:cs="宋体"/>
          <w:b/>
          <w:sz w:val="48"/>
          <w:szCs w:val="48"/>
          <w:highlight w:val="none"/>
        </w:rPr>
      </w:pPr>
    </w:p>
    <w:p w14:paraId="3CA9AFE4">
      <w:pPr>
        <w:jc w:val="center"/>
        <w:rPr>
          <w:rFonts w:hAnsi="宋体" w:cs="宋体"/>
          <w:b/>
          <w:sz w:val="72"/>
          <w:szCs w:val="72"/>
          <w:highlight w:val="none"/>
        </w:rPr>
      </w:pPr>
    </w:p>
    <w:p w14:paraId="2F692E21">
      <w:pPr>
        <w:jc w:val="center"/>
        <w:rPr>
          <w:rFonts w:hAnsi="宋体" w:cs="宋体"/>
          <w:b/>
          <w:sz w:val="72"/>
          <w:szCs w:val="72"/>
          <w:highlight w:val="none"/>
        </w:rPr>
      </w:pPr>
      <w:r>
        <w:rPr>
          <w:rFonts w:hint="eastAsia" w:hAnsi="宋体" w:cs="宋体"/>
          <w:b/>
          <w:sz w:val="72"/>
          <w:szCs w:val="72"/>
          <w:highlight w:val="none"/>
        </w:rPr>
        <w:t>投 标 文 件</w:t>
      </w:r>
    </w:p>
    <w:p w14:paraId="334D7C0A">
      <w:pPr>
        <w:rPr>
          <w:rFonts w:hAnsi="宋体" w:cs="宋体"/>
          <w:b/>
          <w:sz w:val="36"/>
          <w:szCs w:val="36"/>
          <w:highlight w:val="none"/>
        </w:rPr>
      </w:pPr>
    </w:p>
    <w:p w14:paraId="7412B163">
      <w:pPr>
        <w:tabs>
          <w:tab w:val="center" w:pos="5346"/>
        </w:tabs>
        <w:spacing w:line="720" w:lineRule="auto"/>
        <w:jc w:val="center"/>
        <w:rPr>
          <w:rFonts w:hAnsi="宋体" w:cs="宋体"/>
          <w:b/>
          <w:sz w:val="32"/>
          <w:szCs w:val="32"/>
          <w:highlight w:val="none"/>
        </w:rPr>
      </w:pPr>
    </w:p>
    <w:p w14:paraId="49B935B0">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投标人名称（公章）</w:t>
      </w:r>
    </w:p>
    <w:p w14:paraId="3F5573C9">
      <w:pPr>
        <w:spacing w:line="720" w:lineRule="auto"/>
        <w:jc w:val="center"/>
        <w:rPr>
          <w:rFonts w:hAnsi="宋体" w:cs="宋体"/>
          <w:sz w:val="32"/>
          <w:szCs w:val="32"/>
          <w:highlight w:val="none"/>
        </w:rPr>
      </w:pPr>
      <w:r>
        <w:rPr>
          <w:rFonts w:hint="eastAsia" w:hAnsi="宋体" w:cs="宋体"/>
          <w:b/>
          <w:sz w:val="32"/>
          <w:szCs w:val="32"/>
          <w:highlight w:val="none"/>
        </w:rPr>
        <w:t xml:space="preserve">  年   月</w:t>
      </w:r>
      <w:r>
        <w:rPr>
          <w:rFonts w:hint="eastAsia" w:hAnsi="宋体" w:cs="宋体"/>
          <w:b/>
          <w:sz w:val="36"/>
          <w:szCs w:val="36"/>
          <w:highlight w:val="none"/>
        </w:rPr>
        <w:br w:type="page"/>
      </w:r>
      <w:bookmarkStart w:id="105" w:name="_Toc30983"/>
      <w:bookmarkStart w:id="106" w:name="_Toc426457699"/>
      <w:bookmarkStart w:id="107" w:name="_Toc23267"/>
      <w:bookmarkStart w:id="108" w:name="_Toc17702"/>
      <w:bookmarkStart w:id="109" w:name="_Toc22537"/>
      <w:bookmarkStart w:id="110" w:name="_Toc23850"/>
      <w:bookmarkStart w:id="111" w:name="_Toc363474026"/>
      <w:bookmarkStart w:id="112" w:name="_Toc403077647"/>
      <w:r>
        <w:rPr>
          <w:rFonts w:hint="eastAsia" w:hAnsi="宋体" w:cs="宋体"/>
          <w:sz w:val="32"/>
          <w:szCs w:val="32"/>
          <w:highlight w:val="none"/>
        </w:rPr>
        <w:t>目    录</w:t>
      </w:r>
      <w:bookmarkEnd w:id="105"/>
      <w:bookmarkEnd w:id="106"/>
      <w:bookmarkEnd w:id="107"/>
      <w:bookmarkEnd w:id="108"/>
      <w:bookmarkEnd w:id="109"/>
      <w:bookmarkEnd w:id="110"/>
      <w:bookmarkEnd w:id="111"/>
      <w:bookmarkEnd w:id="112"/>
    </w:p>
    <w:p w14:paraId="2704278E">
      <w:pPr>
        <w:rPr>
          <w:rFonts w:hAnsi="宋体" w:cs="宋体"/>
          <w:highlight w:val="none"/>
        </w:rPr>
      </w:pPr>
    </w:p>
    <w:p w14:paraId="2EE45BDF">
      <w:pPr>
        <w:numPr>
          <w:ilvl w:val="0"/>
          <w:numId w:val="11"/>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投标函</w:t>
      </w:r>
    </w:p>
    <w:p w14:paraId="67C28492">
      <w:pPr>
        <w:numPr>
          <w:ilvl w:val="0"/>
          <w:numId w:val="11"/>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投标报价表</w:t>
      </w:r>
    </w:p>
    <w:p w14:paraId="3643491A">
      <w:pPr>
        <w:numPr>
          <w:ilvl w:val="0"/>
          <w:numId w:val="11"/>
        </w:numPr>
        <w:tabs>
          <w:tab w:val="left" w:pos="1418"/>
        </w:tabs>
        <w:spacing w:line="720" w:lineRule="auto"/>
        <w:ind w:left="831"/>
        <w:rPr>
          <w:rFonts w:hAnsi="宋体" w:cs="宋体"/>
          <w:spacing w:val="4"/>
          <w:szCs w:val="24"/>
          <w:highlight w:val="none"/>
        </w:rPr>
      </w:pPr>
      <w:r>
        <w:rPr>
          <w:rFonts w:hint="eastAsia" w:hAnsi="宋体" w:cs="宋体"/>
          <w:szCs w:val="24"/>
          <w:highlight w:val="none"/>
        </w:rPr>
        <w:t>投标方案说明书</w:t>
      </w:r>
    </w:p>
    <w:p w14:paraId="3A0DB2D2">
      <w:pPr>
        <w:numPr>
          <w:ilvl w:val="0"/>
          <w:numId w:val="11"/>
        </w:numPr>
        <w:tabs>
          <w:tab w:val="left" w:pos="1418"/>
        </w:tabs>
        <w:spacing w:line="720" w:lineRule="auto"/>
        <w:ind w:left="831"/>
        <w:rPr>
          <w:rFonts w:hAnsi="宋体" w:cs="宋体"/>
          <w:spacing w:val="4"/>
          <w:szCs w:val="24"/>
          <w:highlight w:val="none"/>
        </w:rPr>
      </w:pPr>
      <w:r>
        <w:rPr>
          <w:rFonts w:hint="eastAsia" w:hAnsi="宋体" w:cs="宋体"/>
          <w:szCs w:val="24"/>
          <w:highlight w:val="none"/>
        </w:rPr>
        <w:t>商务条款偏离表</w:t>
      </w:r>
    </w:p>
    <w:p w14:paraId="77ECC166">
      <w:pPr>
        <w:numPr>
          <w:ilvl w:val="0"/>
          <w:numId w:val="11"/>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陕西省政府采购供应商拒绝政府采购领域商业贿赂承诺书</w:t>
      </w:r>
    </w:p>
    <w:p w14:paraId="50485E5B">
      <w:pPr>
        <w:numPr>
          <w:ilvl w:val="0"/>
          <w:numId w:val="11"/>
        </w:numPr>
        <w:tabs>
          <w:tab w:val="left" w:pos="1418"/>
        </w:tabs>
        <w:spacing w:line="720" w:lineRule="auto"/>
        <w:ind w:left="831"/>
        <w:rPr>
          <w:rFonts w:hAnsi="宋体" w:cs="宋体"/>
          <w:szCs w:val="24"/>
          <w:highlight w:val="none"/>
        </w:rPr>
      </w:pPr>
      <w:r>
        <w:rPr>
          <w:rFonts w:hint="eastAsia" w:hAnsi="宋体" w:cs="宋体"/>
          <w:szCs w:val="24"/>
          <w:highlight w:val="none"/>
        </w:rPr>
        <w:t>资格证明文件</w:t>
      </w:r>
    </w:p>
    <w:p w14:paraId="449BD070">
      <w:pPr>
        <w:numPr>
          <w:ilvl w:val="0"/>
          <w:numId w:val="11"/>
        </w:numPr>
        <w:tabs>
          <w:tab w:val="left" w:pos="1418"/>
        </w:tabs>
        <w:spacing w:line="720" w:lineRule="auto"/>
        <w:ind w:left="831"/>
        <w:rPr>
          <w:rFonts w:hAnsi="宋体" w:cs="宋体"/>
          <w:szCs w:val="24"/>
          <w:highlight w:val="none"/>
        </w:rPr>
      </w:pPr>
      <w:r>
        <w:rPr>
          <w:rFonts w:hint="eastAsia" w:hAnsi="宋体" w:cs="宋体"/>
          <w:szCs w:val="24"/>
          <w:highlight w:val="none"/>
        </w:rPr>
        <w:t>其他</w:t>
      </w:r>
    </w:p>
    <w:p w14:paraId="15E81A09">
      <w:pPr>
        <w:spacing w:line="480" w:lineRule="auto"/>
        <w:ind w:left="105"/>
        <w:rPr>
          <w:rFonts w:hAnsi="宋体" w:cs="宋体"/>
          <w:spacing w:val="4"/>
          <w:szCs w:val="24"/>
          <w:highlight w:val="none"/>
        </w:rPr>
      </w:pPr>
    </w:p>
    <w:p w14:paraId="6F14A666">
      <w:pPr>
        <w:pStyle w:val="4"/>
        <w:spacing w:before="333" w:beforeLines="100"/>
        <w:rPr>
          <w:rFonts w:ascii="宋体" w:hAnsi="宋体" w:cs="宋体"/>
          <w:sz w:val="32"/>
          <w:szCs w:val="32"/>
          <w:highlight w:val="none"/>
        </w:rPr>
      </w:pPr>
      <w:r>
        <w:rPr>
          <w:rFonts w:hint="eastAsia" w:ascii="宋体" w:hAnsi="宋体" w:cs="宋体"/>
          <w:sz w:val="28"/>
          <w:highlight w:val="none"/>
        </w:rPr>
        <w:br w:type="page"/>
      </w:r>
      <w:bookmarkStart w:id="113" w:name="_Toc363474027"/>
      <w:bookmarkStart w:id="114" w:name="_Toc403077648"/>
      <w:bookmarkStart w:id="115" w:name="_Toc22682"/>
      <w:bookmarkStart w:id="116" w:name="_Toc24564"/>
      <w:bookmarkStart w:id="117" w:name="_Toc6397"/>
      <w:bookmarkStart w:id="118" w:name="_Toc26301"/>
      <w:bookmarkStart w:id="119" w:name="_Toc31677"/>
      <w:bookmarkStart w:id="120" w:name="_Toc426457700"/>
      <w:bookmarkStart w:id="121" w:name="_Toc23702"/>
      <w:bookmarkStart w:id="122" w:name="_Toc24231"/>
      <w:bookmarkStart w:id="123" w:name="_Toc20960"/>
      <w:bookmarkStart w:id="124" w:name="_Toc4930"/>
      <w:bookmarkStart w:id="125" w:name="_Toc28404"/>
      <w:bookmarkStart w:id="126" w:name="_Toc14057"/>
      <w:bookmarkStart w:id="127" w:name="_Toc5908"/>
      <w:r>
        <w:rPr>
          <w:rFonts w:hint="eastAsia" w:ascii="宋体" w:hAnsi="宋体" w:cs="宋体"/>
          <w:sz w:val="32"/>
          <w:szCs w:val="32"/>
          <w:highlight w:val="none"/>
        </w:rPr>
        <w:t>一、投标</w:t>
      </w:r>
      <w:bookmarkEnd w:id="113"/>
      <w:bookmarkEnd w:id="114"/>
      <w:r>
        <w:rPr>
          <w:rFonts w:hint="eastAsia" w:ascii="宋体" w:hAnsi="宋体" w:cs="宋体"/>
          <w:sz w:val="32"/>
          <w:szCs w:val="32"/>
          <w:highlight w:val="none"/>
        </w:rPr>
        <w:t>函</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A64FE3A">
      <w:pPr>
        <w:rPr>
          <w:rFonts w:hAnsi="宋体" w:cs="宋体"/>
          <w:highlight w:val="none"/>
        </w:rPr>
      </w:pPr>
    </w:p>
    <w:p w14:paraId="03873F4E">
      <w:pPr>
        <w:spacing w:line="500" w:lineRule="exact"/>
        <w:jc w:val="left"/>
        <w:rPr>
          <w:rFonts w:hAnsi="宋体" w:cs="宋体"/>
          <w:spacing w:val="4"/>
          <w:szCs w:val="24"/>
          <w:highlight w:val="none"/>
          <w:u w:val="single"/>
        </w:rPr>
      </w:pPr>
      <w:r>
        <w:rPr>
          <w:rFonts w:hint="eastAsia" w:hAnsi="宋体" w:cs="宋体"/>
          <w:b/>
          <w:spacing w:val="4"/>
          <w:szCs w:val="24"/>
          <w:highlight w:val="none"/>
        </w:rPr>
        <w:t>致</w:t>
      </w:r>
      <w:r>
        <w:rPr>
          <w:rFonts w:hint="eastAsia" w:hAnsi="宋体" w:cs="宋体"/>
          <w:b/>
          <w:spacing w:val="4"/>
          <w:szCs w:val="24"/>
          <w:highlight w:val="none"/>
          <w:u w:val="single"/>
        </w:rPr>
        <w:t>：采购人名称/陕西至诚项目管理集团有限公司</w:t>
      </w:r>
    </w:p>
    <w:p w14:paraId="7B3E77CA">
      <w:pPr>
        <w:spacing w:line="500" w:lineRule="exact"/>
        <w:ind w:firstLine="496" w:firstLineChars="200"/>
        <w:rPr>
          <w:rFonts w:hAnsi="宋体" w:cs="宋体"/>
          <w:spacing w:val="4"/>
          <w:highlight w:val="none"/>
        </w:rPr>
      </w:pPr>
      <w:r>
        <w:rPr>
          <w:rFonts w:hint="eastAsia" w:hAnsi="宋体" w:cs="宋体"/>
          <w:spacing w:val="4"/>
          <w:highlight w:val="none"/>
        </w:rPr>
        <w:t>根据贵方“</w:t>
      </w:r>
      <w:r>
        <w:rPr>
          <w:rFonts w:hint="eastAsia" w:hAnsi="宋体" w:cs="宋体"/>
          <w:spacing w:val="4"/>
          <w:highlight w:val="none"/>
          <w:u w:val="single"/>
        </w:rPr>
        <w:t xml:space="preserve">                      </w:t>
      </w:r>
      <w:r>
        <w:rPr>
          <w:rFonts w:hint="eastAsia" w:hAnsi="宋体" w:cs="宋体"/>
          <w:spacing w:val="4"/>
          <w:highlight w:val="none"/>
        </w:rPr>
        <w:t>”项目的投标邀请</w:t>
      </w:r>
      <w:r>
        <w:rPr>
          <w:rFonts w:hint="eastAsia" w:hAnsi="宋体" w:cs="宋体"/>
          <w:spacing w:val="4"/>
          <w:highlight w:val="none"/>
          <w:u w:val="single"/>
        </w:rPr>
        <w:t>(编号：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经正式授权并代表供应商</w:t>
      </w:r>
      <w:r>
        <w:rPr>
          <w:rFonts w:hint="eastAsia" w:hAnsi="宋体" w:cs="宋体"/>
          <w:spacing w:val="4"/>
          <w:highlight w:val="none"/>
          <w:u w:val="single"/>
        </w:rPr>
        <w:t>(供应商名称、地址)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w:t>
      </w:r>
      <w:r>
        <w:rPr>
          <w:rFonts w:hint="eastAsia" w:hAnsi="宋体" w:cs="宋体"/>
          <w:spacing w:val="4"/>
          <w:highlight w:val="none"/>
        </w:rPr>
        <w:t>份、电子版</w:t>
      </w:r>
      <w:r>
        <w:rPr>
          <w:rFonts w:hint="eastAsia" w:hAnsi="宋体" w:cs="宋体"/>
          <w:spacing w:val="4"/>
          <w:highlight w:val="none"/>
          <w:u w:val="single"/>
        </w:rPr>
        <w:t xml:space="preserve">    </w:t>
      </w:r>
      <w:r>
        <w:rPr>
          <w:rFonts w:hint="eastAsia" w:hAnsi="宋体" w:cs="宋体"/>
          <w:spacing w:val="4"/>
          <w:highlight w:val="none"/>
        </w:rPr>
        <w:t>份、开标一览表</w:t>
      </w:r>
      <w:r>
        <w:rPr>
          <w:rFonts w:hint="eastAsia" w:hAnsi="宋体" w:cs="宋体"/>
          <w:spacing w:val="4"/>
          <w:highlight w:val="none"/>
          <w:u w:val="single"/>
        </w:rPr>
        <w:t xml:space="preserve">    </w:t>
      </w:r>
      <w:r>
        <w:rPr>
          <w:rFonts w:hint="eastAsia" w:hAnsi="宋体" w:cs="宋体"/>
          <w:spacing w:val="4"/>
          <w:highlight w:val="none"/>
        </w:rPr>
        <w:t>份。</w:t>
      </w:r>
    </w:p>
    <w:p w14:paraId="23661BE6">
      <w:pPr>
        <w:spacing w:line="500" w:lineRule="exact"/>
        <w:ind w:left="624" w:leftChars="251" w:hanging="22" w:hangingChars="9"/>
        <w:jc w:val="left"/>
        <w:rPr>
          <w:rFonts w:hAnsi="宋体" w:cs="宋体"/>
          <w:spacing w:val="4"/>
          <w:highlight w:val="none"/>
        </w:rPr>
      </w:pPr>
      <w:r>
        <w:rPr>
          <w:rFonts w:hint="eastAsia" w:hAnsi="宋体" w:cs="宋体"/>
          <w:spacing w:val="4"/>
          <w:highlight w:val="none"/>
        </w:rPr>
        <w:t>我方承诺如下：</w:t>
      </w:r>
    </w:p>
    <w:p w14:paraId="0D377297">
      <w:pPr>
        <w:numPr>
          <w:ilvl w:val="0"/>
          <w:numId w:val="12"/>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投标报价为小写：</w:t>
      </w:r>
      <w:r>
        <w:rPr>
          <w:rFonts w:hint="eastAsia" w:hAnsi="宋体" w:cs="宋体"/>
          <w:spacing w:val="4"/>
          <w:szCs w:val="24"/>
          <w:highlight w:val="none"/>
          <w:u w:val="single"/>
        </w:rPr>
        <w:t xml:space="preserve">         </w:t>
      </w:r>
      <w:r>
        <w:rPr>
          <w:rFonts w:hint="eastAsia" w:hAnsi="宋体" w:cs="宋体"/>
          <w:spacing w:val="4"/>
          <w:szCs w:val="24"/>
          <w:highlight w:val="none"/>
        </w:rPr>
        <w:t>（大写：</w:t>
      </w:r>
      <w:r>
        <w:rPr>
          <w:rFonts w:hint="eastAsia" w:hAnsi="宋体" w:cs="宋体"/>
          <w:spacing w:val="4"/>
          <w:szCs w:val="24"/>
          <w:highlight w:val="none"/>
          <w:u w:val="single"/>
        </w:rPr>
        <w:t xml:space="preserve">         </w:t>
      </w:r>
      <w:r>
        <w:rPr>
          <w:rFonts w:hint="eastAsia" w:hAnsi="宋体" w:cs="宋体"/>
          <w:spacing w:val="4"/>
          <w:szCs w:val="24"/>
          <w:highlight w:val="none"/>
        </w:rPr>
        <w:t>）。</w:t>
      </w:r>
    </w:p>
    <w:p w14:paraId="1BFD7311">
      <w:pPr>
        <w:numPr>
          <w:ilvl w:val="0"/>
          <w:numId w:val="12"/>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如果中标，我们根据招标文件的规定，履行合同的责任和义务。</w:t>
      </w:r>
    </w:p>
    <w:p w14:paraId="3610FC71">
      <w:pPr>
        <w:numPr>
          <w:ilvl w:val="0"/>
          <w:numId w:val="12"/>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我们已详细阅读和审核全部招标文件（含修改部分，如有的话）及有关附件，我们知道必须放弃提出含糊不清或误解的问题的权利。</w:t>
      </w:r>
    </w:p>
    <w:p w14:paraId="46778767">
      <w:pPr>
        <w:numPr>
          <w:ilvl w:val="0"/>
          <w:numId w:val="12"/>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我们同意在投标有效期内（</w:t>
      </w:r>
      <w:r>
        <w:rPr>
          <w:rFonts w:hint="eastAsia" w:hAnsi="宋体" w:cs="宋体"/>
          <w:spacing w:val="4"/>
          <w:szCs w:val="24"/>
          <w:highlight w:val="none"/>
          <w:u w:val="single"/>
        </w:rPr>
        <w:t>自开标之日起    天</w:t>
      </w:r>
      <w:r>
        <w:rPr>
          <w:rFonts w:hint="eastAsia" w:hAnsi="宋体" w:cs="宋体"/>
          <w:spacing w:val="4"/>
          <w:szCs w:val="24"/>
          <w:highlight w:val="none"/>
        </w:rPr>
        <w:t>），本投标函对我方具有约束力。</w:t>
      </w:r>
    </w:p>
    <w:p w14:paraId="50C281F6">
      <w:pPr>
        <w:numPr>
          <w:ilvl w:val="0"/>
          <w:numId w:val="12"/>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同意提供贵方可能另外要求的与本投标有关的任何证据和资料。</w:t>
      </w:r>
    </w:p>
    <w:p w14:paraId="3C63B51C">
      <w:pPr>
        <w:numPr>
          <w:ilvl w:val="0"/>
          <w:numId w:val="12"/>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我们同意，如果中标，向陕西至诚项目管理集团有限公司交纳招标代理服务费。</w:t>
      </w:r>
    </w:p>
    <w:p w14:paraId="11E94BB2">
      <w:pPr>
        <w:numPr>
          <w:ilvl w:val="0"/>
          <w:numId w:val="12"/>
        </w:numPr>
        <w:tabs>
          <w:tab w:val="left" w:pos="2160"/>
        </w:tabs>
        <w:spacing w:line="500" w:lineRule="exact"/>
        <w:ind w:left="0" w:firstLine="0"/>
        <w:jc w:val="left"/>
        <w:rPr>
          <w:rFonts w:hAnsi="宋体" w:cs="宋体"/>
          <w:spacing w:val="4"/>
          <w:szCs w:val="24"/>
          <w:highlight w:val="none"/>
        </w:rPr>
      </w:pPr>
      <w:r>
        <w:rPr>
          <w:rFonts w:hint="eastAsia" w:hAnsi="宋体" w:cs="宋体"/>
          <w:spacing w:val="4"/>
          <w:szCs w:val="24"/>
          <w:highlight w:val="none"/>
        </w:rPr>
        <w:t>与本投标有关的一切正式往来通讯为：</w:t>
      </w:r>
    </w:p>
    <w:p w14:paraId="65064989">
      <w:pPr>
        <w:spacing w:line="500" w:lineRule="exact"/>
        <w:ind w:firstLine="1240" w:firstLineChars="500"/>
        <w:jc w:val="left"/>
        <w:rPr>
          <w:rFonts w:hAnsi="宋体" w:cs="宋体"/>
          <w:spacing w:val="4"/>
          <w:highlight w:val="none"/>
        </w:rPr>
      </w:pPr>
      <w:r>
        <w:rPr>
          <w:rFonts w:hint="eastAsia" w:hAnsi="宋体" w:cs="宋体"/>
          <w:spacing w:val="4"/>
          <w:highlight w:val="none"/>
        </w:rPr>
        <w:t>联系地址：</w:t>
      </w:r>
    </w:p>
    <w:p w14:paraId="5BE3805D">
      <w:pPr>
        <w:spacing w:line="500" w:lineRule="exact"/>
        <w:ind w:firstLine="1240" w:firstLineChars="500"/>
        <w:jc w:val="left"/>
        <w:rPr>
          <w:rFonts w:hAnsi="宋体" w:cs="宋体"/>
          <w:spacing w:val="4"/>
          <w:highlight w:val="none"/>
        </w:rPr>
      </w:pPr>
      <w:r>
        <w:rPr>
          <w:rFonts w:hint="eastAsia" w:hAnsi="宋体" w:cs="宋体"/>
          <w:spacing w:val="4"/>
          <w:highlight w:val="none"/>
        </w:rPr>
        <w:t>邮政编码：</w:t>
      </w:r>
    </w:p>
    <w:p w14:paraId="2AF5F40E">
      <w:pPr>
        <w:spacing w:line="500" w:lineRule="exact"/>
        <w:ind w:firstLine="1240" w:firstLineChars="500"/>
        <w:jc w:val="left"/>
        <w:rPr>
          <w:rFonts w:hAnsi="宋体" w:cs="宋体"/>
          <w:spacing w:val="4"/>
          <w:highlight w:val="none"/>
        </w:rPr>
      </w:pPr>
      <w:r>
        <w:rPr>
          <w:rFonts w:hint="eastAsia" w:hAnsi="宋体" w:cs="宋体"/>
          <w:spacing w:val="4"/>
          <w:highlight w:val="none"/>
        </w:rPr>
        <w:t>电    话：</w:t>
      </w:r>
    </w:p>
    <w:p w14:paraId="705E7F0A">
      <w:pPr>
        <w:spacing w:line="500" w:lineRule="exact"/>
        <w:ind w:firstLine="1240" w:firstLineChars="500"/>
        <w:jc w:val="left"/>
        <w:rPr>
          <w:rFonts w:hAnsi="宋体" w:cs="宋体"/>
          <w:spacing w:val="4"/>
          <w:highlight w:val="none"/>
        </w:rPr>
      </w:pPr>
      <w:r>
        <w:rPr>
          <w:rFonts w:hint="eastAsia" w:hAnsi="宋体" w:cs="宋体"/>
          <w:spacing w:val="4"/>
          <w:highlight w:val="none"/>
        </w:rPr>
        <w:t>传    真：</w:t>
      </w:r>
    </w:p>
    <w:p w14:paraId="10A85B1D">
      <w:pPr>
        <w:spacing w:line="500" w:lineRule="exact"/>
        <w:ind w:firstLine="1240" w:firstLineChars="500"/>
        <w:jc w:val="left"/>
        <w:rPr>
          <w:rFonts w:hAnsi="宋体" w:cs="宋体"/>
          <w:spacing w:val="4"/>
          <w:highlight w:val="none"/>
        </w:rPr>
      </w:pPr>
      <w:r>
        <w:rPr>
          <w:rFonts w:hint="eastAsia" w:hAnsi="宋体" w:cs="宋体"/>
          <w:spacing w:val="4"/>
          <w:highlight w:val="none"/>
        </w:rPr>
        <w:t>供应商名称（盖章）：</w:t>
      </w:r>
    </w:p>
    <w:p w14:paraId="18FECF36">
      <w:pPr>
        <w:spacing w:line="500" w:lineRule="exact"/>
        <w:ind w:firstLine="1200" w:firstLineChars="500"/>
        <w:jc w:val="left"/>
        <w:rPr>
          <w:rFonts w:hAnsi="宋体" w:cs="宋体"/>
          <w:spacing w:val="4"/>
          <w:highlight w:val="none"/>
        </w:rPr>
      </w:pPr>
      <w:r>
        <w:rPr>
          <w:rFonts w:hint="eastAsia" w:hAnsi="宋体" w:cs="宋体"/>
          <w:highlight w:val="none"/>
        </w:rPr>
        <w:t>法定代表人或</w:t>
      </w:r>
      <w:r>
        <w:rPr>
          <w:rFonts w:hint="eastAsia" w:hAnsi="宋体" w:cs="宋体"/>
          <w:szCs w:val="24"/>
          <w:highlight w:val="none"/>
        </w:rPr>
        <w:t>被授权人签字或盖章</w:t>
      </w:r>
      <w:r>
        <w:rPr>
          <w:rFonts w:hint="eastAsia" w:hAnsi="宋体" w:cs="宋体"/>
          <w:spacing w:val="4"/>
          <w:highlight w:val="none"/>
        </w:rPr>
        <w:t>：</w:t>
      </w:r>
    </w:p>
    <w:p w14:paraId="47AF8110">
      <w:pPr>
        <w:spacing w:line="500" w:lineRule="exact"/>
        <w:ind w:firstLine="1240" w:firstLineChars="500"/>
        <w:jc w:val="left"/>
        <w:rPr>
          <w:rFonts w:hAnsi="宋体" w:cs="宋体"/>
          <w:spacing w:val="4"/>
          <w:highlight w:val="none"/>
        </w:rPr>
      </w:pPr>
      <w:r>
        <w:rPr>
          <w:rFonts w:hint="eastAsia" w:hAnsi="宋体" w:cs="宋体"/>
          <w:spacing w:val="4"/>
          <w:highlight w:val="none"/>
        </w:rPr>
        <w:t>日    期：</w:t>
      </w:r>
    </w:p>
    <w:p w14:paraId="7CF7F350">
      <w:pPr>
        <w:spacing w:before="333" w:beforeLines="100"/>
        <w:jc w:val="center"/>
        <w:outlineLvl w:val="2"/>
        <w:rPr>
          <w:rFonts w:hAnsi="宋体" w:cs="宋体"/>
          <w:b/>
          <w:bCs/>
          <w:sz w:val="32"/>
          <w:szCs w:val="32"/>
          <w:highlight w:val="none"/>
        </w:rPr>
      </w:pPr>
      <w:r>
        <w:rPr>
          <w:rFonts w:hint="eastAsia" w:hAnsi="宋体" w:cs="宋体"/>
          <w:sz w:val="28"/>
          <w:highlight w:val="none"/>
        </w:rPr>
        <w:br w:type="page"/>
      </w:r>
      <w:bookmarkStart w:id="128" w:name="_Toc19867"/>
      <w:bookmarkStart w:id="129" w:name="_Toc426457703"/>
      <w:bookmarkStart w:id="130" w:name="_Toc25217"/>
      <w:bookmarkStart w:id="131" w:name="_Toc13665"/>
      <w:bookmarkStart w:id="132" w:name="_Toc29025"/>
      <w:bookmarkStart w:id="133" w:name="_Toc403077651"/>
      <w:bookmarkStart w:id="134" w:name="_Toc17802"/>
      <w:bookmarkStart w:id="135" w:name="_Toc4332"/>
      <w:bookmarkStart w:id="136" w:name="_Toc21319"/>
      <w:bookmarkStart w:id="137" w:name="_Toc21663"/>
      <w:bookmarkStart w:id="138" w:name="_Toc26697"/>
      <w:bookmarkStart w:id="139" w:name="_Toc27599"/>
      <w:bookmarkStart w:id="140" w:name="_Toc19026"/>
      <w:bookmarkStart w:id="141" w:name="_Toc363474030"/>
      <w:bookmarkStart w:id="142" w:name="_Toc2675"/>
      <w:r>
        <w:rPr>
          <w:rFonts w:hint="eastAsia" w:hAnsi="宋体" w:cs="宋体"/>
          <w:b/>
          <w:bCs/>
          <w:sz w:val="32"/>
          <w:szCs w:val="32"/>
          <w:highlight w:val="none"/>
        </w:rPr>
        <w:t>二、投标报价表</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85894C">
      <w:pPr>
        <w:jc w:val="center"/>
        <w:rPr>
          <w:rFonts w:hAnsi="宋体" w:cs="宋体"/>
          <w:b/>
          <w:sz w:val="30"/>
          <w:szCs w:val="30"/>
          <w:highlight w:val="none"/>
        </w:rPr>
      </w:pPr>
      <w:r>
        <w:rPr>
          <w:rFonts w:hint="eastAsia" w:hAnsi="宋体" w:cs="宋体"/>
          <w:b/>
          <w:sz w:val="30"/>
          <w:szCs w:val="30"/>
          <w:highlight w:val="none"/>
        </w:rPr>
        <w:t>2.1开标一览表</w:t>
      </w:r>
    </w:p>
    <w:p w14:paraId="41E18D30">
      <w:pPr>
        <w:jc w:val="left"/>
        <w:rPr>
          <w:rFonts w:hAnsi="宋体" w:cs="宋体"/>
          <w:bCs/>
          <w:szCs w:val="24"/>
          <w:highlight w:val="none"/>
        </w:rPr>
      </w:pPr>
      <w:r>
        <w:rPr>
          <w:rFonts w:hint="eastAsia" w:hAnsi="宋体" w:cs="宋体"/>
          <w:bCs/>
          <w:szCs w:val="24"/>
          <w:highlight w:val="none"/>
        </w:rPr>
        <w:t>项目名称：</w:t>
      </w:r>
    </w:p>
    <w:p w14:paraId="1460A5E5">
      <w:pPr>
        <w:jc w:val="left"/>
        <w:rPr>
          <w:rFonts w:hAnsi="宋体" w:cs="宋体"/>
          <w:bCs/>
          <w:szCs w:val="24"/>
          <w:highlight w:val="none"/>
        </w:rPr>
      </w:pPr>
      <w:r>
        <w:rPr>
          <w:rFonts w:hint="eastAsia" w:hAnsi="宋体" w:cs="宋体"/>
          <w:bCs/>
          <w:szCs w:val="24"/>
          <w:highlight w:val="none"/>
        </w:rPr>
        <w:t>项目编号：</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3133"/>
        <w:gridCol w:w="1852"/>
        <w:gridCol w:w="1863"/>
      </w:tblGrid>
      <w:tr w14:paraId="239F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311" w:type="pct"/>
            <w:vAlign w:val="center"/>
          </w:tcPr>
          <w:p w14:paraId="1FD1A1A6">
            <w:pPr>
              <w:jc w:val="center"/>
              <w:rPr>
                <w:rFonts w:hAnsi="宋体" w:cs="宋体"/>
                <w:szCs w:val="24"/>
                <w:highlight w:val="none"/>
              </w:rPr>
            </w:pPr>
            <w:r>
              <w:rPr>
                <w:rFonts w:hint="eastAsia" w:hAnsi="宋体" w:cs="宋体"/>
                <w:szCs w:val="24"/>
                <w:highlight w:val="none"/>
              </w:rPr>
              <w:t>投标报价</w:t>
            </w:r>
          </w:p>
          <w:p w14:paraId="1AA030B0">
            <w:pPr>
              <w:jc w:val="center"/>
              <w:rPr>
                <w:rFonts w:hAnsi="宋体" w:cs="宋体"/>
                <w:szCs w:val="24"/>
                <w:highlight w:val="none"/>
              </w:rPr>
            </w:pPr>
            <w:r>
              <w:rPr>
                <w:rFonts w:hint="eastAsia" w:hAnsi="宋体" w:cs="宋体"/>
                <w:szCs w:val="24"/>
                <w:highlight w:val="none"/>
              </w:rPr>
              <w:t>（元）</w:t>
            </w:r>
          </w:p>
        </w:tc>
        <w:tc>
          <w:tcPr>
            <w:tcW w:w="1688" w:type="pct"/>
            <w:vAlign w:val="center"/>
          </w:tcPr>
          <w:p w14:paraId="4912D7DD">
            <w:pPr>
              <w:jc w:val="center"/>
              <w:rPr>
                <w:rFonts w:hAnsi="宋体" w:cs="宋体"/>
                <w:szCs w:val="24"/>
                <w:highlight w:val="none"/>
              </w:rPr>
            </w:pPr>
            <w:r>
              <w:rPr>
                <w:rFonts w:hint="eastAsia" w:hAnsi="宋体"/>
                <w:szCs w:val="24"/>
                <w:highlight w:val="none"/>
                <w:lang w:val="en-US" w:eastAsia="zh-CN"/>
              </w:rPr>
              <w:t>建设周期</w:t>
            </w:r>
          </w:p>
        </w:tc>
        <w:tc>
          <w:tcPr>
            <w:tcW w:w="998" w:type="pct"/>
            <w:vAlign w:val="center"/>
          </w:tcPr>
          <w:p w14:paraId="0516FCE0">
            <w:pPr>
              <w:jc w:val="center"/>
              <w:rPr>
                <w:rFonts w:hAnsi="宋体" w:cs="宋体"/>
                <w:szCs w:val="24"/>
                <w:highlight w:val="none"/>
              </w:rPr>
            </w:pPr>
            <w:r>
              <w:rPr>
                <w:rFonts w:hint="eastAsia" w:hAnsi="宋体" w:cs="宋体"/>
                <w:szCs w:val="24"/>
                <w:highlight w:val="none"/>
              </w:rPr>
              <w:t>质保期</w:t>
            </w:r>
          </w:p>
        </w:tc>
        <w:tc>
          <w:tcPr>
            <w:tcW w:w="1001" w:type="pct"/>
            <w:vAlign w:val="center"/>
          </w:tcPr>
          <w:p w14:paraId="15750A67">
            <w:pPr>
              <w:jc w:val="center"/>
              <w:rPr>
                <w:rFonts w:hAnsi="宋体" w:cs="宋体"/>
                <w:szCs w:val="24"/>
                <w:highlight w:val="none"/>
              </w:rPr>
            </w:pPr>
            <w:r>
              <w:rPr>
                <w:rFonts w:hint="eastAsia" w:hAnsi="宋体" w:cs="宋体"/>
                <w:szCs w:val="24"/>
                <w:highlight w:val="none"/>
              </w:rPr>
              <w:t>备注</w:t>
            </w:r>
          </w:p>
        </w:tc>
      </w:tr>
      <w:tr w14:paraId="548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11" w:type="pct"/>
            <w:vAlign w:val="center"/>
          </w:tcPr>
          <w:p w14:paraId="73026250">
            <w:pPr>
              <w:jc w:val="center"/>
              <w:rPr>
                <w:rFonts w:hAnsi="宋体" w:cs="宋体"/>
                <w:szCs w:val="24"/>
                <w:highlight w:val="none"/>
              </w:rPr>
            </w:pPr>
          </w:p>
        </w:tc>
        <w:tc>
          <w:tcPr>
            <w:tcW w:w="1688" w:type="pct"/>
            <w:vAlign w:val="center"/>
          </w:tcPr>
          <w:p w14:paraId="2693FBD8">
            <w:pPr>
              <w:jc w:val="center"/>
              <w:rPr>
                <w:rFonts w:hAnsi="宋体" w:cs="宋体"/>
                <w:szCs w:val="24"/>
                <w:highlight w:val="none"/>
              </w:rPr>
            </w:pPr>
          </w:p>
        </w:tc>
        <w:tc>
          <w:tcPr>
            <w:tcW w:w="998" w:type="pct"/>
          </w:tcPr>
          <w:p w14:paraId="2F290A87">
            <w:pPr>
              <w:jc w:val="center"/>
              <w:rPr>
                <w:rFonts w:hAnsi="宋体" w:cs="宋体"/>
                <w:szCs w:val="24"/>
                <w:highlight w:val="none"/>
              </w:rPr>
            </w:pPr>
          </w:p>
        </w:tc>
        <w:tc>
          <w:tcPr>
            <w:tcW w:w="1001" w:type="pct"/>
          </w:tcPr>
          <w:p w14:paraId="7C51BDBC">
            <w:pPr>
              <w:jc w:val="center"/>
              <w:rPr>
                <w:rFonts w:hAnsi="宋体" w:cs="宋体"/>
                <w:szCs w:val="24"/>
                <w:highlight w:val="none"/>
              </w:rPr>
            </w:pPr>
          </w:p>
        </w:tc>
      </w:tr>
      <w:tr w14:paraId="6C5B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370B92D7">
            <w:pPr>
              <w:jc w:val="center"/>
              <w:rPr>
                <w:rFonts w:hAnsi="宋体" w:cs="宋体"/>
                <w:szCs w:val="24"/>
                <w:highlight w:val="none"/>
              </w:rPr>
            </w:pPr>
            <w:r>
              <w:rPr>
                <w:rFonts w:hint="eastAsia" w:hAnsi="宋体" w:cs="宋体"/>
                <w:szCs w:val="24"/>
                <w:highlight w:val="none"/>
              </w:rPr>
              <w:t>投标报价（大写）：                                  （小写：￥       ）</w:t>
            </w:r>
          </w:p>
        </w:tc>
      </w:tr>
      <w:tr w14:paraId="7471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30BD1DF5">
            <w:pPr>
              <w:jc w:val="center"/>
              <w:rPr>
                <w:rFonts w:hAnsi="宋体" w:cs="宋体"/>
                <w:szCs w:val="24"/>
                <w:highlight w:val="none"/>
              </w:rPr>
            </w:pPr>
            <w:r>
              <w:rPr>
                <w:rFonts w:hint="eastAsia" w:hAnsi="宋体" w:cs="宋体"/>
                <w:szCs w:val="24"/>
                <w:highlight w:val="none"/>
              </w:rPr>
              <w:t>备注：表内报价内容以元为单位，保留小数点后两位。</w:t>
            </w:r>
          </w:p>
        </w:tc>
      </w:tr>
    </w:tbl>
    <w:p w14:paraId="13DABA34">
      <w:pPr>
        <w:tabs>
          <w:tab w:val="left" w:pos="7200"/>
          <w:tab w:val="left" w:pos="8504"/>
        </w:tabs>
        <w:spacing w:line="360" w:lineRule="auto"/>
        <w:ind w:right="-1"/>
        <w:rPr>
          <w:rFonts w:hAnsi="宋体" w:cs="宋体"/>
          <w:highlight w:val="none"/>
        </w:rPr>
      </w:pPr>
    </w:p>
    <w:p w14:paraId="6578CD4F">
      <w:pPr>
        <w:spacing w:line="120" w:lineRule="exact"/>
        <w:rPr>
          <w:rFonts w:hAnsi="宋体" w:cs="宋体"/>
          <w:highlight w:val="none"/>
        </w:rPr>
      </w:pPr>
    </w:p>
    <w:p w14:paraId="2AFBB153">
      <w:pPr>
        <w:spacing w:line="480" w:lineRule="auto"/>
        <w:ind w:right="617" w:rightChars="257"/>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（加盖单位公章）      </w:t>
      </w:r>
    </w:p>
    <w:p w14:paraId="1F7D6457">
      <w:pPr>
        <w:spacing w:line="480" w:lineRule="auto"/>
        <w:ind w:right="617" w:rightChars="257"/>
        <w:jc w:val="left"/>
        <w:rPr>
          <w:rFonts w:hAnsi="宋体" w:cs="宋体"/>
          <w:highlight w:val="none"/>
        </w:rPr>
      </w:pPr>
    </w:p>
    <w:p w14:paraId="06107494">
      <w:pPr>
        <w:spacing w:line="480" w:lineRule="auto"/>
        <w:ind w:right="617" w:rightChars="257"/>
        <w:jc w:val="left"/>
        <w:rPr>
          <w:rFonts w:hAnsi="宋体" w:cs="宋体"/>
          <w:highlight w:val="none"/>
        </w:rPr>
      </w:pPr>
      <w:r>
        <w:rPr>
          <w:rFonts w:hint="eastAsia" w:hAnsi="宋体" w:cs="宋体"/>
          <w:highlight w:val="none"/>
        </w:rPr>
        <w:t>法定代表人/被授权人签字或盖章：</w:t>
      </w:r>
    </w:p>
    <w:p w14:paraId="14C9DBA5">
      <w:pPr>
        <w:pStyle w:val="11"/>
        <w:ind w:left="0" w:firstLine="0"/>
        <w:rPr>
          <w:highlight w:val="none"/>
        </w:rPr>
      </w:pPr>
    </w:p>
    <w:p w14:paraId="3C9A41BF">
      <w:pPr>
        <w:spacing w:line="480" w:lineRule="auto"/>
        <w:ind w:right="617" w:rightChars="257"/>
        <w:rPr>
          <w:rFonts w:hAnsi="宋体" w:cs="宋体"/>
          <w:highlight w:val="none"/>
        </w:rPr>
      </w:pPr>
      <w:r>
        <w:rPr>
          <w:rFonts w:hint="eastAsia" w:hAnsi="宋体" w:cs="宋体"/>
          <w:highlight w:val="none"/>
        </w:rPr>
        <w:t>日    期：</w:t>
      </w:r>
    </w:p>
    <w:p w14:paraId="357450B8">
      <w:pPr>
        <w:spacing w:before="166" w:beforeLines="50" w:after="166" w:afterLines="50" w:line="480" w:lineRule="auto"/>
        <w:rPr>
          <w:rFonts w:hAnsi="宋体" w:cs="宋体"/>
          <w:szCs w:val="21"/>
          <w:highlight w:val="none"/>
          <w:u w:val="single"/>
        </w:rPr>
      </w:pPr>
      <w:r>
        <w:rPr>
          <w:rFonts w:hint="eastAsia" w:hAnsi="宋体" w:cs="宋体"/>
          <w:highlight w:val="none"/>
        </w:rPr>
        <w:t>本表应按“供应商须知”的规定密封单独提交。若有折扣声明，请与本表一并装订和密封。</w:t>
      </w:r>
    </w:p>
    <w:p w14:paraId="54A5C654">
      <w:pPr>
        <w:rPr>
          <w:rFonts w:hAnsi="宋体" w:cs="宋体"/>
          <w:highlight w:val="none"/>
        </w:rPr>
      </w:pPr>
      <w:r>
        <w:rPr>
          <w:rFonts w:hint="eastAsia" w:hAnsi="宋体" w:cs="宋体"/>
          <w:highlight w:val="none"/>
        </w:rPr>
        <w:br w:type="page"/>
      </w:r>
    </w:p>
    <w:p w14:paraId="3CDC7B92">
      <w:pPr>
        <w:jc w:val="center"/>
        <w:rPr>
          <w:rFonts w:hAnsi="宋体" w:cs="宋体"/>
          <w:highlight w:val="none"/>
        </w:rPr>
      </w:pPr>
      <w:r>
        <w:rPr>
          <w:rFonts w:hint="eastAsia" w:hAnsi="宋体" w:cs="宋体"/>
          <w:b/>
          <w:sz w:val="30"/>
          <w:szCs w:val="30"/>
          <w:highlight w:val="none"/>
        </w:rPr>
        <w:t>2.2投标分项报价表</w:t>
      </w:r>
      <w:r>
        <w:rPr>
          <w:rFonts w:hint="eastAsia" w:hAnsi="宋体" w:cs="宋体"/>
          <w:highlight w:val="none"/>
        </w:rPr>
        <w:t xml:space="preserve"> </w:t>
      </w:r>
    </w:p>
    <w:p w14:paraId="4CF3BBEB">
      <w:pPr>
        <w:jc w:val="center"/>
        <w:rPr>
          <w:rFonts w:hAnsi="宋体" w:cs="宋体"/>
          <w:highlight w:val="none"/>
        </w:rPr>
      </w:pPr>
    </w:p>
    <w:p w14:paraId="103F5F50">
      <w:pPr>
        <w:pStyle w:val="4"/>
        <w:spacing w:before="333" w:beforeLines="100"/>
        <w:rPr>
          <w:rFonts w:ascii="宋体" w:hAnsi="宋体" w:cs="宋体"/>
          <w:b w:val="0"/>
          <w:highlight w:val="none"/>
        </w:rPr>
      </w:pPr>
      <w:bookmarkStart w:id="143" w:name="_Toc19152"/>
      <w:bookmarkStart w:id="144" w:name="_Toc31326"/>
      <w:bookmarkStart w:id="145" w:name="_Toc8367"/>
      <w:bookmarkStart w:id="146" w:name="_Toc16715"/>
      <w:bookmarkStart w:id="147" w:name="_Toc3617"/>
      <w:bookmarkStart w:id="148" w:name="_Toc2184"/>
      <w:bookmarkStart w:id="149" w:name="_Toc14384"/>
      <w:bookmarkStart w:id="150" w:name="_Toc4085"/>
      <w:r>
        <w:rPr>
          <w:rFonts w:hint="eastAsia" w:hAnsi="宋体" w:cs="宋体"/>
          <w:sz w:val="32"/>
          <w:szCs w:val="32"/>
          <w:highlight w:val="none"/>
          <w:lang w:eastAsia="zh-CN"/>
        </w:rPr>
        <w:t>（</w:t>
      </w:r>
      <w:r>
        <w:rPr>
          <w:rFonts w:hint="eastAsia" w:hAnsi="宋体" w:cs="宋体"/>
          <w:sz w:val="32"/>
          <w:szCs w:val="32"/>
          <w:highlight w:val="none"/>
          <w:lang w:val="en-US" w:eastAsia="zh-CN"/>
        </w:rPr>
        <w:t>格式自拟</w:t>
      </w:r>
      <w:r>
        <w:rPr>
          <w:rFonts w:hint="eastAsia" w:hAnsi="宋体" w:cs="宋体"/>
          <w:sz w:val="32"/>
          <w:szCs w:val="32"/>
          <w:highlight w:val="none"/>
          <w:lang w:eastAsia="zh-CN"/>
        </w:rPr>
        <w:t>）</w:t>
      </w:r>
      <w:r>
        <w:rPr>
          <w:rFonts w:hint="eastAsia" w:ascii="宋体" w:hAnsi="宋体" w:cs="宋体"/>
          <w:sz w:val="32"/>
          <w:szCs w:val="32"/>
          <w:highlight w:val="none"/>
        </w:rPr>
        <w:br w:type="page"/>
      </w:r>
      <w:bookmarkStart w:id="151" w:name="_Toc18539"/>
      <w:bookmarkStart w:id="152" w:name="_Toc29887"/>
      <w:bookmarkStart w:id="153" w:name="_Toc17891"/>
      <w:bookmarkStart w:id="154" w:name="_Toc18339"/>
      <w:r>
        <w:rPr>
          <w:rFonts w:hint="eastAsia" w:ascii="宋体" w:hAnsi="宋体" w:cs="宋体"/>
          <w:sz w:val="32"/>
          <w:szCs w:val="32"/>
          <w:highlight w:val="none"/>
        </w:rPr>
        <w:t>三、投标方案说明书</w:t>
      </w:r>
      <w:bookmarkEnd w:id="143"/>
      <w:bookmarkEnd w:id="144"/>
      <w:bookmarkEnd w:id="145"/>
      <w:bookmarkEnd w:id="146"/>
      <w:bookmarkEnd w:id="147"/>
      <w:bookmarkEnd w:id="148"/>
      <w:bookmarkEnd w:id="149"/>
      <w:bookmarkEnd w:id="150"/>
      <w:bookmarkEnd w:id="151"/>
      <w:bookmarkEnd w:id="152"/>
      <w:bookmarkEnd w:id="153"/>
      <w:bookmarkEnd w:id="154"/>
    </w:p>
    <w:p w14:paraId="3D38A985">
      <w:pPr>
        <w:spacing w:line="360" w:lineRule="auto"/>
        <w:ind w:firstLine="480" w:firstLineChars="200"/>
        <w:rPr>
          <w:rFonts w:hAnsi="宋体" w:cs="宋体"/>
          <w:bCs/>
          <w:szCs w:val="24"/>
          <w:highlight w:val="none"/>
        </w:rPr>
      </w:pPr>
      <w:r>
        <w:rPr>
          <w:rFonts w:hint="eastAsia" w:hAnsi="宋体" w:cs="宋体"/>
          <w:bCs/>
          <w:szCs w:val="24"/>
          <w:highlight w:val="none"/>
        </w:rPr>
        <w:t>备注：按照招标文件的要求编制的投标方案说明书（参照评分办法）。</w:t>
      </w:r>
    </w:p>
    <w:p w14:paraId="50327919">
      <w:pPr>
        <w:rPr>
          <w:rFonts w:hAnsi="宋体" w:cs="宋体"/>
          <w:szCs w:val="24"/>
          <w:highlight w:val="none"/>
        </w:rPr>
      </w:pPr>
      <w:r>
        <w:rPr>
          <w:rFonts w:hint="eastAsia" w:hAnsi="宋体" w:cs="宋体"/>
          <w:szCs w:val="24"/>
          <w:highlight w:val="none"/>
        </w:rPr>
        <w:br w:type="page"/>
      </w:r>
    </w:p>
    <w:p w14:paraId="34E9B119">
      <w:pPr>
        <w:pStyle w:val="4"/>
        <w:spacing w:before="333" w:beforeLines="100"/>
        <w:ind w:firstLine="321" w:firstLineChars="100"/>
        <w:rPr>
          <w:rFonts w:ascii="宋体" w:hAnsi="宋体" w:cs="宋体"/>
          <w:sz w:val="32"/>
          <w:szCs w:val="32"/>
          <w:highlight w:val="none"/>
        </w:rPr>
      </w:pPr>
      <w:bookmarkStart w:id="155" w:name="_Toc23455"/>
      <w:bookmarkStart w:id="156" w:name="_Toc21284"/>
      <w:bookmarkStart w:id="157" w:name="_Toc1379"/>
      <w:bookmarkStart w:id="158" w:name="_Toc426457713"/>
      <w:bookmarkStart w:id="159" w:name="_Toc2621"/>
      <w:bookmarkStart w:id="160" w:name="_Toc363474032"/>
      <w:bookmarkStart w:id="161" w:name="_Toc9218"/>
      <w:bookmarkStart w:id="162" w:name="_Toc403077655"/>
      <w:bookmarkStart w:id="163" w:name="_Toc17364"/>
      <w:bookmarkStart w:id="164" w:name="_Toc19497"/>
      <w:bookmarkStart w:id="165" w:name="_Toc2700"/>
      <w:bookmarkStart w:id="166" w:name="_Toc15268"/>
      <w:bookmarkStart w:id="167" w:name="_Toc13421"/>
      <w:bookmarkStart w:id="168" w:name="_Toc4633"/>
      <w:r>
        <w:rPr>
          <w:rFonts w:hint="eastAsia" w:ascii="宋体" w:hAnsi="宋体" w:cs="宋体"/>
          <w:sz w:val="32"/>
          <w:szCs w:val="32"/>
          <w:highlight w:val="none"/>
        </w:rPr>
        <w:t>四、</w:t>
      </w:r>
      <w:bookmarkEnd w:id="155"/>
      <w:bookmarkEnd w:id="156"/>
      <w:bookmarkEnd w:id="157"/>
      <w:bookmarkEnd w:id="158"/>
      <w:bookmarkEnd w:id="159"/>
      <w:bookmarkEnd w:id="160"/>
      <w:bookmarkEnd w:id="161"/>
      <w:bookmarkEnd w:id="162"/>
      <w:r>
        <w:rPr>
          <w:rFonts w:hint="eastAsia" w:ascii="宋体" w:hAnsi="宋体" w:cs="宋体"/>
          <w:sz w:val="32"/>
          <w:szCs w:val="32"/>
          <w:highlight w:val="none"/>
        </w:rPr>
        <w:t>商务条款偏离表</w:t>
      </w:r>
      <w:bookmarkEnd w:id="163"/>
      <w:bookmarkEnd w:id="164"/>
      <w:bookmarkEnd w:id="165"/>
      <w:bookmarkEnd w:id="166"/>
      <w:bookmarkEnd w:id="167"/>
      <w:bookmarkEnd w:id="168"/>
    </w:p>
    <w:p w14:paraId="74046AD2">
      <w:pPr>
        <w:pStyle w:val="21"/>
        <w:widowControl w:val="0"/>
        <w:spacing w:before="166" w:beforeLines="50" w:beforeAutospacing="0" w:after="166" w:afterLines="50" w:afterAutospacing="0"/>
        <w:ind w:firstLine="480" w:firstLineChars="200"/>
        <w:rPr>
          <w:rFonts w:cs="宋体"/>
          <w:highlight w:val="none"/>
        </w:rPr>
      </w:pPr>
      <w:r>
        <w:rPr>
          <w:rFonts w:hint="eastAsia" w:cs="宋体"/>
          <w:highlight w:val="none"/>
        </w:rPr>
        <w:t>项目编号：</w:t>
      </w:r>
    </w:p>
    <w:p w14:paraId="685EDE39">
      <w:pPr>
        <w:pStyle w:val="21"/>
        <w:widowControl w:val="0"/>
        <w:spacing w:before="166" w:beforeLines="50" w:beforeAutospacing="0" w:after="166" w:afterLines="50" w:afterAutospacing="0"/>
        <w:ind w:firstLine="480" w:firstLineChars="200"/>
        <w:rPr>
          <w:rFonts w:cs="宋体"/>
          <w:highlight w:val="none"/>
        </w:rPr>
      </w:pPr>
      <w:r>
        <w:rPr>
          <w:rFonts w:hint="eastAsia" w:cs="宋体"/>
          <w:highlight w:val="none"/>
        </w:rPr>
        <w:t>项目名称：</w:t>
      </w:r>
    </w:p>
    <w:tbl>
      <w:tblPr>
        <w:tblStyle w:val="23"/>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519F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BA71D72">
            <w:pPr>
              <w:pStyle w:val="21"/>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1AEEB3DF">
            <w:pPr>
              <w:pStyle w:val="21"/>
              <w:widowControl w:val="0"/>
              <w:spacing w:before="0" w:beforeAutospacing="0" w:after="0" w:afterAutospacing="0"/>
              <w:jc w:val="center"/>
              <w:rPr>
                <w:rFonts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71C2A011">
            <w:pPr>
              <w:pStyle w:val="21"/>
              <w:widowControl w:val="0"/>
              <w:spacing w:before="0" w:beforeAutospacing="0" w:after="0" w:afterAutospacing="0"/>
              <w:jc w:val="center"/>
              <w:rPr>
                <w:rFonts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F0B1EB4">
            <w:pPr>
              <w:pStyle w:val="21"/>
              <w:widowControl w:val="0"/>
              <w:spacing w:before="0" w:beforeAutospacing="0" w:after="0" w:afterAutospacing="0"/>
              <w:jc w:val="center"/>
              <w:rPr>
                <w:rFonts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7D835B85">
            <w:pPr>
              <w:pStyle w:val="21"/>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3E3B23E2">
            <w:pPr>
              <w:pStyle w:val="21"/>
              <w:widowControl w:val="0"/>
              <w:spacing w:before="0" w:beforeAutospacing="0" w:after="0" w:afterAutospacing="0"/>
              <w:jc w:val="center"/>
              <w:rPr>
                <w:rFonts w:cs="宋体"/>
                <w:highlight w:val="none"/>
              </w:rPr>
            </w:pPr>
            <w:r>
              <w:rPr>
                <w:rFonts w:hint="eastAsia" w:cs="宋体"/>
                <w:highlight w:val="none"/>
              </w:rPr>
              <w:t>说明</w:t>
            </w:r>
          </w:p>
        </w:tc>
      </w:tr>
      <w:tr w14:paraId="1036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8B74EC3">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5A039FA">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0C5D06B">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64E3AA4">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C05727">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BBDAD8D">
            <w:pPr>
              <w:pStyle w:val="21"/>
              <w:widowControl w:val="0"/>
              <w:spacing w:before="0" w:beforeAutospacing="0" w:after="0" w:afterAutospacing="0"/>
              <w:ind w:firstLine="480" w:firstLineChars="200"/>
              <w:jc w:val="center"/>
              <w:rPr>
                <w:rFonts w:cs="宋体"/>
                <w:highlight w:val="none"/>
              </w:rPr>
            </w:pPr>
          </w:p>
        </w:tc>
      </w:tr>
      <w:tr w14:paraId="353D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752E718B">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15579A1">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5921E92">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3F7CCA7">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65F219">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DE20D9">
            <w:pPr>
              <w:pStyle w:val="21"/>
              <w:widowControl w:val="0"/>
              <w:spacing w:before="0" w:beforeAutospacing="0" w:after="0" w:afterAutospacing="0"/>
              <w:ind w:firstLine="480" w:firstLineChars="200"/>
              <w:jc w:val="center"/>
              <w:rPr>
                <w:rFonts w:cs="宋体"/>
                <w:highlight w:val="none"/>
              </w:rPr>
            </w:pPr>
          </w:p>
        </w:tc>
      </w:tr>
      <w:tr w14:paraId="279F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FBE4762">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B13E5FF">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EE97CDA">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8C32657">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18C8F">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8F472CD">
            <w:pPr>
              <w:pStyle w:val="21"/>
              <w:widowControl w:val="0"/>
              <w:spacing w:before="0" w:beforeAutospacing="0" w:after="0" w:afterAutospacing="0"/>
              <w:ind w:firstLine="480" w:firstLineChars="200"/>
              <w:jc w:val="center"/>
              <w:rPr>
                <w:rFonts w:cs="宋体"/>
                <w:highlight w:val="none"/>
              </w:rPr>
            </w:pPr>
          </w:p>
        </w:tc>
      </w:tr>
      <w:tr w14:paraId="09B0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4953C8C">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61A04CC">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7E040E5">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EF5FD18">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0A1D30">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0AC6BC5">
            <w:pPr>
              <w:pStyle w:val="21"/>
              <w:widowControl w:val="0"/>
              <w:spacing w:before="0" w:beforeAutospacing="0" w:after="0" w:afterAutospacing="0"/>
              <w:ind w:firstLine="480" w:firstLineChars="200"/>
              <w:jc w:val="center"/>
              <w:rPr>
                <w:rFonts w:cs="宋体"/>
                <w:highlight w:val="none"/>
              </w:rPr>
            </w:pPr>
          </w:p>
        </w:tc>
      </w:tr>
      <w:tr w14:paraId="0C1F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65CF330">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C8966B0">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A8C335F">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F91C7C9">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442C83">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6DD67DE1">
            <w:pPr>
              <w:pStyle w:val="21"/>
              <w:widowControl w:val="0"/>
              <w:spacing w:before="0" w:beforeAutospacing="0" w:after="0" w:afterAutospacing="0"/>
              <w:ind w:firstLine="480" w:firstLineChars="200"/>
              <w:jc w:val="center"/>
              <w:rPr>
                <w:rFonts w:cs="宋体"/>
                <w:highlight w:val="none"/>
              </w:rPr>
            </w:pPr>
          </w:p>
        </w:tc>
      </w:tr>
      <w:tr w14:paraId="34FE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792B1989">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AA63519">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5126F74">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0CE4053">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95BCE4">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9520CB1">
            <w:pPr>
              <w:pStyle w:val="21"/>
              <w:widowControl w:val="0"/>
              <w:spacing w:before="0" w:beforeAutospacing="0" w:after="0" w:afterAutospacing="0"/>
              <w:ind w:firstLine="480" w:firstLineChars="200"/>
              <w:jc w:val="center"/>
              <w:rPr>
                <w:rFonts w:cs="宋体"/>
                <w:highlight w:val="none"/>
              </w:rPr>
            </w:pPr>
          </w:p>
        </w:tc>
      </w:tr>
      <w:tr w14:paraId="4FAB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BB86C90">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E217631">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A8F0CC8">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74D81D1">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87CBC6">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61DB695">
            <w:pPr>
              <w:pStyle w:val="21"/>
              <w:widowControl w:val="0"/>
              <w:spacing w:before="0" w:beforeAutospacing="0" w:after="0" w:afterAutospacing="0"/>
              <w:ind w:firstLine="480" w:firstLineChars="200"/>
              <w:jc w:val="center"/>
              <w:rPr>
                <w:rFonts w:cs="宋体"/>
                <w:highlight w:val="none"/>
              </w:rPr>
            </w:pPr>
          </w:p>
        </w:tc>
      </w:tr>
    </w:tbl>
    <w:p w14:paraId="0A63ACEE">
      <w:pPr>
        <w:pStyle w:val="21"/>
        <w:widowControl w:val="0"/>
        <w:spacing w:before="0" w:beforeAutospacing="0" w:after="0" w:afterAutospacing="0"/>
        <w:rPr>
          <w:rFonts w:cs="宋体"/>
          <w:highlight w:val="none"/>
        </w:rPr>
      </w:pPr>
      <w:r>
        <w:rPr>
          <w:rFonts w:hint="eastAsia" w:cs="宋体"/>
          <w:highlight w:val="none"/>
        </w:rPr>
        <w:t>说明：</w:t>
      </w:r>
    </w:p>
    <w:p w14:paraId="7A144E76">
      <w:pPr>
        <w:pStyle w:val="21"/>
        <w:widowControl w:val="0"/>
        <w:spacing w:before="0" w:beforeAutospacing="0" w:after="0" w:afterAutospacing="0"/>
        <w:ind w:firstLine="480" w:firstLineChars="200"/>
        <w:jc w:val="both"/>
        <w:rPr>
          <w:rFonts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14:paraId="75603215">
      <w:pPr>
        <w:pStyle w:val="21"/>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2.供应商必须据实填写，不得虚假响应，否则将取消其投标或中标资格，并按有关规定进处罚。</w:t>
      </w:r>
    </w:p>
    <w:p w14:paraId="124F94B9">
      <w:pPr>
        <w:pStyle w:val="21"/>
        <w:widowControl w:val="0"/>
        <w:spacing w:before="0" w:beforeAutospacing="0" w:after="0" w:afterAutospacing="0"/>
        <w:ind w:firstLine="480" w:firstLineChars="200"/>
        <w:jc w:val="center"/>
        <w:rPr>
          <w:rFonts w:cs="宋体"/>
          <w:highlight w:val="none"/>
        </w:rPr>
      </w:pPr>
    </w:p>
    <w:p w14:paraId="1AC8FDF4">
      <w:pPr>
        <w:pStyle w:val="21"/>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52DA66F1">
      <w:pPr>
        <w:pStyle w:val="21"/>
        <w:widowControl w:val="0"/>
        <w:spacing w:before="0" w:beforeAutospacing="0" w:after="0" w:afterAutospacing="0"/>
        <w:ind w:firstLine="480" w:firstLineChars="200"/>
        <w:jc w:val="center"/>
        <w:rPr>
          <w:rFonts w:cs="宋体"/>
          <w:highlight w:val="none"/>
        </w:rPr>
      </w:pPr>
    </w:p>
    <w:p w14:paraId="76FA6CEC">
      <w:pPr>
        <w:pStyle w:val="21"/>
        <w:widowControl w:val="0"/>
        <w:spacing w:before="0" w:beforeAutospacing="0" w:after="0" w:afterAutospacing="0"/>
        <w:ind w:firstLine="480" w:firstLineChars="200"/>
        <w:rPr>
          <w:rFonts w:cs="宋体"/>
          <w:highlight w:val="none"/>
        </w:rPr>
      </w:pPr>
      <w:r>
        <w:rPr>
          <w:rFonts w:hint="eastAsia" w:cs="宋体"/>
          <w:highlight w:val="none"/>
        </w:rPr>
        <w:t xml:space="preserve">法定代表人或被授权人（签字或盖章）：                 </w:t>
      </w:r>
    </w:p>
    <w:p w14:paraId="57F4D56B">
      <w:pPr>
        <w:jc w:val="center"/>
        <w:outlineLvl w:val="2"/>
        <w:rPr>
          <w:rFonts w:hAnsi="宋体" w:cs="宋体"/>
          <w:highlight w:val="none"/>
        </w:rPr>
      </w:pPr>
      <w:r>
        <w:rPr>
          <w:rFonts w:hint="eastAsia" w:hAnsi="宋体" w:cs="宋体"/>
          <w:highlight w:val="none"/>
        </w:rPr>
        <w:br w:type="page"/>
      </w:r>
      <w:bookmarkStart w:id="169" w:name="_Toc8692"/>
      <w:bookmarkStart w:id="170" w:name="_Toc403077656"/>
      <w:bookmarkStart w:id="171" w:name="_Toc10179"/>
      <w:bookmarkStart w:id="172" w:name="_Toc22990"/>
      <w:bookmarkStart w:id="173" w:name="_Toc10058"/>
      <w:bookmarkStart w:id="174" w:name="_Toc363474033"/>
      <w:bookmarkStart w:id="175" w:name="_Toc426457714"/>
      <w:bookmarkStart w:id="176" w:name="_Toc6432"/>
      <w:bookmarkStart w:id="177" w:name="_Toc6862"/>
      <w:bookmarkStart w:id="178" w:name="_Toc26097"/>
      <w:bookmarkStart w:id="179" w:name="_Toc24011"/>
      <w:bookmarkStart w:id="180" w:name="_Toc8659"/>
      <w:bookmarkStart w:id="181" w:name="_Toc8857"/>
      <w:bookmarkStart w:id="182" w:name="_Toc13133"/>
      <w:r>
        <w:rPr>
          <w:rStyle w:val="28"/>
          <w:rFonts w:hint="eastAsia"/>
          <w:sz w:val="32"/>
          <w:szCs w:val="32"/>
          <w:highlight w:val="none"/>
        </w:rPr>
        <w:t>五、</w:t>
      </w:r>
      <w:bookmarkEnd w:id="169"/>
      <w:bookmarkEnd w:id="170"/>
      <w:bookmarkEnd w:id="171"/>
      <w:bookmarkEnd w:id="172"/>
      <w:bookmarkEnd w:id="173"/>
      <w:bookmarkEnd w:id="174"/>
      <w:bookmarkEnd w:id="175"/>
      <w:bookmarkEnd w:id="176"/>
      <w:bookmarkEnd w:id="177"/>
      <w:r>
        <w:rPr>
          <w:rStyle w:val="28"/>
          <w:rFonts w:hint="eastAsia"/>
          <w:sz w:val="32"/>
          <w:szCs w:val="32"/>
          <w:highlight w:val="none"/>
        </w:rPr>
        <w:t>陕西省政府采购供应商拒绝政府采购领域商业贿赂承诺书</w:t>
      </w:r>
      <w:bookmarkEnd w:id="178"/>
      <w:bookmarkEnd w:id="179"/>
      <w:bookmarkEnd w:id="180"/>
      <w:bookmarkEnd w:id="181"/>
      <w:bookmarkEnd w:id="182"/>
    </w:p>
    <w:p w14:paraId="004F6D77">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为响应党中央、国务院关于治理政府采购领域商业贿赂行为的号召，我公司在此庄严承诺：</w:t>
      </w:r>
    </w:p>
    <w:p w14:paraId="43719A2A">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1、在参与政府采购活动中遵纪守法、诚信经营、公平竞标。</w:t>
      </w:r>
    </w:p>
    <w:p w14:paraId="276DC4E6">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2、不向政府采购人、采购代理机构和政府采购评审专家进行任何形式的商业贿赂以谋取交易机会。</w:t>
      </w:r>
    </w:p>
    <w:p w14:paraId="6F5474D4">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3、不向政府采购代理机构和采购人提供虚假资质文件或采用虚假应标方式参与政府采购市场竞争并谋取中标、成交。</w:t>
      </w:r>
    </w:p>
    <w:p w14:paraId="42E70F23">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4、不采取“围标、陪标”等商业欺诈手段获得政府采购定单。</w:t>
      </w:r>
    </w:p>
    <w:p w14:paraId="3964BD44">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5、不采取不正当手段诋毁、排挤其他供应商。</w:t>
      </w:r>
    </w:p>
    <w:p w14:paraId="74353443">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6、不在提供商品和服务时“偷梁换柱、以次充好”损害采购人的合法权益。</w:t>
      </w:r>
    </w:p>
    <w:p w14:paraId="0FEEF900">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7、不与采购人、采购代理机构政府采购评审专家或其它供应商恶意串通，进行质疑和投诉，维护政府采购市场秩序。</w:t>
      </w:r>
    </w:p>
    <w:p w14:paraId="0BD0A131">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8、尊重和接受政府采购监督管理部门的监督和政府采购代理机构招标采购要求，承担因违约行为给采购人造成的损失。</w:t>
      </w:r>
    </w:p>
    <w:p w14:paraId="200036F5">
      <w:pPr>
        <w:widowControl/>
        <w:spacing w:line="408" w:lineRule="auto"/>
        <w:ind w:left="274" w:leftChars="114" w:firstLine="470" w:firstLineChars="196"/>
        <w:jc w:val="left"/>
        <w:rPr>
          <w:rFonts w:hint="eastAsia" w:hAnsi="宋体" w:eastAsia="宋体" w:cs="宋体"/>
          <w:highlight w:val="none"/>
          <w:lang w:eastAsia="zh-CN"/>
        </w:rPr>
      </w:pPr>
      <w:r>
        <w:rPr>
          <w:rFonts w:hint="eastAsia" w:hAnsi="宋体" w:cs="宋体"/>
          <w:highlight w:val="none"/>
        </w:rPr>
        <w:t>9、不发生其他有悖于政府采购公开、公平、公正和诚信原则的行为。</w:t>
      </w:r>
    </w:p>
    <w:p w14:paraId="020C40E4">
      <w:pPr>
        <w:widowControl/>
        <w:spacing w:line="408" w:lineRule="auto"/>
        <w:ind w:left="274" w:leftChars="114" w:firstLine="470" w:firstLineChars="196"/>
        <w:jc w:val="left"/>
        <w:rPr>
          <w:rFonts w:hint="eastAsia" w:hAnsi="宋体" w:eastAsia="宋体" w:cs="宋体"/>
          <w:highlight w:val="none"/>
          <w:lang w:eastAsia="zh-CN"/>
        </w:rPr>
      </w:pPr>
    </w:p>
    <w:p w14:paraId="14B6F000">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承诺单位：（盖章）</w:t>
      </w:r>
    </w:p>
    <w:p w14:paraId="3B98F897">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全权代表：（</w:t>
      </w:r>
      <w:r>
        <w:rPr>
          <w:rFonts w:hint="eastAsia" w:hAnsi="宋体" w:cs="宋体"/>
          <w:szCs w:val="24"/>
          <w:highlight w:val="none"/>
        </w:rPr>
        <w:t>签字</w:t>
      </w:r>
      <w:r>
        <w:rPr>
          <w:rFonts w:hint="eastAsia" w:hAnsi="宋体" w:cs="宋体"/>
          <w:highlight w:val="none"/>
        </w:rPr>
        <w:t>）：</w:t>
      </w:r>
    </w:p>
    <w:p w14:paraId="1E82EB08">
      <w:pPr>
        <w:widowControl/>
        <w:spacing w:line="408" w:lineRule="auto"/>
        <w:ind w:left="274" w:leftChars="114"/>
        <w:jc w:val="left"/>
        <w:rPr>
          <w:rFonts w:hAnsi="宋体" w:cs="宋体"/>
          <w:highlight w:val="none"/>
        </w:rPr>
      </w:pPr>
      <w:r>
        <w:rPr>
          <w:rFonts w:hint="eastAsia" w:hAnsi="宋体" w:cs="宋体"/>
          <w:highlight w:val="none"/>
        </w:rPr>
        <w:t>地  址：                        </w:t>
      </w:r>
    </w:p>
    <w:p w14:paraId="73369CA1">
      <w:pPr>
        <w:widowControl/>
        <w:spacing w:line="408" w:lineRule="auto"/>
        <w:ind w:left="274" w:leftChars="114"/>
        <w:jc w:val="left"/>
        <w:rPr>
          <w:rFonts w:hint="eastAsia" w:hAnsi="宋体" w:eastAsia="宋体" w:cs="宋体"/>
          <w:highlight w:val="none"/>
          <w:lang w:eastAsia="zh-CN"/>
        </w:rPr>
      </w:pPr>
      <w:r>
        <w:rPr>
          <w:rFonts w:hint="eastAsia" w:hAnsi="宋体" w:cs="宋体"/>
          <w:highlight w:val="none"/>
        </w:rPr>
        <w:t>邮  编：</w:t>
      </w:r>
    </w:p>
    <w:p w14:paraId="489E2EDD">
      <w:pPr>
        <w:widowControl/>
        <w:spacing w:line="408" w:lineRule="auto"/>
        <w:ind w:left="274" w:leftChars="114"/>
        <w:jc w:val="left"/>
        <w:rPr>
          <w:rFonts w:hAnsi="宋体" w:cs="宋体"/>
          <w:highlight w:val="none"/>
        </w:rPr>
      </w:pPr>
      <w:r>
        <w:rPr>
          <w:rFonts w:hint="eastAsia" w:hAnsi="宋体" w:cs="宋体"/>
          <w:highlight w:val="none"/>
        </w:rPr>
        <w:t>电  话：                                                                   年  月  日</w:t>
      </w:r>
    </w:p>
    <w:p w14:paraId="1F8B8773">
      <w:pPr>
        <w:pStyle w:val="4"/>
        <w:spacing w:before="333" w:beforeLines="100"/>
        <w:rPr>
          <w:rFonts w:ascii="宋体" w:hAnsi="宋体" w:cs="宋体"/>
          <w:sz w:val="32"/>
          <w:szCs w:val="32"/>
          <w:highlight w:val="none"/>
        </w:rPr>
      </w:pPr>
      <w:bookmarkStart w:id="183" w:name="_Toc155"/>
      <w:bookmarkStart w:id="184" w:name="_Toc8066"/>
      <w:bookmarkStart w:id="185" w:name="_Toc491"/>
      <w:bookmarkStart w:id="186" w:name="_Toc426457715"/>
      <w:bookmarkStart w:id="187" w:name="_Toc27947"/>
      <w:bookmarkStart w:id="188" w:name="_Toc20139"/>
      <w:bookmarkStart w:id="189" w:name="_Toc29450"/>
      <w:bookmarkStart w:id="190" w:name="_Toc403077657"/>
      <w:bookmarkStart w:id="191" w:name="_Toc363474034"/>
      <w:bookmarkStart w:id="192" w:name="_Toc7550"/>
      <w:bookmarkStart w:id="193" w:name="_Toc5679"/>
      <w:bookmarkStart w:id="194" w:name="_Toc21171"/>
      <w:bookmarkStart w:id="195" w:name="_Toc28113"/>
      <w:bookmarkStart w:id="196" w:name="_Toc3206"/>
      <w:r>
        <w:rPr>
          <w:rFonts w:hint="eastAsia" w:ascii="宋体" w:hAnsi="宋体" w:cs="宋体"/>
          <w:sz w:val="32"/>
          <w:szCs w:val="32"/>
          <w:highlight w:val="none"/>
        </w:rPr>
        <w:t>六、资格证明文件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95D177C">
      <w:pPr>
        <w:pStyle w:val="21"/>
        <w:spacing w:before="0" w:beforeAutospacing="0" w:after="0" w:afterAutospacing="0" w:line="480" w:lineRule="atLeast"/>
        <w:ind w:left="480"/>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（1 ）提供合格有效的法人或者其他组织的营业执照等证明文件，自然人的身份证明；</w:t>
      </w:r>
    </w:p>
    <w:p w14:paraId="22DFB264">
      <w:pPr>
        <w:pStyle w:val="21"/>
        <w:spacing w:before="0" w:beforeAutospacing="0" w:after="0" w:afterAutospacing="0" w:line="480" w:lineRule="atLeast"/>
        <w:ind w:left="480"/>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（2）提供法定代表人授权书（附法定代表人、被授权人身份证复印件），法定代表人直接参加投标，须提供法定代表人身份证明（附法定代表人身份证复印件）；</w:t>
      </w:r>
    </w:p>
    <w:p w14:paraId="5674EC3E">
      <w:pPr>
        <w:pStyle w:val="21"/>
        <w:spacing w:before="0" w:beforeAutospacing="0" w:after="0" w:afterAutospacing="0" w:line="480" w:lineRule="atLeast"/>
        <w:ind w:left="480"/>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3）财务状况报告：提供2023年度的财务审计报告（至少包括资产负债表和利润表，成立时间至提交投标文件截止时间不足一年的可提供成立后任意时段的资产负债表），或开标时间前六个月内银行出具的资信证明；</w:t>
      </w:r>
    </w:p>
    <w:p w14:paraId="603B314B">
      <w:pPr>
        <w:pStyle w:val="21"/>
        <w:spacing w:before="0" w:beforeAutospacing="0" w:after="0" w:afterAutospacing="0" w:line="480" w:lineRule="atLeast"/>
        <w:ind w:left="480"/>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（4）税收缴纳证明：提供投标截止日前一年内已缴纳的至少一个月的纳税证明或完税证明（任意税种），依法免税的单位应提供相关证明材料;</w:t>
      </w:r>
    </w:p>
    <w:p w14:paraId="6A602C7B">
      <w:pPr>
        <w:pStyle w:val="21"/>
        <w:spacing w:before="0" w:beforeAutospacing="0" w:after="0" w:afterAutospacing="0" w:line="480" w:lineRule="atLeast"/>
        <w:ind w:left="480"/>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（5）社会保障资金缴纳证明：提供投标截止日前一年内已缴存的至少一个月的社会保障资金缴存单据或社保机构开具的社会保险参保缴费情况证明，依法不需要缴纳社会保障资金的单位应提供相关证明材料；</w:t>
      </w:r>
    </w:p>
    <w:p w14:paraId="5BAC9503">
      <w:pPr>
        <w:pStyle w:val="21"/>
        <w:spacing w:before="0" w:beforeAutospacing="0" w:after="0" w:afterAutospacing="0" w:line="480" w:lineRule="atLeast"/>
        <w:ind w:left="480"/>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（6）提供具有履行本合同所必需的设备和专业技术能力的说明及承诺书；</w:t>
      </w:r>
    </w:p>
    <w:p w14:paraId="060481D6">
      <w:pPr>
        <w:pStyle w:val="21"/>
        <w:spacing w:before="0" w:beforeAutospacing="0" w:after="0" w:afterAutospacing="0" w:line="480" w:lineRule="atLeast"/>
        <w:ind w:left="480"/>
        <w:jc w:val="both"/>
        <w:textAlignment w:val="baseline"/>
        <w:rPr>
          <w:rFonts w:hint="eastAsia" w:eastAsia="宋体" w:cs="宋体"/>
          <w:color w:val="333333"/>
          <w:highlight w:val="none"/>
          <w:shd w:val="clear" w:color="auto" w:fill="FFFFFF"/>
          <w:lang w:eastAsia="zh-CN"/>
        </w:rPr>
      </w:pPr>
      <w:r>
        <w:rPr>
          <w:rFonts w:hint="eastAsia" w:cs="宋体"/>
          <w:color w:val="333333"/>
          <w:highlight w:val="none"/>
          <w:shd w:val="clear" w:color="auto" w:fill="FFFFFF"/>
        </w:rPr>
        <w:t>（7）供应商应通过“信用中国”网站(www.creditchina.gov.cn)、中国政府采购网(www.ccgp.gov.cn)查询相关主体信用记录；</w:t>
      </w:r>
    </w:p>
    <w:p w14:paraId="7477E3A4">
      <w:pPr>
        <w:pStyle w:val="21"/>
        <w:spacing w:before="0" w:beforeAutospacing="0" w:after="0" w:afterAutospacing="0" w:line="480" w:lineRule="atLeast"/>
        <w:ind w:left="480"/>
        <w:jc w:val="both"/>
        <w:textAlignment w:val="baseline"/>
        <w:rPr>
          <w:rFonts w:cs="宋体"/>
          <w:color w:val="333333"/>
          <w:highlight w:val="none"/>
          <w:shd w:val="clear" w:color="auto" w:fill="FFFFFF"/>
        </w:rPr>
      </w:pPr>
      <w:r>
        <w:rPr>
          <w:rFonts w:hint="eastAsia" w:cs="宋体"/>
          <w:color w:val="333333"/>
          <w:highlight w:val="none"/>
          <w:shd w:val="clear" w:color="auto" w:fill="FFFFFF"/>
        </w:rPr>
        <w:t>（8）参加政府采购活动前3年内，在经营活动中没有重大违法记录的书面声明</w:t>
      </w:r>
    </w:p>
    <w:p w14:paraId="6C4B8068">
      <w:pPr>
        <w:pStyle w:val="21"/>
        <w:spacing w:before="0" w:beforeAutospacing="0" w:after="0" w:afterAutospacing="0" w:line="480" w:lineRule="atLeast"/>
        <w:ind w:left="480"/>
        <w:jc w:val="both"/>
        <w:textAlignment w:val="baseline"/>
        <w:rPr>
          <w:rFonts w:cs="宋体"/>
          <w:color w:val="333333"/>
          <w:highlight w:val="none"/>
          <w:shd w:val="clear" w:color="auto" w:fill="FFFFFF"/>
        </w:rPr>
      </w:pPr>
      <w:r>
        <w:rPr>
          <w:rFonts w:hint="eastAsia" w:cs="宋体"/>
          <w:color w:val="333333"/>
          <w:highlight w:val="none"/>
          <w:shd w:val="clear" w:color="auto" w:fill="FFFFFF"/>
        </w:rPr>
        <w:t>（9）本项目不接受联合体投标（提供承诺书）。</w:t>
      </w:r>
    </w:p>
    <w:p w14:paraId="7F386B4B">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3CEB0662">
      <w:pPr>
        <w:pStyle w:val="9"/>
        <w:rPr>
          <w:rFonts w:ascii="宋体" w:hAnsi="宋体" w:cs="宋体"/>
          <w:szCs w:val="24"/>
          <w:highlight w:val="none"/>
        </w:rPr>
      </w:pPr>
    </w:p>
    <w:p w14:paraId="05818B4E">
      <w:pPr>
        <w:pStyle w:val="9"/>
        <w:rPr>
          <w:rFonts w:ascii="宋体" w:hAnsi="宋体" w:cs="宋体"/>
          <w:b/>
          <w:bCs/>
          <w:sz w:val="30"/>
          <w:szCs w:val="30"/>
          <w:highlight w:val="none"/>
        </w:rPr>
        <w:sectPr>
          <w:footerReference r:id="rId10" w:type="default"/>
          <w:pgSz w:w="11906" w:h="16838"/>
          <w:pgMar w:top="1361" w:right="1417" w:bottom="1361" w:left="1417" w:header="1134" w:footer="992" w:gutter="0"/>
          <w:pgNumType w:fmt="decimal"/>
          <w:cols w:space="720" w:num="1"/>
          <w:docGrid w:type="lines" w:linePitch="333" w:charSpace="0"/>
        </w:sectPr>
      </w:pPr>
      <w:bookmarkStart w:id="197" w:name="_Toc19075"/>
      <w:bookmarkStart w:id="198" w:name="_Toc16097"/>
      <w:bookmarkStart w:id="199" w:name="_Toc30210"/>
      <w:bookmarkStart w:id="200" w:name="_Toc403077649"/>
      <w:bookmarkStart w:id="201" w:name="_Toc426457701"/>
      <w:bookmarkStart w:id="202" w:name="_Toc363474028"/>
      <w:bookmarkStart w:id="203" w:name="_Toc25348"/>
      <w:bookmarkStart w:id="204" w:name="_Toc4867"/>
    </w:p>
    <w:bookmarkEnd w:id="197"/>
    <w:bookmarkEnd w:id="198"/>
    <w:bookmarkEnd w:id="199"/>
    <w:bookmarkEnd w:id="200"/>
    <w:bookmarkEnd w:id="201"/>
    <w:bookmarkEnd w:id="202"/>
    <w:bookmarkEnd w:id="203"/>
    <w:bookmarkEnd w:id="204"/>
    <w:p w14:paraId="0B76882F">
      <w:pPr>
        <w:jc w:val="center"/>
        <w:outlineLvl w:val="2"/>
        <w:rPr>
          <w:rFonts w:hAnsi="宋体" w:cs="宋体"/>
          <w:b/>
          <w:bCs/>
          <w:sz w:val="30"/>
          <w:szCs w:val="30"/>
          <w:highlight w:val="none"/>
        </w:rPr>
      </w:pPr>
      <w:bookmarkStart w:id="205" w:name="_Toc1056"/>
      <w:bookmarkStart w:id="206" w:name="_Toc25505"/>
      <w:bookmarkStart w:id="207" w:name="_Toc4146"/>
      <w:bookmarkStart w:id="208" w:name="_Toc30099"/>
      <w:r>
        <w:rPr>
          <w:rFonts w:hint="eastAsia" w:hAnsi="宋体" w:cs="宋体"/>
          <w:b/>
          <w:bCs/>
          <w:sz w:val="30"/>
          <w:szCs w:val="30"/>
          <w:highlight w:val="none"/>
        </w:rPr>
        <w:t>七、其他</w:t>
      </w:r>
      <w:bookmarkEnd w:id="205"/>
      <w:bookmarkEnd w:id="206"/>
      <w:bookmarkEnd w:id="207"/>
      <w:bookmarkEnd w:id="208"/>
    </w:p>
    <w:p w14:paraId="04CDF2DE">
      <w:pPr>
        <w:spacing w:line="500" w:lineRule="exact"/>
        <w:ind w:firstLine="480" w:firstLineChars="200"/>
        <w:rPr>
          <w:rFonts w:hAnsi="宋体" w:cs="宋体"/>
          <w:szCs w:val="24"/>
          <w:highlight w:val="none"/>
        </w:rPr>
      </w:pPr>
      <w:r>
        <w:rPr>
          <w:rFonts w:hint="eastAsia" w:hAnsi="宋体" w:cs="宋体"/>
          <w:szCs w:val="24"/>
          <w:highlight w:val="none"/>
        </w:rPr>
        <w:t>1、依据招标文件要求，供应商认为有必要说明的其他内容</w:t>
      </w:r>
    </w:p>
    <w:p w14:paraId="16F71DFA">
      <w:pPr>
        <w:spacing w:line="500" w:lineRule="exact"/>
        <w:ind w:firstLine="480" w:firstLineChars="200"/>
        <w:rPr>
          <w:rFonts w:hAnsi="宋体" w:cs="宋体"/>
          <w:szCs w:val="24"/>
          <w:highlight w:val="none"/>
        </w:rPr>
      </w:pPr>
      <w:r>
        <w:rPr>
          <w:rFonts w:hint="eastAsia" w:hAnsi="宋体" w:cs="宋体"/>
          <w:szCs w:val="24"/>
          <w:highlight w:val="none"/>
        </w:rPr>
        <w:t>2、其他可以证明供应商实力的文件。</w:t>
      </w:r>
    </w:p>
    <w:p w14:paraId="7613C886">
      <w:pPr>
        <w:rPr>
          <w:rFonts w:hAnsi="宋体" w:cs="宋体"/>
          <w:b/>
          <w:bCs/>
          <w:sz w:val="28"/>
          <w:szCs w:val="28"/>
          <w:highlight w:val="none"/>
        </w:rPr>
      </w:pPr>
      <w:r>
        <w:rPr>
          <w:rFonts w:hint="eastAsia" w:hAnsi="宋体" w:cs="宋体"/>
          <w:b/>
          <w:bCs/>
          <w:sz w:val="28"/>
          <w:szCs w:val="28"/>
          <w:highlight w:val="none"/>
        </w:rPr>
        <w:br w:type="page"/>
      </w:r>
    </w:p>
    <w:p w14:paraId="57129565">
      <w:pPr>
        <w:pStyle w:val="9"/>
        <w:rPr>
          <w:rFonts w:ascii="宋体" w:hAnsi="宋体" w:cs="宋体"/>
          <w:b/>
          <w:bCs/>
          <w:sz w:val="28"/>
          <w:szCs w:val="28"/>
          <w:highlight w:val="none"/>
        </w:rPr>
      </w:pPr>
      <w:r>
        <w:rPr>
          <w:rFonts w:hint="eastAsia" w:ascii="宋体" w:hAnsi="宋体" w:cs="宋体"/>
          <w:b/>
          <w:bCs/>
          <w:sz w:val="28"/>
          <w:szCs w:val="28"/>
          <w:highlight w:val="none"/>
        </w:rPr>
        <w:t>附件1：</w:t>
      </w:r>
    </w:p>
    <w:p w14:paraId="0CA06661">
      <w:pPr>
        <w:spacing w:before="312" w:beforeLines="100"/>
        <w:jc w:val="center"/>
        <w:rPr>
          <w:rFonts w:hAnsi="宋体" w:cs="宋体"/>
          <w:sz w:val="30"/>
          <w:szCs w:val="30"/>
          <w:highlight w:val="none"/>
        </w:rPr>
      </w:pPr>
      <w:r>
        <w:rPr>
          <w:rFonts w:hint="eastAsia" w:hAnsi="宋体" w:cs="宋体"/>
          <w:sz w:val="30"/>
          <w:szCs w:val="30"/>
          <w:highlight w:val="none"/>
        </w:rPr>
        <w:t>法定代表人身份证明/法定代表人授权书</w:t>
      </w:r>
    </w:p>
    <w:p w14:paraId="01AEC693">
      <w:pPr>
        <w:pStyle w:val="9"/>
        <w:spacing w:before="156" w:beforeLines="5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2587F04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14:paraId="1C05D4B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0B4428B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4EF7FFA0">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0C402B9F">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0EC37325">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（投标人名称）的法定代表人。</w:t>
      </w:r>
    </w:p>
    <w:p w14:paraId="304FCE34">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71B77630">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4"/>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C23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7AE0A6">
            <w:pPr>
              <w:snapToGrid w:val="0"/>
              <w:spacing w:line="480" w:lineRule="auto"/>
              <w:jc w:val="center"/>
              <w:rPr>
                <w:rFonts w:hAnsi="宋体" w:cs="宋体"/>
                <w:szCs w:val="21"/>
                <w:highlight w:val="none"/>
              </w:rPr>
            </w:pPr>
          </w:p>
          <w:p w14:paraId="6B7E95A4">
            <w:pPr>
              <w:snapToGrid w:val="0"/>
              <w:spacing w:line="480" w:lineRule="auto"/>
              <w:jc w:val="center"/>
              <w:rPr>
                <w:rFonts w:hAnsi="宋体" w:cs="宋体"/>
                <w:szCs w:val="21"/>
                <w:highlight w:val="none"/>
              </w:rPr>
            </w:pPr>
          </w:p>
          <w:p w14:paraId="50CFF5C2">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55055391">
            <w:pPr>
              <w:pStyle w:val="9"/>
              <w:jc w:val="center"/>
              <w:rPr>
                <w:rFonts w:ascii="宋体" w:hAnsi="宋体" w:cs="宋体"/>
                <w:highlight w:val="none"/>
              </w:rPr>
            </w:pPr>
            <w:r>
              <w:rPr>
                <w:rFonts w:hint="eastAsia" w:ascii="宋体" w:hAnsi="宋体" w:cs="宋体"/>
                <w:szCs w:val="21"/>
                <w:highlight w:val="none"/>
              </w:rPr>
              <w:t>（正反面）</w:t>
            </w:r>
          </w:p>
          <w:p w14:paraId="01D95156">
            <w:pPr>
              <w:snapToGrid w:val="0"/>
              <w:spacing w:line="480" w:lineRule="auto"/>
              <w:jc w:val="center"/>
              <w:rPr>
                <w:rFonts w:hAnsi="宋体" w:cs="宋体"/>
                <w:szCs w:val="21"/>
                <w:highlight w:val="none"/>
              </w:rPr>
            </w:pPr>
          </w:p>
          <w:p w14:paraId="701E9F73">
            <w:pPr>
              <w:snapToGrid w:val="0"/>
              <w:spacing w:line="480" w:lineRule="auto"/>
              <w:jc w:val="center"/>
              <w:rPr>
                <w:rFonts w:hAnsi="宋体" w:cs="宋体"/>
                <w:szCs w:val="21"/>
                <w:highlight w:val="none"/>
              </w:rPr>
            </w:pPr>
          </w:p>
        </w:tc>
      </w:tr>
    </w:tbl>
    <w:p w14:paraId="1CBBFE12">
      <w:pPr>
        <w:snapToGrid w:val="0"/>
        <w:spacing w:line="480" w:lineRule="auto"/>
        <w:rPr>
          <w:rFonts w:hAnsi="宋体" w:cs="宋体"/>
          <w:szCs w:val="21"/>
          <w:highlight w:val="none"/>
        </w:rPr>
      </w:pPr>
    </w:p>
    <w:p w14:paraId="4B54A037">
      <w:pPr>
        <w:snapToGrid w:val="0"/>
        <w:rPr>
          <w:rFonts w:hAnsi="宋体" w:cs="宋体"/>
          <w:szCs w:val="21"/>
          <w:highlight w:val="none"/>
        </w:rPr>
      </w:pPr>
    </w:p>
    <w:p w14:paraId="38203121">
      <w:pPr>
        <w:snapToGrid w:val="0"/>
        <w:rPr>
          <w:rFonts w:hAnsi="宋体" w:cs="宋体"/>
          <w:szCs w:val="21"/>
          <w:highlight w:val="none"/>
        </w:rPr>
      </w:pPr>
    </w:p>
    <w:p w14:paraId="343D1845">
      <w:pPr>
        <w:snapToGrid w:val="0"/>
        <w:rPr>
          <w:rFonts w:hAnsi="宋体" w:cs="宋体"/>
          <w:szCs w:val="21"/>
          <w:highlight w:val="none"/>
        </w:rPr>
      </w:pPr>
    </w:p>
    <w:p w14:paraId="365AFA47">
      <w:pPr>
        <w:snapToGrid w:val="0"/>
        <w:rPr>
          <w:rFonts w:hAnsi="宋体" w:cs="宋体"/>
          <w:szCs w:val="21"/>
          <w:highlight w:val="none"/>
        </w:rPr>
      </w:pPr>
    </w:p>
    <w:p w14:paraId="013A79D3">
      <w:pPr>
        <w:adjustRightInd w:val="0"/>
        <w:snapToGrid w:val="0"/>
        <w:spacing w:line="360" w:lineRule="auto"/>
        <w:rPr>
          <w:rFonts w:hAnsi="宋体" w:cs="宋体"/>
          <w:highlight w:val="none"/>
        </w:rPr>
      </w:pPr>
    </w:p>
    <w:p w14:paraId="3A4FA0D8">
      <w:pPr>
        <w:adjustRightInd w:val="0"/>
        <w:snapToGrid w:val="0"/>
        <w:spacing w:line="360" w:lineRule="auto"/>
        <w:ind w:right="420"/>
        <w:rPr>
          <w:rFonts w:hAnsi="宋体" w:cs="宋体"/>
          <w:highlight w:val="none"/>
        </w:rPr>
      </w:pPr>
    </w:p>
    <w:p w14:paraId="2628EC8B">
      <w:pPr>
        <w:adjustRightInd w:val="0"/>
        <w:snapToGrid w:val="0"/>
        <w:spacing w:line="360" w:lineRule="auto"/>
        <w:ind w:right="420"/>
        <w:rPr>
          <w:rFonts w:hAnsi="宋体" w:cs="宋体"/>
          <w:highlight w:val="none"/>
        </w:rPr>
      </w:pPr>
    </w:p>
    <w:p w14:paraId="236F717F">
      <w:pPr>
        <w:adjustRightInd w:val="0"/>
        <w:snapToGrid w:val="0"/>
        <w:spacing w:line="360" w:lineRule="auto"/>
        <w:ind w:right="420"/>
        <w:rPr>
          <w:rFonts w:hAnsi="宋体" w:cs="宋体"/>
          <w:highlight w:val="none"/>
        </w:rPr>
      </w:pPr>
    </w:p>
    <w:p w14:paraId="44F59F29">
      <w:pPr>
        <w:adjustRightInd w:val="0"/>
        <w:snapToGrid w:val="0"/>
        <w:spacing w:line="360" w:lineRule="auto"/>
        <w:ind w:right="420"/>
        <w:rPr>
          <w:rFonts w:hAnsi="宋体" w:cs="宋体"/>
          <w:highlight w:val="none"/>
        </w:rPr>
      </w:pPr>
    </w:p>
    <w:p w14:paraId="6053EA1B">
      <w:pPr>
        <w:adjustRightInd w:val="0"/>
        <w:snapToGrid w:val="0"/>
        <w:spacing w:line="360" w:lineRule="auto"/>
        <w:ind w:right="420"/>
        <w:rPr>
          <w:rFonts w:hAnsi="宋体" w:cs="宋体"/>
          <w:highlight w:val="none"/>
        </w:rPr>
      </w:pPr>
      <w:r>
        <w:rPr>
          <w:rFonts w:hint="eastAsia" w:hAnsi="宋体" w:cs="宋体"/>
          <w:highlight w:val="none"/>
        </w:rPr>
        <w:t>投标人名称（公章）：</w:t>
      </w:r>
    </w:p>
    <w:p w14:paraId="2A9637E9">
      <w:pPr>
        <w:adjustRightInd w:val="0"/>
        <w:snapToGrid w:val="0"/>
        <w:spacing w:line="360" w:lineRule="auto"/>
        <w:ind w:right="420"/>
        <w:rPr>
          <w:rFonts w:hAnsi="宋体" w:cs="宋体"/>
          <w:highlight w:val="none"/>
        </w:rPr>
      </w:pPr>
      <w:r>
        <w:rPr>
          <w:rFonts w:hint="eastAsia" w:hAnsi="宋体" w:cs="宋体"/>
          <w:highlight w:val="none"/>
        </w:rPr>
        <w:t>日期：    年  月  日</w:t>
      </w:r>
    </w:p>
    <w:p w14:paraId="3D3A37A7">
      <w:pPr>
        <w:adjustRightInd w:val="0"/>
        <w:snapToGrid w:val="0"/>
        <w:spacing w:line="360" w:lineRule="auto"/>
        <w:ind w:right="420"/>
        <w:rPr>
          <w:rFonts w:hAnsi="宋体" w:cs="宋体"/>
          <w:highlight w:val="none"/>
        </w:rPr>
      </w:pPr>
    </w:p>
    <w:p w14:paraId="4B5CF27A">
      <w:pPr>
        <w:rPr>
          <w:rFonts w:hAnsi="宋体" w:cs="宋体"/>
          <w:sz w:val="32"/>
          <w:szCs w:val="32"/>
          <w:highlight w:val="none"/>
        </w:rPr>
      </w:pPr>
      <w:r>
        <w:rPr>
          <w:rFonts w:hint="eastAsia" w:hAnsi="宋体" w:cs="宋体"/>
          <w:sz w:val="32"/>
          <w:szCs w:val="32"/>
          <w:highlight w:val="none"/>
        </w:rPr>
        <w:br w:type="page"/>
      </w:r>
    </w:p>
    <w:p w14:paraId="3A392BB5">
      <w:pPr>
        <w:keepNext/>
        <w:spacing w:before="312" w:beforeLines="100"/>
        <w:jc w:val="center"/>
        <w:rPr>
          <w:rFonts w:hAnsi="宋体" w:cs="宋体"/>
          <w:sz w:val="32"/>
          <w:szCs w:val="32"/>
          <w:highlight w:val="none"/>
        </w:rPr>
      </w:pPr>
      <w:r>
        <w:rPr>
          <w:rFonts w:hint="eastAsia" w:hAnsi="宋体" w:cs="宋体"/>
          <w:sz w:val="32"/>
          <w:szCs w:val="32"/>
          <w:highlight w:val="none"/>
        </w:rPr>
        <w:t>法定代表人授权书</w:t>
      </w:r>
    </w:p>
    <w:p w14:paraId="7202CA81">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1D711708">
      <w:pPr>
        <w:spacing w:line="560" w:lineRule="exact"/>
        <w:jc w:val="left"/>
        <w:rPr>
          <w:rFonts w:hAnsi="宋体" w:cs="宋体"/>
          <w:spacing w:val="4"/>
          <w:szCs w:val="24"/>
          <w:highlight w:val="none"/>
        </w:rPr>
      </w:pPr>
      <w:r>
        <w:rPr>
          <w:rFonts w:hint="eastAsia" w:hAnsi="宋体" w:cs="宋体"/>
          <w:b/>
          <w:spacing w:val="4"/>
          <w:szCs w:val="24"/>
          <w:highlight w:val="none"/>
        </w:rPr>
        <w:t>致：</w:t>
      </w:r>
      <w:r>
        <w:rPr>
          <w:rFonts w:hint="eastAsia" w:hAnsi="宋体" w:cs="宋体"/>
          <w:b/>
          <w:spacing w:val="4"/>
          <w:szCs w:val="24"/>
          <w:highlight w:val="none"/>
          <w:u w:val="single"/>
        </w:rPr>
        <w:t>采购人名称/陕西至诚项目管理集团有限公司</w:t>
      </w:r>
    </w:p>
    <w:p w14:paraId="1FFD84D4">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 xml:space="preserve">（项目名称、项目编号）    </w:t>
      </w:r>
      <w:r>
        <w:rPr>
          <w:rFonts w:hint="eastAsia" w:hAnsi="宋体" w:cs="宋体"/>
          <w:spacing w:val="4"/>
          <w:szCs w:val="24"/>
          <w:highlight w:val="none"/>
        </w:rPr>
        <w:t>投标、谈判、签约等具体工作，并签署全部有关的文件、协议及合同。</w:t>
      </w:r>
    </w:p>
    <w:p w14:paraId="2562B3A5">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78CE90FC">
      <w:pPr>
        <w:spacing w:line="56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14:paraId="13532C9A">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23"/>
        <w:tblW w:w="8190" w:type="dxa"/>
        <w:tblInd w:w="633" w:type="dxa"/>
        <w:tblLayout w:type="fixed"/>
        <w:tblCellMar>
          <w:top w:w="0" w:type="dxa"/>
          <w:left w:w="108" w:type="dxa"/>
          <w:bottom w:w="0" w:type="dxa"/>
          <w:right w:w="108" w:type="dxa"/>
        </w:tblCellMar>
      </w:tblPr>
      <w:tblGrid>
        <w:gridCol w:w="4200"/>
        <w:gridCol w:w="3990"/>
      </w:tblGrid>
      <w:tr w14:paraId="6AFA7AD4">
        <w:tblPrEx>
          <w:tblCellMar>
            <w:top w:w="0" w:type="dxa"/>
            <w:left w:w="108" w:type="dxa"/>
            <w:bottom w:w="0" w:type="dxa"/>
            <w:right w:w="108" w:type="dxa"/>
          </w:tblCellMar>
        </w:tblPrEx>
        <w:trPr>
          <w:trHeight w:val="600" w:hRule="atLeast"/>
        </w:trPr>
        <w:tc>
          <w:tcPr>
            <w:tcW w:w="4200" w:type="dxa"/>
          </w:tcPr>
          <w:p w14:paraId="7F12D947">
            <w:pPr>
              <w:spacing w:line="520" w:lineRule="exact"/>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5C31AE7C">
            <w:pPr>
              <w:spacing w:line="520" w:lineRule="exact"/>
              <w:jc w:val="left"/>
              <w:rPr>
                <w:rFonts w:hAnsi="宋体" w:cs="宋体"/>
                <w:spacing w:val="4"/>
                <w:szCs w:val="24"/>
                <w:highlight w:val="none"/>
              </w:rPr>
            </w:pPr>
            <w:r>
              <w:rPr>
                <w:rFonts w:hint="eastAsia" w:hAnsi="宋体" w:cs="宋体"/>
                <w:szCs w:val="24"/>
                <w:highlight w:val="none"/>
              </w:rPr>
              <w:t>法定代表人</w:t>
            </w:r>
            <w:r>
              <w:rPr>
                <w:rFonts w:hint="eastAsia" w:hAnsi="宋体" w:cs="宋体"/>
                <w:spacing w:val="4"/>
                <w:szCs w:val="24"/>
                <w:highlight w:val="none"/>
              </w:rPr>
              <w:t>签字或盖章：</w:t>
            </w:r>
          </w:p>
        </w:tc>
      </w:tr>
      <w:tr w14:paraId="0581B68C">
        <w:tblPrEx>
          <w:tblCellMar>
            <w:top w:w="0" w:type="dxa"/>
            <w:left w:w="108" w:type="dxa"/>
            <w:bottom w:w="0" w:type="dxa"/>
            <w:right w:w="108" w:type="dxa"/>
          </w:tblCellMar>
        </w:tblPrEx>
        <w:trPr>
          <w:trHeight w:val="600" w:hRule="atLeast"/>
        </w:trPr>
        <w:tc>
          <w:tcPr>
            <w:tcW w:w="4200" w:type="dxa"/>
          </w:tcPr>
          <w:p w14:paraId="447E2D9A">
            <w:pPr>
              <w:spacing w:line="520" w:lineRule="exact"/>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327AAFDE">
            <w:pPr>
              <w:spacing w:line="520" w:lineRule="exact"/>
              <w:jc w:val="left"/>
              <w:rPr>
                <w:rFonts w:hAnsi="宋体" w:cs="宋体"/>
                <w:spacing w:val="4"/>
                <w:szCs w:val="24"/>
                <w:highlight w:val="none"/>
              </w:rPr>
            </w:pPr>
            <w:r>
              <w:rPr>
                <w:rFonts w:hint="eastAsia" w:hAnsi="宋体" w:cs="宋体"/>
                <w:spacing w:val="4"/>
                <w:szCs w:val="24"/>
                <w:highlight w:val="none"/>
              </w:rPr>
              <w:t>职务：</w:t>
            </w:r>
          </w:p>
        </w:tc>
      </w:tr>
      <w:tr w14:paraId="3ED34E66">
        <w:tblPrEx>
          <w:tblCellMar>
            <w:top w:w="0" w:type="dxa"/>
            <w:left w:w="108" w:type="dxa"/>
            <w:bottom w:w="0" w:type="dxa"/>
            <w:right w:w="108" w:type="dxa"/>
          </w:tblCellMar>
        </w:tblPrEx>
        <w:trPr>
          <w:trHeight w:val="600" w:hRule="atLeast"/>
        </w:trPr>
        <w:tc>
          <w:tcPr>
            <w:tcW w:w="4200" w:type="dxa"/>
          </w:tcPr>
          <w:p w14:paraId="528BAB19">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7AF3C43E">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r>
      <w:tr w14:paraId="61BCF320">
        <w:tblPrEx>
          <w:tblCellMar>
            <w:top w:w="0" w:type="dxa"/>
            <w:left w:w="108" w:type="dxa"/>
            <w:bottom w:w="0" w:type="dxa"/>
            <w:right w:w="108" w:type="dxa"/>
          </w:tblCellMar>
        </w:tblPrEx>
        <w:trPr>
          <w:trHeight w:val="600" w:hRule="atLeast"/>
        </w:trPr>
        <w:tc>
          <w:tcPr>
            <w:tcW w:w="4200" w:type="dxa"/>
          </w:tcPr>
          <w:p w14:paraId="701C9F58">
            <w:pPr>
              <w:spacing w:line="520" w:lineRule="exact"/>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616213B8">
            <w:pPr>
              <w:spacing w:line="520" w:lineRule="exact"/>
              <w:jc w:val="left"/>
              <w:rPr>
                <w:rFonts w:hAnsi="宋体" w:cs="宋体"/>
                <w:spacing w:val="4"/>
                <w:szCs w:val="24"/>
                <w:highlight w:val="none"/>
              </w:rPr>
            </w:pPr>
          </w:p>
        </w:tc>
      </w:tr>
    </w:tbl>
    <w:p w14:paraId="1D39FDB0">
      <w:pPr>
        <w:spacing w:line="520" w:lineRule="exact"/>
        <w:ind w:firstLine="496" w:firstLineChars="200"/>
        <w:jc w:val="left"/>
        <w:rPr>
          <w:rFonts w:hAnsi="宋体" w:cs="宋体"/>
          <w:spacing w:val="4"/>
          <w:szCs w:val="24"/>
          <w:highlight w:val="none"/>
        </w:rPr>
      </w:pPr>
    </w:p>
    <w:p w14:paraId="48E2CCD2">
      <w:pPr>
        <w:spacing w:before="240" w:line="360" w:lineRule="auto"/>
        <w:ind w:firstLine="960" w:firstLineChars="400"/>
        <w:rPr>
          <w:rFonts w:hAnsi="宋体" w:cs="宋体"/>
          <w:highlight w:val="none"/>
          <w:u w:val="single"/>
        </w:rPr>
      </w:pPr>
      <w:r>
        <w:rPr>
          <w:rFonts w:hint="eastAsia" w:hAnsi="宋体" w:cs="宋体"/>
          <w:highlight w:val="none"/>
          <w:lang w:val="zh-CN"/>
        </w:rPr>
        <w:t>附法定代表人</w:t>
      </w:r>
      <w:r>
        <w:rPr>
          <w:rFonts w:hint="eastAsia" w:hAnsi="宋体" w:cs="宋体"/>
          <w:highlight w:val="none"/>
        </w:rPr>
        <w:t>、</w:t>
      </w:r>
      <w:r>
        <w:rPr>
          <w:rFonts w:hint="eastAsia" w:hAnsi="宋体" w:cs="宋体"/>
          <w:highlight w:val="none"/>
          <w:lang w:val="zh-CN"/>
        </w:rPr>
        <w:t>授权代表身份证复印件</w:t>
      </w:r>
    </w:p>
    <w:tbl>
      <w:tblPr>
        <w:tblStyle w:val="23"/>
        <w:tblW w:w="8357" w:type="dxa"/>
        <w:tblInd w:w="540" w:type="dxa"/>
        <w:tblLayout w:type="fixed"/>
        <w:tblCellMar>
          <w:top w:w="0" w:type="dxa"/>
          <w:left w:w="108" w:type="dxa"/>
          <w:bottom w:w="0" w:type="dxa"/>
          <w:right w:w="108" w:type="dxa"/>
        </w:tblCellMar>
      </w:tblPr>
      <w:tblGrid>
        <w:gridCol w:w="4246"/>
        <w:gridCol w:w="4111"/>
      </w:tblGrid>
      <w:tr w14:paraId="422E60F7">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359D453">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6D33E7C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31B383C5">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4"/>
                <w:highlight w:val="none"/>
              </w:rPr>
              <w:t>授权代表</w:t>
            </w:r>
            <w:r>
              <w:rPr>
                <w:rFonts w:hint="eastAsia" w:hAnsi="宋体" w:cs="宋体"/>
                <w:szCs w:val="21"/>
                <w:highlight w:val="none"/>
              </w:rPr>
              <w:t>身份证复印件粘贴处</w:t>
            </w:r>
          </w:p>
          <w:p w14:paraId="14C66E75">
            <w:pPr>
              <w:autoSpaceDE w:val="0"/>
              <w:autoSpaceDN w:val="0"/>
              <w:adjustRightInd w:val="0"/>
              <w:snapToGrid w:val="0"/>
              <w:spacing w:before="156" w:beforeLines="50" w:line="360" w:lineRule="auto"/>
              <w:jc w:val="center"/>
              <w:rPr>
                <w:rFonts w:hAnsi="宋体" w:cs="宋体"/>
                <w:highlight w:val="none"/>
                <w:u w:val="single"/>
              </w:rPr>
            </w:pPr>
            <w:r>
              <w:rPr>
                <w:rFonts w:hint="eastAsia" w:hAnsi="宋体" w:cs="宋体"/>
                <w:szCs w:val="21"/>
                <w:highlight w:val="none"/>
              </w:rPr>
              <w:t>（正反面）</w:t>
            </w:r>
          </w:p>
        </w:tc>
      </w:tr>
    </w:tbl>
    <w:p w14:paraId="03174009">
      <w:pPr>
        <w:spacing w:line="480" w:lineRule="auto"/>
        <w:ind w:left="485" w:leftChars="202"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0E89A1CC">
      <w:pPr>
        <w:spacing w:line="440" w:lineRule="exact"/>
        <w:ind w:left="485" w:leftChars="202"/>
        <w:rPr>
          <w:rFonts w:hAnsi="宋体" w:cs="宋体"/>
          <w:spacing w:val="4"/>
          <w:szCs w:val="30"/>
          <w:highlight w:val="none"/>
        </w:rPr>
      </w:pPr>
      <w:r>
        <w:rPr>
          <w:rFonts w:hint="eastAsia" w:hAnsi="宋体" w:cs="宋体"/>
          <w:spacing w:val="4"/>
          <w:szCs w:val="30"/>
          <w:highlight w:val="none"/>
        </w:rPr>
        <w:t>日   期：</w:t>
      </w:r>
    </w:p>
    <w:p w14:paraId="5F58D09F">
      <w:pPr>
        <w:ind w:firstLine="482" w:firstLineChars="200"/>
        <w:rPr>
          <w:rFonts w:hAnsi="宋体" w:cs="宋体"/>
          <w:b/>
          <w:bCs/>
          <w:highlight w:val="none"/>
          <w:lang w:val="zh-CN"/>
        </w:rPr>
      </w:pPr>
    </w:p>
    <w:p w14:paraId="72631F13">
      <w:pPr>
        <w:ind w:firstLine="496" w:firstLineChars="200"/>
        <w:rPr>
          <w:rFonts w:hAnsi="宋体" w:cs="宋体"/>
          <w:highlight w:val="none"/>
        </w:rPr>
      </w:pPr>
      <w:bookmarkStart w:id="209" w:name="_Toc25905"/>
      <w:r>
        <w:rPr>
          <w:rFonts w:hint="eastAsia" w:hAnsi="宋体" w:cs="宋体"/>
          <w:spacing w:val="4"/>
          <w:szCs w:val="30"/>
          <w:highlight w:val="none"/>
        </w:rPr>
        <w:br w:type="page"/>
      </w:r>
      <w:bookmarkEnd w:id="209"/>
    </w:p>
    <w:p w14:paraId="7A943CE5">
      <w:pPr>
        <w:rPr>
          <w:rFonts w:hAnsi="宋体" w:cs="宋体"/>
          <w:b/>
          <w:bCs/>
          <w:sz w:val="32"/>
          <w:szCs w:val="32"/>
          <w:highlight w:val="none"/>
          <w:shd w:val="clear" w:color="auto" w:fill="FFFFFF"/>
        </w:rPr>
      </w:pPr>
      <w:r>
        <w:rPr>
          <w:rFonts w:hint="eastAsia" w:hAnsi="宋体" w:cs="宋体"/>
          <w:b/>
          <w:bCs/>
          <w:sz w:val="32"/>
          <w:szCs w:val="32"/>
          <w:highlight w:val="none"/>
          <w:shd w:val="clear" w:color="auto" w:fill="FFFFFF"/>
        </w:rPr>
        <w:t>附件2：</w:t>
      </w:r>
    </w:p>
    <w:p w14:paraId="06FE84E7">
      <w:pPr>
        <w:widowControl/>
        <w:spacing w:line="360" w:lineRule="auto"/>
        <w:ind w:left="1" w:firstLine="281" w:firstLineChars="100"/>
        <w:rPr>
          <w:rFonts w:hAnsi="宋体" w:cs="宋体"/>
          <w:b/>
          <w:sz w:val="28"/>
          <w:szCs w:val="28"/>
          <w:highlight w:val="none"/>
        </w:rPr>
      </w:pPr>
    </w:p>
    <w:p w14:paraId="32DFFCDA">
      <w:pPr>
        <w:widowControl/>
        <w:spacing w:line="360" w:lineRule="auto"/>
        <w:ind w:left="1" w:firstLine="281" w:firstLineChars="100"/>
        <w:jc w:val="center"/>
        <w:rPr>
          <w:rFonts w:hAnsi="宋体" w:cs="宋体"/>
          <w:b/>
          <w:sz w:val="28"/>
          <w:szCs w:val="28"/>
          <w:highlight w:val="none"/>
        </w:rPr>
      </w:pPr>
    </w:p>
    <w:p w14:paraId="153070D3">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2E06A182">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5BF95344">
      <w:pPr>
        <w:pStyle w:val="21"/>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61491B7E">
      <w:pPr>
        <w:pStyle w:val="21"/>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670E27B2">
      <w:pPr>
        <w:pStyle w:val="21"/>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245B6A6C">
      <w:pPr>
        <w:pStyle w:val="21"/>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4E947E49">
      <w:pPr>
        <w:pStyle w:val="21"/>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2C8B7E19">
      <w:pPr>
        <w:pStyle w:val="21"/>
        <w:wordWrap w:val="0"/>
        <w:spacing w:beforeAutospacing="0" w:afterAutospacing="0" w:line="560" w:lineRule="exact"/>
        <w:ind w:firstLine="420"/>
        <w:rPr>
          <w:rFonts w:cs="宋体"/>
          <w:highlight w:val="none"/>
          <w:shd w:val="clear" w:color="auto" w:fill="FFFFFF"/>
        </w:rPr>
      </w:pPr>
    </w:p>
    <w:p w14:paraId="3FCCD8B2">
      <w:pPr>
        <w:spacing w:line="480" w:lineRule="auto"/>
        <w:ind w:firstLine="3360" w:firstLineChars="1400"/>
        <w:rPr>
          <w:rFonts w:hAnsi="宋体" w:cs="宋体"/>
          <w:highlight w:val="none"/>
        </w:rPr>
      </w:pPr>
    </w:p>
    <w:p w14:paraId="4AB8ADBD">
      <w:pPr>
        <w:spacing w:line="480" w:lineRule="auto"/>
        <w:ind w:firstLine="3360" w:firstLineChars="1400"/>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507F36C3">
      <w:pPr>
        <w:pStyle w:val="51"/>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06505EEE">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5B3359A1">
      <w:pPr>
        <w:adjustRightInd w:val="0"/>
        <w:snapToGrid w:val="0"/>
        <w:spacing w:line="360" w:lineRule="auto"/>
        <w:jc w:val="center"/>
        <w:rPr>
          <w:rFonts w:asciiTheme="minorEastAsia" w:hAnsiTheme="minorEastAsia" w:eastAsiaTheme="minorEastAsia" w:cstheme="minorEastAsia"/>
          <w:b/>
          <w:sz w:val="28"/>
          <w:szCs w:val="28"/>
          <w:highlight w:val="none"/>
        </w:rPr>
      </w:pPr>
    </w:p>
    <w:p w14:paraId="22DA7746">
      <w:pPr>
        <w:adjustRightInd w:val="0"/>
        <w:snapToGrid w:val="0"/>
        <w:spacing w:line="360" w:lineRule="auto"/>
        <w:jc w:val="center"/>
        <w:rPr>
          <w:rFonts w:hAnsi="宋体" w:cs="宋体"/>
          <w:b/>
          <w:sz w:val="28"/>
          <w:szCs w:val="28"/>
          <w:highlight w:val="none"/>
        </w:rPr>
      </w:pPr>
    </w:p>
    <w:p w14:paraId="2726A8B8">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2F6A422E">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3FB928AA">
      <w:pPr>
        <w:rPr>
          <w:highlight w:val="none"/>
        </w:rPr>
      </w:pPr>
    </w:p>
    <w:p w14:paraId="2C8E695D">
      <w:pPr>
        <w:pStyle w:val="13"/>
        <w:adjustRightInd w:val="0"/>
        <w:snapToGrid w:val="0"/>
        <w:spacing w:line="720" w:lineRule="exact"/>
        <w:jc w:val="center"/>
        <w:rPr>
          <w:rFonts w:hAnsi="宋体" w:cs="宋体"/>
          <w:b/>
          <w:sz w:val="28"/>
          <w:szCs w:val="28"/>
          <w:highlight w:val="none"/>
        </w:rPr>
      </w:pPr>
    </w:p>
    <w:p w14:paraId="1490EF22">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1145AE16">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4A040348">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20B5070C">
      <w:pPr>
        <w:pStyle w:val="13"/>
        <w:adjustRightInd w:val="0"/>
        <w:snapToGrid w:val="0"/>
        <w:spacing w:line="720" w:lineRule="exact"/>
        <w:rPr>
          <w:rFonts w:hAnsi="宋体" w:cs="宋体"/>
          <w:spacing w:val="4"/>
          <w:sz w:val="24"/>
          <w:szCs w:val="24"/>
          <w:highlight w:val="none"/>
        </w:rPr>
      </w:pPr>
    </w:p>
    <w:p w14:paraId="642867B9">
      <w:pPr>
        <w:pStyle w:val="13"/>
        <w:adjustRightInd w:val="0"/>
        <w:snapToGrid w:val="0"/>
        <w:spacing w:line="720" w:lineRule="exact"/>
        <w:rPr>
          <w:rFonts w:hAnsi="宋体" w:cs="宋体"/>
          <w:spacing w:val="4"/>
          <w:sz w:val="24"/>
          <w:szCs w:val="24"/>
          <w:highlight w:val="none"/>
        </w:rPr>
      </w:pPr>
    </w:p>
    <w:p w14:paraId="74BD2330">
      <w:pPr>
        <w:pStyle w:val="13"/>
        <w:adjustRightInd w:val="0"/>
        <w:snapToGrid w:val="0"/>
        <w:spacing w:line="720" w:lineRule="exact"/>
        <w:rPr>
          <w:rFonts w:hAnsi="宋体" w:cs="宋体"/>
          <w:spacing w:val="4"/>
          <w:sz w:val="24"/>
          <w:szCs w:val="24"/>
          <w:highlight w:val="none"/>
        </w:rPr>
      </w:pPr>
    </w:p>
    <w:p w14:paraId="213B2801">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46B2F63A">
      <w:pPr>
        <w:pStyle w:val="51"/>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B609B88">
      <w:pPr>
        <w:rPr>
          <w:rFonts w:hAnsi="宋体" w:cs="宋体"/>
          <w:b/>
          <w:sz w:val="28"/>
          <w:szCs w:val="28"/>
          <w:highlight w:val="none"/>
        </w:rPr>
      </w:pPr>
      <w:r>
        <w:rPr>
          <w:rFonts w:hint="eastAsia" w:hAnsi="宋体" w:cs="宋体"/>
          <w:b/>
          <w:sz w:val="28"/>
          <w:szCs w:val="28"/>
          <w:highlight w:val="none"/>
        </w:rPr>
        <w:br w:type="page"/>
      </w:r>
    </w:p>
    <w:p w14:paraId="1B3BAFBE">
      <w:pPr>
        <w:rPr>
          <w:rFonts w:hAnsi="宋体" w:cs="宋体"/>
          <w:b/>
          <w:sz w:val="28"/>
          <w:szCs w:val="28"/>
          <w:highlight w:val="none"/>
        </w:rPr>
      </w:pPr>
      <w:r>
        <w:rPr>
          <w:rFonts w:hint="eastAsia" w:hAnsi="宋体" w:cs="宋体"/>
          <w:b/>
          <w:sz w:val="28"/>
          <w:szCs w:val="28"/>
          <w:highlight w:val="none"/>
        </w:rPr>
        <w:t>附件3：</w:t>
      </w:r>
    </w:p>
    <w:p w14:paraId="295A2CCC">
      <w:pPr>
        <w:spacing w:before="100" w:beforeAutospacing="1" w:after="156" w:afterLines="50" w:line="360" w:lineRule="auto"/>
        <w:jc w:val="center"/>
        <w:rPr>
          <w:rFonts w:hAnsi="宋体" w:cs="宋体"/>
          <w:b/>
          <w:sz w:val="28"/>
          <w:szCs w:val="28"/>
          <w:highlight w:val="none"/>
        </w:rPr>
      </w:pPr>
    </w:p>
    <w:p w14:paraId="5B702B16">
      <w:pPr>
        <w:spacing w:line="588" w:lineRule="exact"/>
        <w:jc w:val="center"/>
        <w:rPr>
          <w:rFonts w:hAnsi="宋体" w:cs="宋体"/>
          <w:b/>
          <w:spacing w:val="6"/>
          <w:sz w:val="32"/>
          <w:szCs w:val="32"/>
          <w:highlight w:val="none"/>
        </w:rPr>
      </w:pPr>
      <w:r>
        <w:rPr>
          <w:rFonts w:hint="eastAsia" w:hAnsi="宋体" w:cs="宋体"/>
          <w:b/>
          <w:spacing w:val="6"/>
          <w:sz w:val="32"/>
          <w:szCs w:val="32"/>
          <w:highlight w:val="none"/>
        </w:rPr>
        <w:t>中小企业声明函</w:t>
      </w:r>
    </w:p>
    <w:p w14:paraId="79ACFC35">
      <w:pPr>
        <w:pStyle w:val="9"/>
        <w:spacing w:before="2"/>
        <w:rPr>
          <w:rFonts w:ascii="宋体"/>
          <w:b/>
          <w:sz w:val="24"/>
          <w:highlight w:val="none"/>
        </w:rPr>
      </w:pPr>
    </w:p>
    <w:p w14:paraId="186EF4F1">
      <w:pPr>
        <w:pStyle w:val="9"/>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 xml:space="preserve">单位名称   </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）采购活动，提供的货物全部由符合政策要求的中小企业制造。相关企业（含联合体中的中小企业、签订分包意向协议的中小企业）的具体情况如下：</w:t>
      </w:r>
    </w:p>
    <w:p w14:paraId="76CF9E41">
      <w:pPr>
        <w:pStyle w:val="30"/>
        <w:tabs>
          <w:tab w:val="left" w:pos="1183"/>
          <w:tab w:val="left" w:pos="1484"/>
          <w:tab w:val="left" w:pos="4662"/>
          <w:tab w:val="left" w:pos="6903"/>
        </w:tabs>
        <w:spacing w:line="360" w:lineRule="auto"/>
        <w:ind w:firstLine="504"/>
        <w:jc w:val="left"/>
        <w:rPr>
          <w:rFonts w:hAnsi="宋体" w:cs="宋体"/>
          <w:spacing w:val="6"/>
          <w:kern w:val="2"/>
          <w:szCs w:val="24"/>
          <w:highlight w:val="none"/>
        </w:rPr>
      </w:pPr>
      <w:r>
        <w:rPr>
          <w:rFonts w:hint="eastAsia" w:hAnsi="宋体" w:cs="宋体"/>
          <w:spacing w:val="6"/>
          <w:kern w:val="2"/>
          <w:szCs w:val="24"/>
          <w:highlight w:val="none"/>
        </w:rPr>
        <w:t>1.</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4B1E4B6D">
      <w:pPr>
        <w:pStyle w:val="30"/>
        <w:tabs>
          <w:tab w:val="left" w:pos="1183"/>
          <w:tab w:val="left" w:pos="1484"/>
          <w:tab w:val="left" w:pos="4662"/>
          <w:tab w:val="left" w:pos="6903"/>
        </w:tabs>
        <w:spacing w:line="360" w:lineRule="auto"/>
        <w:ind w:firstLine="504"/>
        <w:jc w:val="left"/>
        <w:rPr>
          <w:rFonts w:hAnsi="宋体" w:cs="宋体"/>
          <w:spacing w:val="6"/>
          <w:kern w:val="2"/>
          <w:szCs w:val="24"/>
          <w:highlight w:val="none"/>
        </w:rPr>
      </w:pPr>
      <w:r>
        <w:rPr>
          <w:rFonts w:hint="eastAsia" w:hAnsi="宋体" w:cs="宋体"/>
          <w:spacing w:val="6"/>
          <w:kern w:val="2"/>
          <w:szCs w:val="24"/>
          <w:highlight w:val="none"/>
        </w:rPr>
        <w:t>2.</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6BBED55C">
      <w:pPr>
        <w:pStyle w:val="9"/>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w:t>
      </w:r>
    </w:p>
    <w:p w14:paraId="167A144F">
      <w:pPr>
        <w:pStyle w:val="9"/>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78404EE2">
      <w:pPr>
        <w:pStyle w:val="9"/>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本企业对上述声明内容的真实性负责。如有虚假，将依法承担相应责任。</w:t>
      </w:r>
    </w:p>
    <w:p w14:paraId="1D920F04">
      <w:pPr>
        <w:pStyle w:val="9"/>
        <w:spacing w:before="35" w:line="316" w:lineRule="auto"/>
        <w:ind w:left="4060" w:right="2166"/>
        <w:rPr>
          <w:rFonts w:ascii="宋体" w:hAnsi="宋体" w:cs="宋体"/>
          <w:spacing w:val="6"/>
          <w:sz w:val="24"/>
          <w:szCs w:val="24"/>
          <w:highlight w:val="none"/>
        </w:rPr>
      </w:pPr>
    </w:p>
    <w:p w14:paraId="0A945E59">
      <w:pPr>
        <w:pStyle w:val="9"/>
        <w:spacing w:before="35" w:line="316" w:lineRule="auto"/>
        <w:ind w:left="4060" w:right="2166"/>
        <w:rPr>
          <w:rFonts w:ascii="宋体" w:hAnsi="宋体" w:cs="宋体"/>
          <w:spacing w:val="6"/>
          <w:sz w:val="24"/>
          <w:szCs w:val="24"/>
          <w:highlight w:val="none"/>
        </w:rPr>
      </w:pPr>
      <w:r>
        <w:rPr>
          <w:rFonts w:hint="eastAsia" w:ascii="宋体" w:hAnsi="宋体" w:cs="宋体"/>
          <w:spacing w:val="6"/>
          <w:sz w:val="24"/>
          <w:szCs w:val="24"/>
          <w:highlight w:val="none"/>
        </w:rPr>
        <w:t>企业名称（盖章）：</w:t>
      </w:r>
    </w:p>
    <w:p w14:paraId="414B42B6">
      <w:pPr>
        <w:pStyle w:val="9"/>
        <w:spacing w:before="35" w:line="316" w:lineRule="auto"/>
        <w:ind w:left="4060" w:right="2166"/>
        <w:rPr>
          <w:rFonts w:ascii="宋体" w:hAnsi="宋体" w:cs="宋体"/>
          <w:spacing w:val="6"/>
          <w:sz w:val="24"/>
          <w:szCs w:val="24"/>
          <w:highlight w:val="none"/>
        </w:rPr>
      </w:pPr>
      <w:r>
        <w:rPr>
          <w:rFonts w:hint="eastAsia" w:ascii="宋体" w:hAnsi="宋体" w:cs="宋体"/>
          <w:spacing w:val="6"/>
          <w:sz w:val="24"/>
          <w:szCs w:val="24"/>
          <w:highlight w:val="none"/>
        </w:rPr>
        <w:t>日期：</w:t>
      </w:r>
    </w:p>
    <w:p w14:paraId="289CB91D">
      <w:pPr>
        <w:rPr>
          <w:rFonts w:hAnsi="宋体" w:cs="宋体"/>
          <w:b/>
          <w:sz w:val="28"/>
          <w:szCs w:val="28"/>
          <w:highlight w:val="none"/>
        </w:rPr>
      </w:pPr>
      <w:r>
        <w:rPr>
          <w:rFonts w:hint="eastAsia" w:hAnsi="宋体" w:cs="宋体"/>
          <w:b/>
          <w:sz w:val="28"/>
          <w:szCs w:val="28"/>
          <w:highlight w:val="none"/>
        </w:rPr>
        <w:br w:type="page"/>
      </w:r>
    </w:p>
    <w:p w14:paraId="4A7E86BB">
      <w:pPr>
        <w:spacing w:before="312" w:beforeLines="100" w:after="156" w:afterLines="50"/>
        <w:rPr>
          <w:rFonts w:hAnsi="宋体" w:cs="宋体"/>
          <w:b/>
          <w:sz w:val="28"/>
          <w:szCs w:val="28"/>
          <w:highlight w:val="none"/>
        </w:rPr>
      </w:pPr>
      <w:r>
        <w:rPr>
          <w:rFonts w:hint="eastAsia" w:hAnsi="宋体" w:cs="宋体"/>
          <w:b/>
          <w:sz w:val="28"/>
          <w:szCs w:val="28"/>
          <w:highlight w:val="none"/>
        </w:rPr>
        <w:t>附件4（如有）：</w:t>
      </w:r>
    </w:p>
    <w:p w14:paraId="637E6659">
      <w:pPr>
        <w:spacing w:before="312" w:beforeLines="100" w:after="156" w:afterLines="50"/>
        <w:jc w:val="center"/>
        <w:rPr>
          <w:rFonts w:hAnsi="宋体" w:cs="宋体"/>
          <w:b/>
          <w:sz w:val="28"/>
          <w:szCs w:val="28"/>
          <w:highlight w:val="none"/>
        </w:rPr>
      </w:pPr>
      <w:r>
        <w:rPr>
          <w:rFonts w:hint="eastAsia" w:hAnsi="宋体" w:cs="宋体"/>
          <w:b/>
          <w:sz w:val="28"/>
          <w:szCs w:val="28"/>
          <w:highlight w:val="none"/>
        </w:rPr>
        <w:t>产品属节能、环境标志产品列表</w:t>
      </w:r>
    </w:p>
    <w:p w14:paraId="60CE7B8E">
      <w:pPr>
        <w:spacing w:line="360" w:lineRule="auto"/>
        <w:rPr>
          <w:rFonts w:hAnsi="宋体" w:cs="宋体"/>
          <w:bCs/>
          <w:szCs w:val="24"/>
          <w:highlight w:val="none"/>
        </w:rPr>
      </w:pPr>
      <w:r>
        <w:rPr>
          <w:rFonts w:hint="eastAsia" w:hAnsi="宋体" w:cs="宋体"/>
          <w:bCs/>
          <w:szCs w:val="24"/>
          <w:highlight w:val="none"/>
        </w:rPr>
        <w:t>项目名称：</w:t>
      </w:r>
    </w:p>
    <w:p w14:paraId="27C8AB27">
      <w:pPr>
        <w:spacing w:line="360" w:lineRule="auto"/>
        <w:rPr>
          <w:rFonts w:hAnsi="宋体" w:cs="宋体"/>
          <w:bCs/>
          <w:szCs w:val="24"/>
          <w:highlight w:val="none"/>
        </w:rPr>
      </w:pPr>
      <w:r>
        <w:rPr>
          <w:rFonts w:hint="eastAsia" w:hAnsi="宋体" w:cs="宋体"/>
          <w:bCs/>
          <w:szCs w:val="24"/>
          <w:highlight w:val="none"/>
        </w:rPr>
        <w:t>项目编号：</w:t>
      </w:r>
    </w:p>
    <w:tbl>
      <w:tblPr>
        <w:tblStyle w:val="23"/>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12320AA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C0DF5A6">
            <w:pPr>
              <w:spacing w:after="120"/>
              <w:jc w:val="center"/>
              <w:rPr>
                <w:rFonts w:hAnsi="宋体" w:cs="宋体"/>
                <w:highlight w:val="none"/>
              </w:rPr>
            </w:pPr>
            <w:r>
              <w:rPr>
                <w:rFonts w:hint="eastAsia" w:hAnsi="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4DCB2117">
            <w:pPr>
              <w:spacing w:after="120"/>
              <w:jc w:val="center"/>
              <w:rPr>
                <w:rFonts w:hAnsi="宋体" w:cs="宋体"/>
                <w:highlight w:val="none"/>
              </w:rPr>
            </w:pPr>
            <w:r>
              <w:rPr>
                <w:rFonts w:hint="eastAsia" w:hAnsi="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2F19586D">
            <w:pPr>
              <w:spacing w:before="156" w:beforeLines="50" w:after="120"/>
              <w:jc w:val="center"/>
              <w:rPr>
                <w:rFonts w:hAnsi="宋体" w:cs="宋体"/>
                <w:highlight w:val="none"/>
              </w:rPr>
            </w:pPr>
            <w:r>
              <w:rPr>
                <w:rFonts w:hint="eastAsia" w:hAnsi="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683CAFF8">
            <w:pPr>
              <w:spacing w:after="120"/>
              <w:jc w:val="center"/>
              <w:rPr>
                <w:rFonts w:hAnsi="宋体" w:cs="宋体"/>
                <w:highlight w:val="none"/>
              </w:rPr>
            </w:pPr>
            <w:r>
              <w:rPr>
                <w:rFonts w:hint="eastAsia" w:hAnsi="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216FFE63">
            <w:pPr>
              <w:spacing w:after="120"/>
              <w:jc w:val="center"/>
              <w:rPr>
                <w:rFonts w:hAnsi="宋体" w:cs="宋体"/>
                <w:highlight w:val="none"/>
              </w:rPr>
            </w:pPr>
            <w:r>
              <w:rPr>
                <w:rFonts w:hint="eastAsia" w:hAnsi="宋体" w:cs="宋体"/>
                <w:highlight w:val="none"/>
              </w:rPr>
              <w:t>单价</w:t>
            </w:r>
          </w:p>
          <w:p w14:paraId="7BFDC8A8">
            <w:pPr>
              <w:spacing w:after="120"/>
              <w:jc w:val="center"/>
              <w:rPr>
                <w:rFonts w:hAnsi="宋体" w:cs="宋体"/>
                <w:bCs/>
                <w:highlight w:val="none"/>
              </w:rPr>
            </w:pPr>
            <w:r>
              <w:rPr>
                <w:rFonts w:hint="eastAsia" w:hAnsi="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865EB30">
            <w:pPr>
              <w:spacing w:after="120"/>
              <w:jc w:val="center"/>
              <w:rPr>
                <w:rFonts w:hAnsi="宋体" w:cs="宋体"/>
                <w:bCs/>
                <w:highlight w:val="none"/>
              </w:rPr>
            </w:pPr>
            <w:r>
              <w:rPr>
                <w:rFonts w:hint="eastAsia" w:hAnsi="宋体" w:cs="宋体"/>
                <w:bCs/>
                <w:highlight w:val="none"/>
              </w:rPr>
              <w:t>总价</w:t>
            </w:r>
          </w:p>
          <w:p w14:paraId="2D230B9F">
            <w:pPr>
              <w:spacing w:after="120"/>
              <w:jc w:val="center"/>
              <w:rPr>
                <w:rFonts w:hAnsi="宋体" w:cs="宋体"/>
                <w:bCs/>
                <w:highlight w:val="none"/>
              </w:rPr>
            </w:pPr>
            <w:r>
              <w:rPr>
                <w:rFonts w:hint="eastAsia" w:hAnsi="宋体" w:cs="宋体"/>
                <w:bCs/>
                <w:highlight w:val="none"/>
              </w:rPr>
              <w:t>（元）</w:t>
            </w:r>
          </w:p>
        </w:tc>
      </w:tr>
      <w:tr w14:paraId="56612FF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893681E">
            <w:pPr>
              <w:spacing w:before="312" w:beforeLines="100"/>
              <w:jc w:val="center"/>
              <w:rPr>
                <w:rFonts w:hAnsi="宋体" w:cs="宋体"/>
                <w:highlight w:val="none"/>
              </w:rPr>
            </w:pPr>
            <w:r>
              <w:rPr>
                <w:rFonts w:hint="eastAsia" w:hAnsi="宋体" w:cs="宋体"/>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1EF745BE">
            <w:pPr>
              <w:spacing w:before="156" w:beforeLines="50"/>
              <w:jc w:val="center"/>
              <w:rPr>
                <w:rFonts w:hAnsi="宋体" w:cs="宋体"/>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40BF9FEF">
            <w:pPr>
              <w:spacing w:before="156" w:beforeLines="50"/>
              <w:jc w:val="center"/>
              <w:rPr>
                <w:rFonts w:hAnsi="宋体" w:cs="宋体"/>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F13CC29">
            <w:pPr>
              <w:spacing w:before="156" w:beforeLines="50"/>
              <w:jc w:val="center"/>
              <w:rPr>
                <w:rFonts w:hAnsi="宋体" w:cs="宋体"/>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24404BF0">
            <w:pPr>
              <w:spacing w:before="156" w:beforeLines="50"/>
              <w:jc w:val="center"/>
              <w:rPr>
                <w:rFonts w:hAnsi="宋体" w:cs="宋体"/>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19F718E2">
            <w:pPr>
              <w:spacing w:before="156" w:beforeLines="50"/>
              <w:jc w:val="center"/>
              <w:rPr>
                <w:rFonts w:hAnsi="宋体" w:cs="宋体"/>
                <w:highlight w:val="none"/>
              </w:rPr>
            </w:pPr>
          </w:p>
        </w:tc>
      </w:tr>
      <w:tr w14:paraId="03AB39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BF48157">
            <w:pPr>
              <w:spacing w:before="312" w:beforeLines="100"/>
              <w:jc w:val="center"/>
              <w:rPr>
                <w:rFonts w:hAnsi="宋体" w:cs="宋体"/>
                <w:highlight w:val="none"/>
              </w:rPr>
            </w:pPr>
            <w:r>
              <w:rPr>
                <w:rFonts w:hint="eastAsia" w:hAnsi="宋体" w:cs="宋体"/>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26D87669">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75AB63E">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95F8E40">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8FD3FA8">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4B88216B">
            <w:pPr>
              <w:spacing w:before="156" w:beforeLines="50"/>
              <w:jc w:val="center"/>
              <w:rPr>
                <w:rFonts w:hAnsi="宋体" w:cs="宋体"/>
                <w:highlight w:val="none"/>
              </w:rPr>
            </w:pPr>
          </w:p>
        </w:tc>
      </w:tr>
      <w:tr w14:paraId="32D63A4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75CA3E5">
            <w:pPr>
              <w:spacing w:before="312" w:beforeLines="100"/>
              <w:jc w:val="center"/>
              <w:rPr>
                <w:rFonts w:hAnsi="宋体" w:cs="宋体"/>
                <w:highlight w:val="none"/>
              </w:rPr>
            </w:pPr>
            <w:r>
              <w:rPr>
                <w:rFonts w:hint="eastAsia" w:hAnsi="宋体" w:cs="宋体"/>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73797F04">
            <w:pPr>
              <w:spacing w:before="312" w:beforeLines="10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D20E933">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2C1F8E9">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8A84252">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7500578">
            <w:pPr>
              <w:spacing w:before="156" w:beforeLines="50"/>
              <w:jc w:val="center"/>
              <w:rPr>
                <w:rFonts w:hAnsi="宋体" w:cs="宋体"/>
                <w:highlight w:val="none"/>
              </w:rPr>
            </w:pPr>
          </w:p>
        </w:tc>
      </w:tr>
      <w:tr w14:paraId="0A947AF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23409B1">
            <w:pPr>
              <w:spacing w:before="312" w:beforeLines="100"/>
              <w:jc w:val="center"/>
              <w:rPr>
                <w:rFonts w:hAnsi="宋体" w:cs="宋体"/>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6E2AFFB2">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0F33720E">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FB0F92A">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6EFAADC4">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0EAD5EA">
            <w:pPr>
              <w:spacing w:before="156" w:beforeLines="50"/>
              <w:jc w:val="center"/>
              <w:rPr>
                <w:rFonts w:hAnsi="宋体" w:cs="宋体"/>
                <w:highlight w:val="none"/>
              </w:rPr>
            </w:pPr>
          </w:p>
        </w:tc>
      </w:tr>
      <w:tr w14:paraId="72F48F1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3F7AD3D">
            <w:pPr>
              <w:spacing w:before="312" w:beforeLines="100"/>
              <w:jc w:val="center"/>
              <w:rPr>
                <w:rFonts w:hAnsi="宋体" w:cs="宋体"/>
                <w:b/>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65AE7370">
            <w:pPr>
              <w:spacing w:before="156" w:beforeLines="50"/>
              <w:jc w:val="center"/>
              <w:rPr>
                <w:rFonts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0B882C1">
            <w:pPr>
              <w:spacing w:before="156" w:beforeLines="50"/>
              <w:jc w:val="center"/>
              <w:rPr>
                <w:rFonts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89249C3">
            <w:pPr>
              <w:spacing w:before="156" w:beforeLines="50"/>
              <w:jc w:val="center"/>
              <w:rPr>
                <w:rFonts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A6344DB">
            <w:pPr>
              <w:spacing w:before="156" w:beforeLines="50"/>
              <w:jc w:val="center"/>
              <w:rPr>
                <w:rFonts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BFE0C8E">
            <w:pPr>
              <w:spacing w:before="156" w:beforeLines="50"/>
              <w:jc w:val="center"/>
              <w:rPr>
                <w:rFonts w:hAnsi="宋体" w:cs="宋体"/>
                <w:highlight w:val="none"/>
              </w:rPr>
            </w:pPr>
          </w:p>
        </w:tc>
      </w:tr>
      <w:tr w14:paraId="0BC750F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4C3C6783">
            <w:pPr>
              <w:jc w:val="center"/>
              <w:rPr>
                <w:rFonts w:hAnsi="宋体" w:cs="宋体"/>
                <w:highlight w:val="none"/>
              </w:rPr>
            </w:pPr>
            <w:r>
              <w:rPr>
                <w:rFonts w:hint="eastAsia" w:hAnsi="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295D0B40">
            <w:pPr>
              <w:spacing w:before="156" w:beforeLines="50"/>
              <w:jc w:val="left"/>
              <w:rPr>
                <w:rFonts w:hAnsi="宋体" w:cs="宋体"/>
                <w:highlight w:val="none"/>
              </w:rPr>
            </w:pPr>
            <w:r>
              <w:rPr>
                <w:rFonts w:hint="eastAsia" w:hAnsi="宋体" w:cs="宋体"/>
                <w:highlight w:val="none"/>
              </w:rPr>
              <w:t>大写：                                小写：</w:t>
            </w:r>
          </w:p>
        </w:tc>
      </w:tr>
      <w:tr w14:paraId="1CC5247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61C2BB0">
            <w:pPr>
              <w:jc w:val="center"/>
              <w:rPr>
                <w:rFonts w:hAnsi="宋体" w:cs="宋体"/>
                <w:highlight w:val="none"/>
              </w:rPr>
            </w:pPr>
            <w:r>
              <w:rPr>
                <w:rFonts w:hint="eastAsia" w:hAnsi="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20EA8C8F">
            <w:pPr>
              <w:spacing w:before="156" w:beforeLines="50"/>
              <w:jc w:val="center"/>
              <w:rPr>
                <w:rFonts w:hAnsi="宋体" w:cs="宋体"/>
                <w:highlight w:val="none"/>
              </w:rPr>
            </w:pPr>
            <w:r>
              <w:rPr>
                <w:rFonts w:hint="eastAsia" w:hAnsi="宋体" w:cs="宋体"/>
                <w:spacing w:val="-6"/>
                <w:highlight w:val="none"/>
              </w:rPr>
              <w:t>保留小数点后两位。</w:t>
            </w:r>
          </w:p>
        </w:tc>
      </w:tr>
    </w:tbl>
    <w:p w14:paraId="4B960E61">
      <w:pPr>
        <w:adjustRightInd w:val="0"/>
        <w:snapToGrid w:val="0"/>
        <w:spacing w:line="360" w:lineRule="auto"/>
        <w:rPr>
          <w:rFonts w:hAnsi="宋体" w:cs="宋体"/>
          <w:szCs w:val="21"/>
          <w:highlight w:val="none"/>
        </w:rPr>
      </w:pPr>
    </w:p>
    <w:p w14:paraId="352CF889">
      <w:pPr>
        <w:adjustRightInd w:val="0"/>
        <w:snapToGrid w:val="0"/>
        <w:spacing w:line="360" w:lineRule="auto"/>
        <w:rPr>
          <w:rFonts w:hAnsi="宋体" w:cs="宋体"/>
          <w:bCs/>
          <w:szCs w:val="21"/>
          <w:highlight w:val="none"/>
        </w:rPr>
      </w:pPr>
      <w:r>
        <w:rPr>
          <w:rFonts w:hint="eastAsia" w:hAnsi="宋体" w:cs="宋体"/>
          <w:szCs w:val="21"/>
          <w:highlight w:val="none"/>
        </w:rPr>
        <w:t>说明：</w:t>
      </w:r>
      <w:r>
        <w:rPr>
          <w:rFonts w:hint="eastAsia" w:hAnsi="宋体" w:cs="宋体"/>
          <w:bCs/>
          <w:szCs w:val="21"/>
          <w:highlight w:val="none"/>
        </w:rPr>
        <w:t>1、</w:t>
      </w:r>
      <w:r>
        <w:rPr>
          <w:rFonts w:hint="eastAsia" w:hAnsi="宋体" w:cs="宋体"/>
          <w:szCs w:val="21"/>
          <w:highlight w:val="none"/>
        </w:rPr>
        <w:t>供应商提供的属于节能、环境标志产品品目清单中优先采购的产品，须按招标文件要求提供相关证明材料。</w:t>
      </w:r>
    </w:p>
    <w:p w14:paraId="116A872C">
      <w:pPr>
        <w:pStyle w:val="50"/>
        <w:spacing w:line="400" w:lineRule="exact"/>
        <w:ind w:left="480" w:leftChars="200" w:firstLine="240" w:firstLineChars="100"/>
        <w:rPr>
          <w:rFonts w:hAnsi="宋体" w:cs="宋体"/>
          <w:sz w:val="28"/>
          <w:szCs w:val="28"/>
          <w:highlight w:val="none"/>
        </w:rPr>
      </w:pPr>
      <w:r>
        <w:rPr>
          <w:rFonts w:hint="eastAsia" w:hAnsi="宋体" w:cs="宋体"/>
          <w:bCs/>
          <w:highlight w:val="none"/>
        </w:rPr>
        <w:t>2、未按上述要求提供、</w:t>
      </w:r>
      <w:r>
        <w:rPr>
          <w:rFonts w:hint="eastAsia" w:hAnsi="宋体" w:cs="宋体"/>
          <w:highlight w:val="none"/>
        </w:rPr>
        <w:t>填写</w:t>
      </w:r>
      <w:r>
        <w:rPr>
          <w:rFonts w:hint="eastAsia" w:hAnsi="宋体" w:cs="宋体"/>
          <w:bCs/>
          <w:highlight w:val="none"/>
        </w:rPr>
        <w:t>的，评审时不予以考虑。</w:t>
      </w:r>
    </w:p>
    <w:p w14:paraId="2C1AC5A9">
      <w:pPr>
        <w:spacing w:before="100" w:beforeAutospacing="1" w:after="156" w:afterLines="50" w:line="360" w:lineRule="auto"/>
        <w:rPr>
          <w:rFonts w:hAnsi="宋体" w:cs="宋体"/>
          <w:b/>
          <w:bCs/>
          <w:spacing w:val="6"/>
          <w:sz w:val="30"/>
          <w:szCs w:val="30"/>
          <w:highlight w:val="none"/>
        </w:rPr>
      </w:pPr>
      <w:r>
        <w:rPr>
          <w:rFonts w:hint="eastAsia" w:hAnsi="宋体" w:cs="宋体"/>
          <w:szCs w:val="24"/>
          <w:highlight w:val="none"/>
        </w:rPr>
        <w:br w:type="page"/>
      </w:r>
      <w:r>
        <w:rPr>
          <w:rFonts w:hint="eastAsia" w:hAnsi="宋体" w:cs="宋体"/>
          <w:b/>
          <w:bCs/>
          <w:spacing w:val="6"/>
          <w:sz w:val="30"/>
          <w:szCs w:val="30"/>
          <w:highlight w:val="none"/>
        </w:rPr>
        <w:t>附件5（如有）：</w:t>
      </w:r>
    </w:p>
    <w:p w14:paraId="5445CDFD">
      <w:pPr>
        <w:spacing w:line="588" w:lineRule="exact"/>
        <w:jc w:val="center"/>
        <w:rPr>
          <w:rFonts w:hAnsi="宋体" w:cs="宋体"/>
          <w:b/>
          <w:spacing w:val="6"/>
          <w:sz w:val="32"/>
          <w:szCs w:val="32"/>
          <w:highlight w:val="none"/>
        </w:rPr>
      </w:pPr>
      <w:bookmarkStart w:id="210" w:name="OLE_LINK14"/>
      <w:bookmarkStart w:id="211" w:name="OLE_LINK13"/>
      <w:r>
        <w:rPr>
          <w:rFonts w:hint="eastAsia" w:hAnsi="宋体" w:cs="宋体"/>
          <w:b/>
          <w:spacing w:val="6"/>
          <w:sz w:val="32"/>
          <w:szCs w:val="32"/>
          <w:highlight w:val="none"/>
        </w:rPr>
        <w:t>残疾人福利性单位声明函</w:t>
      </w:r>
    </w:p>
    <w:bookmarkEnd w:id="210"/>
    <w:bookmarkEnd w:id="211"/>
    <w:p w14:paraId="72729EC6">
      <w:pPr>
        <w:spacing w:line="588" w:lineRule="exact"/>
        <w:rPr>
          <w:rFonts w:hAnsi="宋体" w:cs="宋体"/>
          <w:b/>
          <w:spacing w:val="6"/>
          <w:sz w:val="30"/>
          <w:szCs w:val="30"/>
          <w:highlight w:val="none"/>
        </w:rPr>
      </w:pPr>
    </w:p>
    <w:p w14:paraId="372CF365">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298E8E">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6E372FE3">
      <w:pPr>
        <w:spacing w:line="588" w:lineRule="exact"/>
        <w:ind w:firstLine="504" w:firstLineChars="200"/>
        <w:rPr>
          <w:rFonts w:hAnsi="宋体" w:cs="宋体"/>
          <w:spacing w:val="6"/>
          <w:szCs w:val="24"/>
          <w:highlight w:val="none"/>
        </w:rPr>
      </w:pPr>
    </w:p>
    <w:p w14:paraId="788BDB4E">
      <w:pPr>
        <w:spacing w:line="588" w:lineRule="exact"/>
        <w:ind w:firstLine="504" w:firstLineChars="200"/>
        <w:rPr>
          <w:rFonts w:hAnsi="宋体" w:cs="宋体"/>
          <w:spacing w:val="6"/>
          <w:szCs w:val="24"/>
          <w:highlight w:val="none"/>
        </w:rPr>
      </w:pPr>
    </w:p>
    <w:p w14:paraId="20170CB6">
      <w:pPr>
        <w:spacing w:line="588" w:lineRule="exact"/>
        <w:ind w:firstLine="504" w:firstLineChars="200"/>
        <w:rPr>
          <w:rFonts w:hAnsi="宋体" w:cs="宋体"/>
          <w:spacing w:val="6"/>
          <w:szCs w:val="24"/>
          <w:highlight w:val="none"/>
        </w:rPr>
      </w:pPr>
    </w:p>
    <w:p w14:paraId="11876828">
      <w:pPr>
        <w:spacing w:line="588" w:lineRule="exact"/>
        <w:ind w:firstLine="504" w:firstLineChars="200"/>
        <w:rPr>
          <w:rFonts w:hAnsi="宋体" w:cs="宋体"/>
          <w:spacing w:val="6"/>
          <w:szCs w:val="24"/>
          <w:highlight w:val="none"/>
        </w:rPr>
      </w:pPr>
    </w:p>
    <w:p w14:paraId="61749C8E">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1F4E56E7">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7747CBAF">
      <w:pPr>
        <w:spacing w:line="360" w:lineRule="auto"/>
        <w:rPr>
          <w:rFonts w:hAnsi="宋体" w:cs="宋体"/>
          <w:b/>
          <w:sz w:val="28"/>
          <w:szCs w:val="28"/>
          <w:highlight w:val="none"/>
        </w:rPr>
      </w:pPr>
      <w:r>
        <w:rPr>
          <w:rFonts w:hint="eastAsia" w:hAnsi="宋体" w:cs="宋体"/>
          <w:highlight w:val="none"/>
        </w:rPr>
        <w:br w:type="page"/>
      </w:r>
      <w:r>
        <w:rPr>
          <w:rFonts w:hint="eastAsia" w:hAnsi="宋体" w:cs="宋体"/>
          <w:b/>
          <w:sz w:val="28"/>
          <w:szCs w:val="28"/>
          <w:highlight w:val="none"/>
        </w:rPr>
        <w:t>附件6：</w:t>
      </w:r>
    </w:p>
    <w:p w14:paraId="1F653B5B">
      <w:pPr>
        <w:jc w:val="center"/>
        <w:rPr>
          <w:rFonts w:hAnsi="宋体" w:cs="宋体"/>
          <w:b/>
          <w:bCs/>
          <w:sz w:val="44"/>
          <w:szCs w:val="44"/>
          <w:highlight w:val="none"/>
        </w:rPr>
      </w:pPr>
      <w:r>
        <w:rPr>
          <w:rFonts w:hint="eastAsia" w:hAnsi="宋体" w:cs="宋体"/>
          <w:b/>
          <w:bCs/>
          <w:sz w:val="44"/>
          <w:szCs w:val="44"/>
          <w:highlight w:val="none"/>
        </w:rPr>
        <w:t>质疑函范本</w:t>
      </w:r>
    </w:p>
    <w:p w14:paraId="26962661">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0B97CF6">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4509686B">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4B412C1">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4009F2C">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5CED16EC">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73A2B9B8">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9169127">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8B7140">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7B9AFD39">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44EE500B">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4358D0D">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798F80EC">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5984F5F4">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7DD60F99">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64BE6B15">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135925CE">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72C85F1E">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1EF636CA">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309CA4DA">
      <w:pPr>
        <w:adjustRightInd w:val="0"/>
        <w:snapToGrid w:val="0"/>
        <w:spacing w:line="360" w:lineRule="auto"/>
        <w:rPr>
          <w:rFonts w:hAnsi="宋体" w:cs="宋体"/>
          <w:szCs w:val="24"/>
          <w:highlight w:val="none"/>
        </w:rPr>
      </w:pPr>
      <w:r>
        <w:rPr>
          <w:rFonts w:hint="eastAsia" w:hAnsi="宋体" w:cs="宋体"/>
          <w:szCs w:val="24"/>
          <w:highlight w:val="none"/>
        </w:rPr>
        <w:t>……</w:t>
      </w:r>
    </w:p>
    <w:p w14:paraId="751CEFE3">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25221311">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0292E05D">
      <w:pPr>
        <w:rPr>
          <w:rFonts w:hAnsi="宋体" w:cs="宋体"/>
          <w:szCs w:val="24"/>
          <w:highlight w:val="none"/>
        </w:rPr>
      </w:pPr>
      <w:r>
        <w:rPr>
          <w:rFonts w:hint="eastAsia" w:hAnsi="宋体" w:cs="宋体"/>
          <w:szCs w:val="24"/>
          <w:highlight w:val="none"/>
        </w:rPr>
        <w:t xml:space="preserve">签字(签章)：                   公章：                      </w:t>
      </w:r>
    </w:p>
    <w:p w14:paraId="3AD1DD9E">
      <w:pPr>
        <w:rPr>
          <w:rFonts w:hAnsi="宋体" w:cs="宋体"/>
          <w:szCs w:val="24"/>
          <w:highlight w:val="none"/>
        </w:rPr>
      </w:pPr>
      <w:r>
        <w:rPr>
          <w:rFonts w:hint="eastAsia" w:hAnsi="宋体" w:cs="宋体"/>
          <w:szCs w:val="24"/>
          <w:highlight w:val="none"/>
        </w:rPr>
        <w:t xml:space="preserve">日期：    </w:t>
      </w:r>
    </w:p>
    <w:p w14:paraId="54EF63BC">
      <w:pPr>
        <w:jc w:val="center"/>
        <w:rPr>
          <w:rFonts w:hAnsi="宋体" w:cs="宋体"/>
          <w:b/>
          <w:sz w:val="44"/>
          <w:szCs w:val="44"/>
          <w:highlight w:val="none"/>
        </w:rPr>
      </w:pPr>
    </w:p>
    <w:p w14:paraId="7D6AAAD3">
      <w:pPr>
        <w:rPr>
          <w:rFonts w:hAnsi="宋体" w:cs="宋体"/>
          <w:b/>
          <w:sz w:val="44"/>
          <w:szCs w:val="44"/>
          <w:highlight w:val="none"/>
        </w:rPr>
      </w:pPr>
      <w:r>
        <w:rPr>
          <w:rFonts w:hint="eastAsia" w:hAnsi="宋体" w:cs="宋体"/>
          <w:b/>
          <w:sz w:val="44"/>
          <w:szCs w:val="44"/>
          <w:highlight w:val="none"/>
        </w:rPr>
        <w:br w:type="page"/>
      </w:r>
    </w:p>
    <w:p w14:paraId="1D574E70">
      <w:pPr>
        <w:jc w:val="center"/>
        <w:rPr>
          <w:rFonts w:hAnsi="宋体" w:cs="宋体"/>
          <w:b/>
          <w:sz w:val="44"/>
          <w:szCs w:val="44"/>
          <w:highlight w:val="none"/>
        </w:rPr>
      </w:pPr>
      <w:r>
        <w:rPr>
          <w:rFonts w:hint="eastAsia" w:hAnsi="宋体" w:cs="宋体"/>
          <w:b/>
          <w:sz w:val="44"/>
          <w:szCs w:val="44"/>
          <w:highlight w:val="none"/>
        </w:rPr>
        <w:t>投诉书范本</w:t>
      </w:r>
    </w:p>
    <w:p w14:paraId="272E9B44">
      <w:pPr>
        <w:rPr>
          <w:rFonts w:hAnsi="宋体" w:cs="宋体"/>
          <w:szCs w:val="24"/>
          <w:highlight w:val="none"/>
        </w:rPr>
      </w:pPr>
      <w:r>
        <w:rPr>
          <w:rFonts w:hint="eastAsia" w:hAnsi="宋体" w:cs="宋体"/>
          <w:szCs w:val="24"/>
          <w:highlight w:val="none"/>
        </w:rPr>
        <w:t>一、投诉相关主体基本情况</w:t>
      </w:r>
    </w:p>
    <w:p w14:paraId="3451BB15">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29F7103A">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4A9F5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4DA40C4C">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5169D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23C5A93E">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17513DB1">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FD96CE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DD7BD8A">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90B60F7">
      <w:pPr>
        <w:rPr>
          <w:rFonts w:hAnsi="宋体" w:cs="宋体"/>
          <w:szCs w:val="24"/>
          <w:highlight w:val="none"/>
        </w:rPr>
      </w:pPr>
      <w:r>
        <w:rPr>
          <w:rFonts w:hint="eastAsia" w:hAnsi="宋体" w:cs="宋体"/>
          <w:szCs w:val="24"/>
          <w:highlight w:val="none"/>
        </w:rPr>
        <w:t>被投诉人2</w:t>
      </w:r>
    </w:p>
    <w:p w14:paraId="63CCBE79">
      <w:pPr>
        <w:rPr>
          <w:rFonts w:hAnsi="宋体" w:cs="宋体"/>
          <w:szCs w:val="24"/>
          <w:highlight w:val="none"/>
          <w:u w:val="dotted"/>
        </w:rPr>
      </w:pPr>
      <w:r>
        <w:rPr>
          <w:rFonts w:hint="eastAsia" w:hAnsi="宋体" w:cs="宋体"/>
          <w:szCs w:val="24"/>
          <w:highlight w:val="none"/>
        </w:rPr>
        <w:t>……</w:t>
      </w:r>
    </w:p>
    <w:p w14:paraId="4961B1F6">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0977E6C">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43159D2">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4892C65">
      <w:pPr>
        <w:rPr>
          <w:rFonts w:hAnsi="宋体" w:cs="宋体"/>
          <w:szCs w:val="24"/>
          <w:highlight w:val="none"/>
        </w:rPr>
      </w:pPr>
      <w:r>
        <w:rPr>
          <w:rFonts w:hint="eastAsia" w:hAnsi="宋体" w:cs="宋体"/>
          <w:szCs w:val="24"/>
          <w:highlight w:val="none"/>
        </w:rPr>
        <w:t>二、投诉项目基本情况</w:t>
      </w:r>
    </w:p>
    <w:p w14:paraId="4521723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2ED02BFC">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336445CE">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6AA22DA">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09637611">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BB5B482">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4FD03CA">
      <w:pPr>
        <w:rPr>
          <w:rFonts w:hAnsi="宋体" w:cs="宋体"/>
          <w:szCs w:val="24"/>
          <w:highlight w:val="none"/>
        </w:rPr>
      </w:pPr>
      <w:r>
        <w:rPr>
          <w:rFonts w:hint="eastAsia" w:hAnsi="宋体" w:cs="宋体"/>
          <w:szCs w:val="24"/>
          <w:highlight w:val="none"/>
        </w:rPr>
        <w:t>三、质疑基本情况</w:t>
      </w:r>
    </w:p>
    <w:p w14:paraId="2C0498A4">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44EE81E1">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49759449">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06FDC18">
      <w:pPr>
        <w:rPr>
          <w:rFonts w:hAnsi="宋体" w:cs="宋体"/>
          <w:szCs w:val="24"/>
          <w:highlight w:val="none"/>
        </w:rPr>
      </w:pPr>
      <w:r>
        <w:rPr>
          <w:rFonts w:hint="eastAsia" w:hAnsi="宋体" w:cs="宋体"/>
          <w:szCs w:val="24"/>
          <w:highlight w:val="none"/>
        </w:rPr>
        <w:t>四、投诉事项具体内容</w:t>
      </w:r>
    </w:p>
    <w:p w14:paraId="4EDFF66B">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1563DE3C">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070FF3DF">
      <w:pPr>
        <w:rPr>
          <w:rFonts w:hAnsi="宋体" w:cs="宋体"/>
          <w:szCs w:val="24"/>
          <w:highlight w:val="none"/>
          <w:u w:val="dotted"/>
        </w:rPr>
      </w:pPr>
      <w:r>
        <w:rPr>
          <w:rFonts w:hint="eastAsia" w:hAnsi="宋体" w:cs="宋体"/>
          <w:szCs w:val="24"/>
          <w:highlight w:val="none"/>
          <w:u w:val="dotted"/>
        </w:rPr>
        <w:t xml:space="preserve">                                                      </w:t>
      </w:r>
    </w:p>
    <w:p w14:paraId="57F74481">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78850BD8">
      <w:pPr>
        <w:rPr>
          <w:rFonts w:hAnsi="宋体" w:cs="宋体"/>
          <w:szCs w:val="24"/>
          <w:highlight w:val="none"/>
          <w:u w:val="dotted"/>
        </w:rPr>
      </w:pPr>
      <w:r>
        <w:rPr>
          <w:rFonts w:hint="eastAsia" w:hAnsi="宋体" w:cs="宋体"/>
          <w:szCs w:val="24"/>
          <w:highlight w:val="none"/>
          <w:u w:val="dotted"/>
        </w:rPr>
        <w:t xml:space="preserve">                                                      </w:t>
      </w:r>
    </w:p>
    <w:p w14:paraId="1BBF17D5">
      <w:pPr>
        <w:rPr>
          <w:rFonts w:hAnsi="宋体" w:cs="宋体"/>
          <w:szCs w:val="24"/>
          <w:highlight w:val="none"/>
        </w:rPr>
      </w:pPr>
      <w:r>
        <w:rPr>
          <w:rFonts w:hint="eastAsia" w:hAnsi="宋体" w:cs="宋体"/>
          <w:szCs w:val="24"/>
          <w:highlight w:val="none"/>
        </w:rPr>
        <w:t>投诉事项2</w:t>
      </w:r>
    </w:p>
    <w:p w14:paraId="441341A3">
      <w:pPr>
        <w:rPr>
          <w:rFonts w:hAnsi="宋体" w:cs="宋体"/>
          <w:szCs w:val="24"/>
          <w:highlight w:val="none"/>
          <w:u w:val="dotted"/>
        </w:rPr>
      </w:pPr>
      <w:r>
        <w:rPr>
          <w:rFonts w:hint="eastAsia" w:hAnsi="宋体" w:cs="宋体"/>
          <w:szCs w:val="24"/>
          <w:highlight w:val="none"/>
        </w:rPr>
        <w:t>……</w:t>
      </w:r>
    </w:p>
    <w:p w14:paraId="6BDF730B">
      <w:pPr>
        <w:rPr>
          <w:rFonts w:hAnsi="宋体" w:cs="宋体"/>
          <w:szCs w:val="24"/>
          <w:highlight w:val="none"/>
        </w:rPr>
      </w:pPr>
      <w:r>
        <w:rPr>
          <w:rFonts w:hint="eastAsia" w:hAnsi="宋体" w:cs="宋体"/>
          <w:szCs w:val="24"/>
          <w:highlight w:val="none"/>
        </w:rPr>
        <w:t>五、与投诉事项相关的投诉请求</w:t>
      </w:r>
    </w:p>
    <w:p w14:paraId="5BDF6C23">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6DB07CAF">
      <w:pPr>
        <w:rPr>
          <w:rFonts w:hAnsi="宋体" w:cs="宋体"/>
          <w:szCs w:val="24"/>
          <w:highlight w:val="none"/>
          <w:u w:val="single"/>
        </w:rPr>
      </w:pPr>
      <w:r>
        <w:rPr>
          <w:rFonts w:hint="eastAsia" w:hAnsi="宋体" w:cs="宋体"/>
          <w:szCs w:val="24"/>
          <w:highlight w:val="none"/>
        </w:rPr>
        <w:t xml:space="preserve">                                                                                                    </w:t>
      </w:r>
    </w:p>
    <w:p w14:paraId="6DEC01D5">
      <w:pPr>
        <w:rPr>
          <w:rFonts w:hAnsi="宋体" w:cs="宋体"/>
          <w:szCs w:val="24"/>
          <w:highlight w:val="none"/>
        </w:rPr>
      </w:pPr>
      <w:r>
        <w:rPr>
          <w:rFonts w:hint="eastAsia" w:hAnsi="宋体" w:cs="宋体"/>
          <w:szCs w:val="24"/>
          <w:highlight w:val="none"/>
        </w:rPr>
        <w:t xml:space="preserve">签字(签章)：                   公章：                      </w:t>
      </w:r>
    </w:p>
    <w:p w14:paraId="5E90505A">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14:paraId="401EB4AC">
      <w:pPr>
        <w:rPr>
          <w:highlight w:val="none"/>
        </w:rPr>
      </w:pPr>
    </w:p>
    <w:p w14:paraId="41A3B328">
      <w:pPr>
        <w:rPr>
          <w:highlight w:val="none"/>
        </w:rPr>
      </w:pPr>
    </w:p>
    <w:sectPr>
      <w:pgSz w:w="11906" w:h="16838"/>
      <w:pgMar w:top="1361" w:right="1417" w:bottom="136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C7F7">
    <w:pPr>
      <w:pStyle w:val="16"/>
      <w:jc w:val="both"/>
    </w:pPr>
    <w:r>
      <w:rPr>
        <w:rFonts w:hint="eastAsia"/>
      </w:rPr>
      <w:t xml:space="preserve">陕西至诚项目管理集团有限公司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DD4E">
    <w:pPr>
      <w:tabs>
        <w:tab w:val="left" w:pos="5646"/>
      </w:tabs>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C438">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2AC438">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B7C9BF">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14:paraId="22B7C9BF">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A89D7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14:paraId="27A89D70">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708F61">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q6PAjxwEAAJ0DAAAOAAAAAAAAAAEAIAAAACMBAABkcnMvZTJv&#10;RG9jLnhtbFBLBQYAAAAABgAGAFkBAABcBQAAAAA=&#10;">
              <v:fill on="f" focussize="0,0"/>
              <v:stroke on="f"/>
              <v:imagedata o:title=""/>
              <o:lock v:ext="edit" aspectratio="f"/>
              <v:textbox inset="0mm,0mm,0mm,0mm" style="mso-fit-shape-to-text:t;">
                <w:txbxContent>
                  <w:p w14:paraId="03708F61">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105138">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sP5WRxwEAAJ0DAAAOAAAAAAAAAAEAIAAAACMBAABkcnMvZTJv&#10;RG9jLnhtbFBLBQYAAAAABgAGAFkBAABcBQAAAAA=&#10;">
              <v:fill on="f" focussize="0,0"/>
              <v:stroke on="f"/>
              <v:imagedata o:title=""/>
              <o:lock v:ext="edit" aspectratio="f"/>
              <v:textbox inset="0mm,0mm,0mm,0mm" style="mso-fit-shape-to-text:t;">
                <w:txbxContent>
                  <w:p w14:paraId="2C105138">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22BF9D">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1622BF9D">
                    <w:pPr>
                      <w:snapToGrid w:val="0"/>
                      <w:rPr>
                        <w:sz w:val="18"/>
                      </w:rPr>
                    </w:pPr>
                  </w:p>
                </w:txbxContent>
              </v:textbox>
            </v:shape>
          </w:pict>
        </mc:Fallback>
      </mc:AlternateContent>
    </w:r>
    <w:r>
      <w:rPr>
        <w:rFonts w:hint="eastAsia"/>
        <w:sz w:val="18"/>
        <w:szCs w:val="18"/>
      </w:rPr>
      <w:t>陕西省西安市经济技术开发区未央路171-1号银池道拉斯财富中心21楼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375A">
    <w:pPr>
      <w:tabs>
        <w:tab w:val="left" w:pos="564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45797">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A45797">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71124C">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438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14:paraId="5071124C">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0A8E">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88E42">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088E42">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3A03">
    <w:pPr>
      <w:pBdr>
        <w:bottom w:val="single" w:color="auto" w:sz="4" w:space="0"/>
      </w:pBdr>
      <w:rPr>
        <w:rFonts w:hAnsi="宋体"/>
        <w:sz w:val="18"/>
        <w:szCs w:val="18"/>
      </w:rPr>
    </w:pPr>
    <w:r>
      <w:rPr>
        <w:rFonts w:hint="eastAsia" w:hAnsi="宋体"/>
        <w:sz w:val="18"/>
      </w:rPr>
      <w:t xml:space="preserve"> </w:t>
    </w:r>
    <w:r>
      <w:rPr>
        <w:rFonts w:hint="eastAsia" w:asciiTheme="minorEastAsia" w:hAnsiTheme="minorEastAsia" w:eastAsiaTheme="minorEastAsia" w:cstheme="minorEastAsia"/>
        <w:sz w:val="18"/>
        <w:szCs w:val="18"/>
        <w:lang w:eastAsia="zh-CN"/>
      </w:rPr>
      <w:t>汉中市人民医院互联网二期升级改造（银医合作）采购项目</w:t>
    </w:r>
    <w:r>
      <w:rPr>
        <w:rFonts w:hint="eastAsia" w:hAnsi="宋体"/>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8BAE">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B6C0">
    <w:pPr>
      <w:pStyle w:val="17"/>
      <w:pBdr>
        <w:bottom w:val="single" w:color="auto" w:sz="4" w:space="1"/>
      </w:pBdr>
      <w:tabs>
        <w:tab w:val="left" w:pos="2307"/>
        <w:tab w:val="clear" w:pos="4153"/>
      </w:tabs>
      <w:jc w:val="left"/>
      <w:rPr>
        <w:rFonts w:ascii="宋体" w:hAnsi="宋体" w:cs="宋体"/>
        <w:sz w:val="16"/>
        <w:szCs w:val="16"/>
      </w:rPr>
    </w:pPr>
    <w:r>
      <w:rPr>
        <w:rFonts w:hint="eastAsia" w:ascii="宋体" w:hAnsi="宋体" w:cs="宋体"/>
        <w:lang w:eastAsia="zh-CN"/>
      </w:rPr>
      <w:t>汉中市人民医院互联网二期升级改造（银医合作）采购项目</w:t>
    </w:r>
    <w:r>
      <w:rPr>
        <w:rFonts w:hint="eastAsia" w:ascii="宋体" w:hAnsi="宋体" w:cs="宋体"/>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D9EA">
    <w:pPr>
      <w:pStyle w:val="1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0C024"/>
    <w:multiLevelType w:val="singleLevel"/>
    <w:tmpl w:val="8870C024"/>
    <w:lvl w:ilvl="0" w:tentative="0">
      <w:start w:val="1"/>
      <w:numFmt w:val="decimal"/>
      <w:suff w:val="nothing"/>
      <w:lvlText w:val="（%1）"/>
      <w:lvlJc w:val="left"/>
    </w:lvl>
  </w:abstractNum>
  <w:abstractNum w:abstractNumId="1">
    <w:nsid w:val="FBD7AE94"/>
    <w:multiLevelType w:val="singleLevel"/>
    <w:tmpl w:val="FBD7AE94"/>
    <w:lvl w:ilvl="0" w:tentative="0">
      <w:start w:val="1"/>
      <w:numFmt w:val="decimal"/>
      <w:suff w:val="space"/>
      <w:lvlText w:val="%1."/>
      <w:lvlJc w:val="left"/>
    </w:lvl>
  </w:abstractNum>
  <w:abstractNum w:abstractNumId="2">
    <w:nsid w:val="14B66CD3"/>
    <w:multiLevelType w:val="singleLevel"/>
    <w:tmpl w:val="14B66CD3"/>
    <w:lvl w:ilvl="0" w:tentative="0">
      <w:start w:val="1"/>
      <w:numFmt w:val="chineseCounting"/>
      <w:suff w:val="nothing"/>
      <w:lvlText w:val="%1、"/>
      <w:lvlJc w:val="left"/>
      <w:rPr>
        <w:rFonts w:hint="eastAsia"/>
      </w:rPr>
    </w:lvl>
  </w:abstractNum>
  <w:abstractNum w:abstractNumId="3">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B25AF4"/>
    <w:multiLevelType w:val="singleLevel"/>
    <w:tmpl w:val="59B25AF4"/>
    <w:lvl w:ilvl="0" w:tentative="0">
      <w:start w:val="1"/>
      <w:numFmt w:val="decimal"/>
      <w:suff w:val="nothing"/>
      <w:lvlText w:val="（%1）"/>
      <w:lvlJc w:val="left"/>
    </w:lvl>
  </w:abstractNum>
  <w:abstractNum w:abstractNumId="8">
    <w:nsid w:val="59B64AF0"/>
    <w:multiLevelType w:val="singleLevel"/>
    <w:tmpl w:val="59B64AF0"/>
    <w:lvl w:ilvl="0" w:tentative="0">
      <w:start w:val="16"/>
      <w:numFmt w:val="decimal"/>
      <w:suff w:val="nothing"/>
      <w:lvlText w:val="%1."/>
      <w:lvlJc w:val="left"/>
    </w:lvl>
  </w:abstractNum>
  <w:abstractNum w:abstractNumId="9">
    <w:nsid w:val="627893D0"/>
    <w:multiLevelType w:val="singleLevel"/>
    <w:tmpl w:val="627893D0"/>
    <w:lvl w:ilvl="0" w:tentative="0">
      <w:start w:val="1"/>
      <w:numFmt w:val="chineseCounting"/>
      <w:suff w:val="nothing"/>
      <w:lvlText w:val="%1、"/>
      <w:lvlJc w:val="left"/>
    </w:lvl>
  </w:abstractNum>
  <w:abstractNum w:abstractNumId="10">
    <w:nsid w:val="63A32605"/>
    <w:multiLevelType w:val="multilevel"/>
    <w:tmpl w:val="63A32605"/>
    <w:lvl w:ilvl="0" w:tentative="0">
      <w:start w:val="1"/>
      <w:numFmt w:val="decimal"/>
      <w:suff w:val="nothing"/>
      <w:lvlText w:val="%1 "/>
      <w:lvlJc w:val="left"/>
      <w:pPr>
        <w:ind w:left="425" w:hanging="425"/>
      </w:pPr>
      <w:rPr>
        <w:rFonts w:hint="eastAsia" w:ascii="微软雅黑" w:hAnsi="微软雅黑" w:eastAsia="微软雅黑"/>
        <w:b/>
        <w:i w:val="0"/>
        <w:sz w:val="28"/>
        <w:szCs w:val="28"/>
      </w:rPr>
    </w:lvl>
    <w:lvl w:ilvl="1" w:tentative="0">
      <w:start w:val="1"/>
      <w:numFmt w:val="decimal"/>
      <w:isLgl/>
      <w:suff w:val="nothing"/>
      <w:lvlText w:val="%1.%2."/>
      <w:lvlJc w:val="left"/>
      <w:pPr>
        <w:ind w:left="992" w:hanging="567"/>
      </w:pPr>
      <w:rPr>
        <w:rFonts w:hint="eastAsia"/>
      </w:rPr>
    </w:lvl>
    <w:lvl w:ilvl="2" w:tentative="0">
      <w:start w:val="1"/>
      <w:numFmt w:val="decimal"/>
      <w:isLgl/>
      <w:suff w:val="nothing"/>
      <w:lvlText w:val="%1.%2.%3."/>
      <w:lvlJc w:val="left"/>
      <w:pPr>
        <w:ind w:left="1418" w:hanging="567"/>
      </w:pPr>
      <w:rPr>
        <w:rFonts w:hint="eastAsia"/>
      </w:rPr>
    </w:lvl>
    <w:lvl w:ilvl="3" w:tentative="0">
      <w:start w:val="1"/>
      <w:numFmt w:val="decimal"/>
      <w:isLgl/>
      <w:suff w:val="nothing"/>
      <w:lvlText w:val="%1.%2.%3.%4."/>
      <w:lvlJc w:val="left"/>
      <w:pPr>
        <w:ind w:left="1984" w:hanging="708"/>
      </w:pPr>
      <w:rPr>
        <w:rFonts w:hint="eastAsia"/>
      </w:rPr>
    </w:lvl>
    <w:lvl w:ilvl="4" w:tentative="0">
      <w:start w:val="1"/>
      <w:numFmt w:val="decimal"/>
      <w:isLgl/>
      <w:suff w:val="nothing"/>
      <w:lvlText w:val="%1.%2.%3.%4.%5."/>
      <w:lvlJc w:val="left"/>
      <w:pPr>
        <w:ind w:left="2551" w:hanging="850"/>
      </w:pPr>
      <w:rPr>
        <w:rFonts w:hint="eastAsia"/>
      </w:rPr>
    </w:lvl>
    <w:lvl w:ilvl="5" w:tentative="0">
      <w:start w:val="1"/>
      <w:numFmt w:val="decimal"/>
      <w:isLgl/>
      <w:suff w:val="nothing"/>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6C73457C"/>
    <w:multiLevelType w:val="multilevel"/>
    <w:tmpl w:val="6C7345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8"/>
  </w:num>
  <w:num w:numId="4">
    <w:abstractNumId w:val="7"/>
  </w:num>
  <w:num w:numId="5">
    <w:abstractNumId w:val="9"/>
  </w:num>
  <w:num w:numId="6">
    <w:abstractNumId w:val="10"/>
  </w:num>
  <w:num w:numId="7">
    <w:abstractNumId w:val="1"/>
  </w:num>
  <w:num w:numId="8">
    <w:abstractNumId w:val="11"/>
  </w:num>
  <w:num w:numId="9">
    <w:abstractNumId w:val="3"/>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36440B"/>
    <w:rsid w:val="00187D6D"/>
    <w:rsid w:val="002623F0"/>
    <w:rsid w:val="003501F1"/>
    <w:rsid w:val="00361870"/>
    <w:rsid w:val="0036440B"/>
    <w:rsid w:val="003F65FD"/>
    <w:rsid w:val="007A011C"/>
    <w:rsid w:val="00806E58"/>
    <w:rsid w:val="00833EAA"/>
    <w:rsid w:val="00BC45B8"/>
    <w:rsid w:val="00CE146C"/>
    <w:rsid w:val="00D348C5"/>
    <w:rsid w:val="00E067AC"/>
    <w:rsid w:val="00EA43B0"/>
    <w:rsid w:val="00FE2086"/>
    <w:rsid w:val="018265F8"/>
    <w:rsid w:val="024C0DD3"/>
    <w:rsid w:val="02C8184E"/>
    <w:rsid w:val="03196F07"/>
    <w:rsid w:val="03AF6B8E"/>
    <w:rsid w:val="03E76A39"/>
    <w:rsid w:val="04205404"/>
    <w:rsid w:val="0427397A"/>
    <w:rsid w:val="05A5167E"/>
    <w:rsid w:val="05CA098C"/>
    <w:rsid w:val="05EC0902"/>
    <w:rsid w:val="07A10909"/>
    <w:rsid w:val="07AA0EFE"/>
    <w:rsid w:val="07F96640"/>
    <w:rsid w:val="08F057C4"/>
    <w:rsid w:val="09336D4E"/>
    <w:rsid w:val="09504B23"/>
    <w:rsid w:val="096E7DFA"/>
    <w:rsid w:val="09E0765E"/>
    <w:rsid w:val="09F9416E"/>
    <w:rsid w:val="09FF17A0"/>
    <w:rsid w:val="0AFE5915"/>
    <w:rsid w:val="0B9758D5"/>
    <w:rsid w:val="0BDF2EA6"/>
    <w:rsid w:val="0C162DCB"/>
    <w:rsid w:val="0C1A540F"/>
    <w:rsid w:val="0C8A73DD"/>
    <w:rsid w:val="0D0429D6"/>
    <w:rsid w:val="0D0A0CEC"/>
    <w:rsid w:val="0DE55549"/>
    <w:rsid w:val="0EF621A5"/>
    <w:rsid w:val="0FBF0E36"/>
    <w:rsid w:val="0FEC5B35"/>
    <w:rsid w:val="100C4220"/>
    <w:rsid w:val="100D3063"/>
    <w:rsid w:val="10A87B1C"/>
    <w:rsid w:val="10BC45ED"/>
    <w:rsid w:val="11811206"/>
    <w:rsid w:val="118A1E61"/>
    <w:rsid w:val="11D87558"/>
    <w:rsid w:val="123C27D6"/>
    <w:rsid w:val="132E39D9"/>
    <w:rsid w:val="135C18B6"/>
    <w:rsid w:val="13F014A1"/>
    <w:rsid w:val="14706074"/>
    <w:rsid w:val="14F45C8B"/>
    <w:rsid w:val="15011606"/>
    <w:rsid w:val="15067670"/>
    <w:rsid w:val="15474266"/>
    <w:rsid w:val="156424E9"/>
    <w:rsid w:val="15DE2A1A"/>
    <w:rsid w:val="16264753"/>
    <w:rsid w:val="16ED1512"/>
    <w:rsid w:val="16F46986"/>
    <w:rsid w:val="1717535E"/>
    <w:rsid w:val="17440242"/>
    <w:rsid w:val="17553B5A"/>
    <w:rsid w:val="175C35B5"/>
    <w:rsid w:val="17D92FFD"/>
    <w:rsid w:val="184061B3"/>
    <w:rsid w:val="185C066D"/>
    <w:rsid w:val="186124D8"/>
    <w:rsid w:val="1A624883"/>
    <w:rsid w:val="1ADB272C"/>
    <w:rsid w:val="1B2B55D1"/>
    <w:rsid w:val="1B475A8F"/>
    <w:rsid w:val="1CA36C49"/>
    <w:rsid w:val="1E6940FB"/>
    <w:rsid w:val="1E8B7FA7"/>
    <w:rsid w:val="1F4B09D2"/>
    <w:rsid w:val="2000428E"/>
    <w:rsid w:val="20A65DE2"/>
    <w:rsid w:val="20F87B37"/>
    <w:rsid w:val="217E2260"/>
    <w:rsid w:val="21917436"/>
    <w:rsid w:val="219C6B91"/>
    <w:rsid w:val="21E67460"/>
    <w:rsid w:val="236E435E"/>
    <w:rsid w:val="23B57CE5"/>
    <w:rsid w:val="25B100B4"/>
    <w:rsid w:val="261E27D5"/>
    <w:rsid w:val="269E0279"/>
    <w:rsid w:val="26A637D5"/>
    <w:rsid w:val="26D12AD5"/>
    <w:rsid w:val="26EC12B4"/>
    <w:rsid w:val="299A7E41"/>
    <w:rsid w:val="2A16744D"/>
    <w:rsid w:val="2AEA2F9B"/>
    <w:rsid w:val="2B4C38A9"/>
    <w:rsid w:val="2B7F4874"/>
    <w:rsid w:val="2BB16143"/>
    <w:rsid w:val="2BB1742D"/>
    <w:rsid w:val="2C6E0B1A"/>
    <w:rsid w:val="2D372553"/>
    <w:rsid w:val="2D4773DF"/>
    <w:rsid w:val="2D766B20"/>
    <w:rsid w:val="2D8F17BD"/>
    <w:rsid w:val="2DD636B9"/>
    <w:rsid w:val="2E3B3926"/>
    <w:rsid w:val="2EBF00B3"/>
    <w:rsid w:val="2EC4391B"/>
    <w:rsid w:val="2F18040C"/>
    <w:rsid w:val="2FB6157B"/>
    <w:rsid w:val="2FE70202"/>
    <w:rsid w:val="2FFC5506"/>
    <w:rsid w:val="30234671"/>
    <w:rsid w:val="304E49A9"/>
    <w:rsid w:val="30A14026"/>
    <w:rsid w:val="30E32AF9"/>
    <w:rsid w:val="31F51615"/>
    <w:rsid w:val="33952634"/>
    <w:rsid w:val="34194BD6"/>
    <w:rsid w:val="342D401A"/>
    <w:rsid w:val="35704857"/>
    <w:rsid w:val="35A324DC"/>
    <w:rsid w:val="35BF4E53"/>
    <w:rsid w:val="36A95A89"/>
    <w:rsid w:val="3A250283"/>
    <w:rsid w:val="3A8C13F3"/>
    <w:rsid w:val="3ACC03BC"/>
    <w:rsid w:val="3B4D2B71"/>
    <w:rsid w:val="3B615F60"/>
    <w:rsid w:val="3BB9127F"/>
    <w:rsid w:val="3D9A0976"/>
    <w:rsid w:val="3DE96932"/>
    <w:rsid w:val="3E974BA8"/>
    <w:rsid w:val="3F2A76F6"/>
    <w:rsid w:val="3F6D5DD2"/>
    <w:rsid w:val="40181FC6"/>
    <w:rsid w:val="40553C49"/>
    <w:rsid w:val="41191901"/>
    <w:rsid w:val="41C83A4A"/>
    <w:rsid w:val="41F52311"/>
    <w:rsid w:val="42B63602"/>
    <w:rsid w:val="438D20D6"/>
    <w:rsid w:val="43A6077E"/>
    <w:rsid w:val="43F34ED3"/>
    <w:rsid w:val="45267B73"/>
    <w:rsid w:val="459B6123"/>
    <w:rsid w:val="45CE3A2F"/>
    <w:rsid w:val="46AF4D71"/>
    <w:rsid w:val="46F801AE"/>
    <w:rsid w:val="46FE1043"/>
    <w:rsid w:val="48703163"/>
    <w:rsid w:val="48941F9C"/>
    <w:rsid w:val="49AA5E96"/>
    <w:rsid w:val="49B72E45"/>
    <w:rsid w:val="4A674BED"/>
    <w:rsid w:val="4B3B0ADB"/>
    <w:rsid w:val="4CBC4D6C"/>
    <w:rsid w:val="4CD04264"/>
    <w:rsid w:val="4D7252E3"/>
    <w:rsid w:val="4D73094E"/>
    <w:rsid w:val="4E337515"/>
    <w:rsid w:val="4E515D0F"/>
    <w:rsid w:val="4F521282"/>
    <w:rsid w:val="51025AC7"/>
    <w:rsid w:val="51193908"/>
    <w:rsid w:val="511D22EA"/>
    <w:rsid w:val="51767ACD"/>
    <w:rsid w:val="52381853"/>
    <w:rsid w:val="53424A31"/>
    <w:rsid w:val="53DB35C3"/>
    <w:rsid w:val="544E464E"/>
    <w:rsid w:val="54946F57"/>
    <w:rsid w:val="54B177CA"/>
    <w:rsid w:val="54F71AA5"/>
    <w:rsid w:val="55191910"/>
    <w:rsid w:val="55EC45D1"/>
    <w:rsid w:val="56527CF8"/>
    <w:rsid w:val="56994394"/>
    <w:rsid w:val="56F54B4E"/>
    <w:rsid w:val="57644960"/>
    <w:rsid w:val="57B57D5F"/>
    <w:rsid w:val="588E6547"/>
    <w:rsid w:val="589F0348"/>
    <w:rsid w:val="58A92836"/>
    <w:rsid w:val="5A414023"/>
    <w:rsid w:val="5A461F0B"/>
    <w:rsid w:val="5A7A12B0"/>
    <w:rsid w:val="5A9B2ED2"/>
    <w:rsid w:val="5AA40B4D"/>
    <w:rsid w:val="5AAE5FDB"/>
    <w:rsid w:val="5B7A6807"/>
    <w:rsid w:val="5BC4403A"/>
    <w:rsid w:val="5C890377"/>
    <w:rsid w:val="5CC56111"/>
    <w:rsid w:val="5CDE15D9"/>
    <w:rsid w:val="5D0F6AE8"/>
    <w:rsid w:val="5DBA3C42"/>
    <w:rsid w:val="5E197DBD"/>
    <w:rsid w:val="5EA155B4"/>
    <w:rsid w:val="5FE25961"/>
    <w:rsid w:val="605300FC"/>
    <w:rsid w:val="60557F87"/>
    <w:rsid w:val="60B06944"/>
    <w:rsid w:val="62972EE4"/>
    <w:rsid w:val="62A05035"/>
    <w:rsid w:val="63744110"/>
    <w:rsid w:val="64065F0C"/>
    <w:rsid w:val="64451080"/>
    <w:rsid w:val="64591923"/>
    <w:rsid w:val="645B4167"/>
    <w:rsid w:val="66097975"/>
    <w:rsid w:val="66422180"/>
    <w:rsid w:val="66725207"/>
    <w:rsid w:val="675B4115"/>
    <w:rsid w:val="67704E60"/>
    <w:rsid w:val="6888711C"/>
    <w:rsid w:val="69257F13"/>
    <w:rsid w:val="6953327D"/>
    <w:rsid w:val="697F10A1"/>
    <w:rsid w:val="69B151E1"/>
    <w:rsid w:val="69CD366B"/>
    <w:rsid w:val="69D928B9"/>
    <w:rsid w:val="6A2F53F0"/>
    <w:rsid w:val="6B545C62"/>
    <w:rsid w:val="6BB30BA5"/>
    <w:rsid w:val="6BB754F0"/>
    <w:rsid w:val="6BC475CA"/>
    <w:rsid w:val="6CA0199D"/>
    <w:rsid w:val="6DC94927"/>
    <w:rsid w:val="6E027A67"/>
    <w:rsid w:val="6F180B5B"/>
    <w:rsid w:val="6F272717"/>
    <w:rsid w:val="6FAD4D66"/>
    <w:rsid w:val="6FB03715"/>
    <w:rsid w:val="70482C4F"/>
    <w:rsid w:val="707C24E8"/>
    <w:rsid w:val="712D267F"/>
    <w:rsid w:val="71C85D8B"/>
    <w:rsid w:val="71C96415"/>
    <w:rsid w:val="740873D3"/>
    <w:rsid w:val="769161F9"/>
    <w:rsid w:val="76D05559"/>
    <w:rsid w:val="771C6239"/>
    <w:rsid w:val="77417215"/>
    <w:rsid w:val="7783749C"/>
    <w:rsid w:val="77924F55"/>
    <w:rsid w:val="77E44C5F"/>
    <w:rsid w:val="78746DE5"/>
    <w:rsid w:val="793D3979"/>
    <w:rsid w:val="79943D8B"/>
    <w:rsid w:val="79B009B8"/>
    <w:rsid w:val="7A565E50"/>
    <w:rsid w:val="7AE22AE4"/>
    <w:rsid w:val="7B3A19D9"/>
    <w:rsid w:val="7DF61FF1"/>
    <w:rsid w:val="7E265A2B"/>
    <w:rsid w:val="7E6C0FD3"/>
    <w:rsid w:val="7F0855EA"/>
    <w:rsid w:val="7F5467E0"/>
    <w:rsid w:val="7F6F0265"/>
    <w:rsid w:val="7F721BA4"/>
    <w:rsid w:val="7F95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link w:val="28"/>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hAnsi="Calibri Light" w:eastAsia="华文仿宋"/>
      <w:kern w:val="2"/>
      <w:sz w:val="21"/>
      <w:szCs w:val="24"/>
    </w:rPr>
  </w:style>
  <w:style w:type="paragraph" w:styleId="8">
    <w:name w:val="Body Text 3"/>
    <w:basedOn w:val="1"/>
    <w:qFormat/>
    <w:uiPriority w:val="0"/>
    <w:pPr>
      <w:jc w:val="center"/>
    </w:pPr>
    <w:rPr>
      <w:rFonts w:ascii="Times New Roman"/>
      <w:b/>
      <w:spacing w:val="-20"/>
      <w:w w:val="110"/>
      <w:kern w:val="2"/>
      <w:sz w:val="52"/>
    </w:rPr>
  </w:style>
  <w:style w:type="paragraph" w:styleId="9">
    <w:name w:val="Body Text"/>
    <w:basedOn w:val="1"/>
    <w:qFormat/>
    <w:uiPriority w:val="0"/>
    <w:pPr>
      <w:spacing w:after="120"/>
    </w:pPr>
    <w:rPr>
      <w:rFonts w:ascii="Times New Roman"/>
      <w:kern w:val="2"/>
      <w:sz w:val="21"/>
    </w:rPr>
  </w:style>
  <w:style w:type="paragraph" w:styleId="10">
    <w:name w:val="Body Text Indent"/>
    <w:basedOn w:val="1"/>
    <w:next w:val="1"/>
    <w:qFormat/>
    <w:uiPriority w:val="0"/>
    <w:pPr>
      <w:widowControl/>
      <w:ind w:firstLine="652" w:firstLineChars="233"/>
    </w:pPr>
    <w:rPr>
      <w:rFonts w:ascii="Times New Roman"/>
      <w:sz w:val="28"/>
    </w:rPr>
  </w:style>
  <w:style w:type="paragraph" w:styleId="11">
    <w:name w:val="index 4"/>
    <w:basedOn w:val="1"/>
    <w:next w:val="1"/>
    <w:unhideWhenUsed/>
    <w:qFormat/>
    <w:uiPriority w:val="99"/>
    <w:pPr>
      <w:ind w:left="428" w:firstLine="140"/>
    </w:pPr>
  </w:style>
  <w:style w:type="paragraph" w:styleId="12">
    <w:name w:val="toc 3"/>
    <w:basedOn w:val="1"/>
    <w:next w:val="1"/>
    <w:qFormat/>
    <w:uiPriority w:val="0"/>
    <w:pPr>
      <w:ind w:left="840" w:leftChars="400"/>
    </w:pPr>
  </w:style>
  <w:style w:type="paragraph" w:styleId="13">
    <w:name w:val="Plain Text"/>
    <w:basedOn w:val="1"/>
    <w:qFormat/>
    <w:uiPriority w:val="0"/>
    <w:rPr>
      <w:rFonts w:hAnsi="Courier New"/>
      <w:kern w:val="2"/>
      <w:sz w:val="21"/>
    </w:rPr>
  </w:style>
  <w:style w:type="paragraph" w:styleId="14">
    <w:name w:val="Date"/>
    <w:basedOn w:val="1"/>
    <w:next w:val="1"/>
    <w:qFormat/>
    <w:uiPriority w:val="0"/>
    <w:rPr>
      <w:rFonts w:ascii="Times New Roman"/>
      <w:kern w:val="2"/>
      <w:sz w:val="28"/>
    </w:rPr>
  </w:style>
  <w:style w:type="paragraph" w:styleId="15">
    <w:name w:val="endnote text"/>
    <w:basedOn w:val="1"/>
    <w:unhideWhenUsed/>
    <w:qFormat/>
    <w:uiPriority w:val="99"/>
    <w:pPr>
      <w:widowControl w:val="0"/>
      <w:snapToGrid w:val="0"/>
      <w:spacing w:line="240" w:lineRule="auto"/>
      <w:jc w:val="left"/>
    </w:pPr>
    <w:rPr>
      <w:rFonts w:ascii="宋体" w:hAnsi="宋体" w:eastAsia="宋体" w:cs="Times New Roman"/>
      <w:kern w:val="0"/>
      <w:sz w:val="28"/>
      <w:szCs w:val="20"/>
    </w:rPr>
  </w:style>
  <w:style w:type="paragraph" w:styleId="16">
    <w:name w:val="footer"/>
    <w:basedOn w:val="1"/>
    <w:qFormat/>
    <w:uiPriority w:val="99"/>
    <w:pPr>
      <w:tabs>
        <w:tab w:val="center" w:pos="4153"/>
        <w:tab w:val="right" w:pos="8306"/>
      </w:tabs>
      <w:snapToGrid w:val="0"/>
      <w:jc w:val="left"/>
    </w:pPr>
    <w:rPr>
      <w:rFonts w:ascii="Times New Roman"/>
      <w:kern w:val="2"/>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8">
    <w:name w:val="toc 1"/>
    <w:basedOn w:val="1"/>
    <w:next w:val="1"/>
    <w:unhideWhenUsed/>
    <w:qFormat/>
    <w:uiPriority w:val="39"/>
    <w:pPr>
      <w:tabs>
        <w:tab w:val="left" w:pos="1418"/>
        <w:tab w:val="right" w:leader="dot" w:pos="8302"/>
      </w:tabs>
      <w:spacing w:line="960" w:lineRule="auto"/>
    </w:pPr>
  </w:style>
  <w:style w:type="paragraph" w:styleId="19">
    <w:name w:val="toc 2"/>
    <w:basedOn w:val="1"/>
    <w:next w:val="1"/>
    <w:unhideWhenUsed/>
    <w:qFormat/>
    <w:uiPriority w:val="39"/>
    <w:pPr>
      <w:tabs>
        <w:tab w:val="right" w:leader="dot" w:pos="8302"/>
      </w:tabs>
      <w:spacing w:line="960" w:lineRule="auto"/>
      <w:ind w:left="420" w:leftChars="200"/>
    </w:pPr>
  </w:style>
  <w:style w:type="paragraph" w:styleId="20">
    <w:name w:val="Body Text 2"/>
    <w:basedOn w:val="1"/>
    <w:next w:val="9"/>
    <w:qFormat/>
    <w:uiPriority w:val="0"/>
    <w:pPr>
      <w:widowControl w:val="0"/>
      <w:spacing w:line="240" w:lineRule="auto"/>
      <w:jc w:val="left"/>
    </w:pPr>
    <w:rPr>
      <w:rFonts w:ascii="仿宋_GB2312" w:hAnsi="宋体" w:eastAsia="仿宋_GB2312" w:cs="Times New Roman"/>
      <w:sz w:val="21"/>
      <w:szCs w:val="20"/>
    </w:rPr>
  </w:style>
  <w:style w:type="paragraph" w:styleId="21">
    <w:name w:val="Normal (Web)"/>
    <w:basedOn w:val="1"/>
    <w:qFormat/>
    <w:uiPriority w:val="99"/>
    <w:pPr>
      <w:widowControl/>
      <w:spacing w:before="100" w:beforeAutospacing="1" w:after="100" w:afterAutospacing="1"/>
      <w:jc w:val="left"/>
    </w:pPr>
    <w:rPr>
      <w:rFonts w:hAnsi="宋体"/>
      <w:szCs w:val="24"/>
    </w:rPr>
  </w:style>
  <w:style w:type="paragraph" w:styleId="22">
    <w:name w:val="Body Text First Indent 2"/>
    <w:basedOn w:val="10"/>
    <w:qFormat/>
    <w:uiPriority w:val="99"/>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qFormat/>
    <w:uiPriority w:val="99"/>
    <w:rPr>
      <w:rFonts w:hint="eastAsia" w:ascii="宋体" w:hAnsi="宋体" w:eastAsia="宋体" w:cs="宋体"/>
      <w:color w:val="000000"/>
      <w:sz w:val="18"/>
      <w:szCs w:val="18"/>
      <w:u w:val="none"/>
    </w:rPr>
  </w:style>
  <w:style w:type="character" w:customStyle="1" w:styleId="28">
    <w:name w:val="标题 3 Char"/>
    <w:link w:val="4"/>
    <w:qFormat/>
    <w:uiPriority w:val="0"/>
    <w:rPr>
      <w:rFonts w:ascii="Times New Roman"/>
      <w:b/>
      <w:bCs/>
      <w:kern w:val="2"/>
      <w:szCs w:val="24"/>
    </w:rPr>
  </w:style>
  <w:style w:type="character" w:customStyle="1" w:styleId="29">
    <w:name w:val="标题 1 Char"/>
    <w:link w:val="2"/>
    <w:qFormat/>
    <w:uiPriority w:val="0"/>
    <w:rPr>
      <w:rFonts w:ascii="仿宋_GB2312" w:hAnsi="宋体" w:eastAsia="仿宋_GB2312"/>
      <w:b/>
      <w:kern w:val="2"/>
      <w:sz w:val="32"/>
    </w:rPr>
  </w:style>
  <w:style w:type="paragraph" w:customStyle="1" w:styleId="30">
    <w:name w:val="列出段落1"/>
    <w:basedOn w:val="1"/>
    <w:qFormat/>
    <w:uiPriority w:val="34"/>
    <w:pPr>
      <w:ind w:firstLine="420" w:firstLineChars="200"/>
    </w:pPr>
  </w:style>
  <w:style w:type="character" w:customStyle="1" w:styleId="31">
    <w:name w:val="font41"/>
    <w:basedOn w:val="25"/>
    <w:qFormat/>
    <w:uiPriority w:val="0"/>
    <w:rPr>
      <w:rFonts w:hint="eastAsia" w:ascii="宋体" w:hAnsi="宋体" w:eastAsia="宋体" w:cs="宋体"/>
      <w:b/>
      <w:color w:val="000000"/>
      <w:sz w:val="22"/>
      <w:szCs w:val="22"/>
      <w:u w:val="none"/>
    </w:rPr>
  </w:style>
  <w:style w:type="character" w:customStyle="1" w:styleId="32">
    <w:name w:val="font51"/>
    <w:basedOn w:val="25"/>
    <w:qFormat/>
    <w:uiPriority w:val="0"/>
    <w:rPr>
      <w:rFonts w:hint="eastAsia" w:ascii="宋体" w:hAnsi="宋体" w:eastAsia="宋体" w:cs="宋体"/>
      <w:color w:val="000000"/>
      <w:sz w:val="22"/>
      <w:szCs w:val="22"/>
      <w:u w:val="none"/>
    </w:rPr>
  </w:style>
  <w:style w:type="character" w:customStyle="1" w:styleId="33">
    <w:name w:val="font01"/>
    <w:basedOn w:val="25"/>
    <w:qFormat/>
    <w:uiPriority w:val="0"/>
    <w:rPr>
      <w:rFonts w:hint="eastAsia" w:ascii="宋体" w:hAnsi="宋体" w:eastAsia="宋体" w:cs="宋体"/>
      <w:color w:val="000000"/>
      <w:sz w:val="20"/>
      <w:szCs w:val="20"/>
      <w:u w:val="none"/>
    </w:rPr>
  </w:style>
  <w:style w:type="character" w:customStyle="1" w:styleId="34">
    <w:name w:val="font21"/>
    <w:basedOn w:val="25"/>
    <w:qFormat/>
    <w:uiPriority w:val="0"/>
    <w:rPr>
      <w:rFonts w:hint="eastAsia" w:ascii="宋体" w:hAnsi="宋体" w:eastAsia="宋体" w:cs="宋体"/>
      <w:color w:val="000000"/>
      <w:sz w:val="20"/>
      <w:szCs w:val="20"/>
      <w:u w:val="none"/>
      <w:vertAlign w:val="superscript"/>
    </w:rPr>
  </w:style>
  <w:style w:type="character" w:customStyle="1" w:styleId="35">
    <w:name w:val="font11"/>
    <w:basedOn w:val="25"/>
    <w:qFormat/>
    <w:uiPriority w:val="0"/>
    <w:rPr>
      <w:rFonts w:hint="eastAsia" w:ascii="宋体" w:hAnsi="宋体" w:eastAsia="宋体" w:cs="宋体"/>
      <w:color w:val="000000"/>
      <w:sz w:val="22"/>
      <w:szCs w:val="22"/>
      <w:u w:val="none"/>
    </w:rPr>
  </w:style>
  <w:style w:type="character" w:customStyle="1" w:styleId="36">
    <w:name w:val="font81"/>
    <w:basedOn w:val="25"/>
    <w:qFormat/>
    <w:uiPriority w:val="0"/>
    <w:rPr>
      <w:rFonts w:ascii="仿宋" w:hAnsi="仿宋" w:eastAsia="仿宋" w:cs="仿宋"/>
      <w:color w:val="000000"/>
      <w:sz w:val="22"/>
      <w:szCs w:val="22"/>
      <w:u w:val="none"/>
    </w:rPr>
  </w:style>
  <w:style w:type="character" w:customStyle="1" w:styleId="37">
    <w:name w:val="font61"/>
    <w:basedOn w:val="25"/>
    <w:qFormat/>
    <w:uiPriority w:val="0"/>
    <w:rPr>
      <w:rFonts w:hint="eastAsia" w:ascii="宋体" w:hAnsi="宋体" w:eastAsia="宋体" w:cs="宋体"/>
      <w:color w:val="000000"/>
      <w:sz w:val="18"/>
      <w:szCs w:val="18"/>
      <w:u w:val="none"/>
    </w:rPr>
  </w:style>
  <w:style w:type="character" w:customStyle="1" w:styleId="38">
    <w:name w:val="font91"/>
    <w:basedOn w:val="25"/>
    <w:qFormat/>
    <w:uiPriority w:val="0"/>
    <w:rPr>
      <w:rFonts w:ascii="Arial" w:hAnsi="Arial" w:cs="Arial"/>
      <w:color w:val="000000"/>
      <w:sz w:val="18"/>
      <w:szCs w:val="18"/>
      <w:u w:val="none"/>
    </w:rPr>
  </w:style>
  <w:style w:type="paragraph" w:customStyle="1" w:styleId="39">
    <w:name w:val="Table Paragraph"/>
    <w:basedOn w:val="1"/>
    <w:qFormat/>
    <w:uiPriority w:val="1"/>
    <w:rPr>
      <w:rFonts w:hAnsi="宋体" w:cs="宋体"/>
      <w:lang w:val="zh-CN" w:bidi="zh-CN"/>
    </w:rPr>
  </w:style>
  <w:style w:type="paragraph" w:customStyle="1" w:styleId="40">
    <w:name w:val="表格文字中"/>
    <w:basedOn w:val="1"/>
    <w:qFormat/>
    <w:uiPriority w:val="0"/>
    <w:pPr>
      <w:adjustRightInd w:val="0"/>
      <w:snapToGrid w:val="0"/>
      <w:ind w:left="22" w:leftChars="8"/>
      <w:jc w:val="center"/>
    </w:pPr>
    <w:rPr>
      <w:szCs w:val="24"/>
    </w:rPr>
  </w:style>
  <w:style w:type="paragraph" w:customStyle="1" w:styleId="41">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2">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character" w:customStyle="1" w:styleId="43">
    <w:name w:val="font31"/>
    <w:basedOn w:val="25"/>
    <w:qFormat/>
    <w:uiPriority w:val="0"/>
    <w:rPr>
      <w:rFonts w:hint="eastAsia" w:ascii="宋体" w:hAnsi="宋体" w:eastAsia="宋体" w:cs="宋体"/>
      <w:color w:val="000000"/>
      <w:sz w:val="18"/>
      <w:szCs w:val="18"/>
      <w:u w:val="none"/>
    </w:rPr>
  </w:style>
  <w:style w:type="character" w:customStyle="1" w:styleId="44">
    <w:name w:val="font101"/>
    <w:basedOn w:val="25"/>
    <w:qFormat/>
    <w:uiPriority w:val="0"/>
    <w:rPr>
      <w:rFonts w:hint="default" w:ascii="Times New Roman" w:hAnsi="Times New Roman" w:cs="Times New Roman"/>
      <w:color w:val="000000"/>
      <w:sz w:val="18"/>
      <w:szCs w:val="18"/>
      <w:u w:val="none"/>
    </w:rPr>
  </w:style>
  <w:style w:type="character" w:customStyle="1" w:styleId="45">
    <w:name w:val="font71"/>
    <w:basedOn w:val="25"/>
    <w:qFormat/>
    <w:uiPriority w:val="0"/>
    <w:rPr>
      <w:rFonts w:hint="eastAsia" w:ascii="宋体" w:hAnsi="宋体" w:eastAsia="宋体" w:cs="宋体"/>
      <w:b/>
      <w:bCs/>
      <w:color w:val="000000"/>
      <w:sz w:val="19"/>
      <w:szCs w:val="19"/>
      <w:u w:val="none"/>
    </w:rPr>
  </w:style>
  <w:style w:type="character" w:customStyle="1" w:styleId="46">
    <w:name w:val="font112"/>
    <w:basedOn w:val="25"/>
    <w:qFormat/>
    <w:uiPriority w:val="0"/>
    <w:rPr>
      <w:rFonts w:hint="eastAsia" w:ascii="宋体" w:hAnsi="宋体" w:eastAsia="宋体" w:cs="宋体"/>
      <w:color w:val="000000"/>
      <w:sz w:val="18"/>
      <w:szCs w:val="18"/>
      <w:u w:val="none"/>
      <w:vertAlign w:val="superscript"/>
    </w:rPr>
  </w:style>
  <w:style w:type="character" w:customStyle="1" w:styleId="47">
    <w:name w:val="font121"/>
    <w:basedOn w:val="25"/>
    <w:qFormat/>
    <w:uiPriority w:val="0"/>
    <w:rPr>
      <w:rFonts w:ascii="微软雅黑" w:hAnsi="微软雅黑" w:eastAsia="微软雅黑" w:cs="微软雅黑"/>
      <w:color w:val="000000"/>
      <w:sz w:val="16"/>
      <w:szCs w:val="16"/>
      <w:u w:val="none"/>
    </w:rPr>
  </w:style>
  <w:style w:type="character" w:customStyle="1" w:styleId="48">
    <w:name w:val="font131"/>
    <w:basedOn w:val="25"/>
    <w:qFormat/>
    <w:uiPriority w:val="0"/>
    <w:rPr>
      <w:rFonts w:hint="default" w:ascii="Times New Roman" w:hAnsi="Times New Roman" w:cs="Times New Roman"/>
      <w:color w:val="000000"/>
      <w:sz w:val="18"/>
      <w:szCs w:val="18"/>
      <w:u w:val="none"/>
      <w:vertAlign w:val="superscript"/>
    </w:rPr>
  </w:style>
  <w:style w:type="character" w:customStyle="1" w:styleId="49">
    <w:name w:val="font141"/>
    <w:basedOn w:val="25"/>
    <w:qFormat/>
    <w:uiPriority w:val="0"/>
    <w:rPr>
      <w:rFonts w:hint="eastAsia" w:ascii="宋体" w:hAnsi="宋体" w:eastAsia="宋体" w:cs="宋体"/>
      <w:color w:val="000000"/>
      <w:sz w:val="16"/>
      <w:szCs w:val="16"/>
      <w:u w:val="none"/>
      <w:vertAlign w:val="superscript"/>
    </w:rPr>
  </w:style>
  <w:style w:type="paragraph" w:customStyle="1" w:styleId="50">
    <w:name w:val="Char1"/>
    <w:basedOn w:val="1"/>
    <w:qFormat/>
    <w:uiPriority w:val="0"/>
    <w:pPr>
      <w:tabs>
        <w:tab w:val="left" w:pos="360"/>
      </w:tabs>
      <w:ind w:left="360" w:hanging="360" w:hangingChars="200"/>
    </w:pPr>
    <w:rPr>
      <w:szCs w:val="24"/>
    </w:rPr>
  </w:style>
  <w:style w:type="paragraph" w:customStyle="1" w:styleId="51">
    <w:name w:val="列出段落11"/>
    <w:basedOn w:val="1"/>
    <w:qFormat/>
    <w:uiPriority w:val="34"/>
    <w:pPr>
      <w:ind w:firstLine="420" w:firstLineChars="200"/>
    </w:pPr>
    <w:rPr>
      <w:rFonts w:ascii="Calibri" w:hAnsi="Calibri"/>
      <w:szCs w:val="22"/>
    </w:rPr>
  </w:style>
  <w:style w:type="character" w:customStyle="1" w:styleId="52">
    <w:name w:val="font181"/>
    <w:basedOn w:val="25"/>
    <w:qFormat/>
    <w:uiPriority w:val="0"/>
    <w:rPr>
      <w:rFonts w:hint="eastAsia" w:ascii="微软雅黑" w:hAnsi="微软雅黑" w:eastAsia="微软雅黑" w:cs="微软雅黑"/>
      <w:color w:val="000000"/>
      <w:sz w:val="16"/>
      <w:szCs w:val="16"/>
      <w:u w:val="none"/>
    </w:rPr>
  </w:style>
  <w:style w:type="paragraph" w:customStyle="1" w:styleId="53">
    <w:name w:val="520"/>
    <w:qFormat/>
    <w:uiPriority w:val="0"/>
    <w:pPr>
      <w:spacing w:line="360" w:lineRule="auto"/>
    </w:pPr>
    <w:rPr>
      <w:rFonts w:ascii="宋体" w:hAnsi="宋体" w:eastAsia="仿宋_GB2312" w:cs="Times New Roman"/>
      <w:b/>
      <w:kern w:val="2"/>
      <w:sz w:val="30"/>
      <w:szCs w:val="30"/>
      <w:lang w:val="en-US" w:eastAsia="zh-CN" w:bidi="ar-SA"/>
    </w:rPr>
  </w:style>
  <w:style w:type="paragraph" w:customStyle="1" w:styleId="5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5">
    <w:name w:val="List Paragraph"/>
    <w:basedOn w:val="1"/>
    <w:qFormat/>
    <w:uiPriority w:val="34"/>
    <w:pPr>
      <w:ind w:firstLine="420" w:firstLineChars="200"/>
    </w:pPr>
  </w:style>
  <w:style w:type="paragraph" w:customStyle="1" w:styleId="56">
    <w:name w:val="p0"/>
    <w:basedOn w:val="1"/>
    <w:qFormat/>
    <w:uiPriority w:val="0"/>
    <w:pPr>
      <w:widowControl/>
    </w:pPr>
    <w:rPr>
      <w:szCs w:val="24"/>
    </w:rPr>
  </w:style>
  <w:style w:type="paragraph" w:customStyle="1" w:styleId="57">
    <w:name w:val="正文缩进1"/>
    <w:basedOn w:val="1"/>
    <w:qFormat/>
    <w:uiPriority w:val="0"/>
    <w:pPr>
      <w:ind w:firstLine="420" w:firstLineChars="200"/>
    </w:pPr>
  </w:style>
  <w:style w:type="paragraph" w:customStyle="1" w:styleId="58">
    <w:name w:val="*正文"/>
    <w:basedOn w:val="1"/>
    <w:qFormat/>
    <w:uiPriority w:val="0"/>
    <w:pPr>
      <w:widowControl w:val="0"/>
      <w:ind w:firstLine="200" w:firstLineChars="200"/>
    </w:pPr>
    <w:rPr>
      <w:rFonts w:asciiTheme="minorHAnsi" w:hAnsiTheme="minorHAnsi" w:eastAsiaTheme="minorEastAsia" w:cstheme="minorBidi"/>
      <w:sz w:val="21"/>
      <w:szCs w:val="21"/>
      <w14:ligatures w14:val="standardContextual"/>
    </w:rPr>
  </w:style>
  <w:style w:type="paragraph" w:customStyle="1" w:styleId="59">
    <w:name w:val="列出段落21"/>
    <w:basedOn w:val="1"/>
    <w:qFormat/>
    <w:uiPriority w:val="34"/>
    <w:pPr>
      <w:widowControl w:val="0"/>
      <w:spacing w:line="240" w:lineRule="auto"/>
      <w:ind w:firstLine="420" w:firstLineChars="200"/>
    </w:pPr>
    <w:rPr>
      <w:rFonts w:ascii="Times New Roman" w:hAnsi="Times New Roman" w:eastAsia="宋体" w:cs="Times New Roman"/>
      <w:sz w:val="21"/>
      <w:szCs w:val="20"/>
    </w:rPr>
  </w:style>
  <w:style w:type="paragraph" w:customStyle="1" w:styleId="60">
    <w:name w:val="AONormal"/>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61">
    <w:name w:val="列出段落2"/>
    <w:basedOn w:val="1"/>
    <w:qFormat/>
    <w:uiPriority w:val="34"/>
    <w:pPr>
      <w:widowControl w:val="0"/>
      <w:spacing w:line="240" w:lineRule="auto"/>
      <w:ind w:firstLine="420" w:firstLineChars="200"/>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18270</Words>
  <Characters>19780</Characters>
  <Lines>332</Lines>
  <Paragraphs>93</Paragraphs>
  <TotalTime>78</TotalTime>
  <ScaleCrop>false</ScaleCrop>
  <LinksUpToDate>false</LinksUpToDate>
  <CharactersWithSpaces>20330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2024-06-04T08:46:00Z</dcterms:created>
  <dc:creator>Administrator</dc:creator>
  <cp:lastModifiedBy>晓 </cp:lastModifiedBy>
  <dcterms:modified xsi:type="dcterms:W3CDTF">2025-01-02T07:03:30Z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03F708A075004A5DB8A112192E0B6525_13</vt:lpwstr>
  </property>
  <property fmtid="{D5CDD505-2E9C-101B-9397-08002B2CF9AE}" pid="4" name="KSOTemplateDocerSaveRecord">
    <vt:lpwstr>eyJoZGlkIjoiMzk2MTljMjQ2ZmM1YTViMzFmYmJjNDI2MjcxMWZiNWYiLCJ1c2VySWQiOiI2NzQ5OTQ4MDEifQ==</vt:lpwstr>
  </property>
</Properties>
</file>