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版本号：ZHGJ-HZ-20260200120260213001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汉台区前进东路(天台路-东一环路)排水设施改造提升工程雨水管网智慧管网监测服务项目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ZHGJ-HZ-202602001</w:t>
      </w:r>
      <w:r>
        <w:br/>
      </w:r>
      <w:r>
        <w:br/>
      </w:r>
      <w:r>
        <w:br/>
      </w:r>
    </w:p>
    <w:p>
      <w:pPr>
        <w:pStyle w:val="null3"/>
        <w:jc w:val="center"/>
        <w:outlineLvl w:val="2"/>
      </w:pPr>
      <w:r>
        <w:rPr>
          <w:rFonts w:ascii="仿宋_GB2312" w:hAnsi="仿宋_GB2312" w:cs="仿宋_GB2312" w:eastAsia="仿宋_GB2312"/>
          <w:sz w:val="28"/>
          <w:b/>
        </w:rPr>
        <w:t>汉中市汉台区住房和城乡建设局</w:t>
      </w:r>
    </w:p>
    <w:p>
      <w:pPr>
        <w:pStyle w:val="null3"/>
        <w:jc w:val="center"/>
        <w:outlineLvl w:val="2"/>
      </w:pPr>
      <w:r>
        <w:rPr>
          <w:rFonts w:ascii="仿宋_GB2312" w:hAnsi="仿宋_GB2312" w:cs="仿宋_GB2312" w:eastAsia="仿宋_GB2312"/>
          <w:sz w:val="28"/>
          <w:b/>
        </w:rPr>
        <w:t>中恭鸿建项目管理有限公司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中恭鸿建项目管理有限公司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汉中市汉台区住房和城乡建设局</w:t>
      </w:r>
      <w:r>
        <w:rPr>
          <w:rFonts w:ascii="仿宋_GB2312" w:hAnsi="仿宋_GB2312" w:cs="仿宋_GB2312" w:eastAsia="仿宋_GB2312"/>
        </w:rPr>
        <w:t>委托，拟对</w:t>
      </w:r>
      <w:r>
        <w:rPr>
          <w:rFonts w:ascii="仿宋_GB2312" w:hAnsi="仿宋_GB2312" w:cs="仿宋_GB2312" w:eastAsia="仿宋_GB2312"/>
        </w:rPr>
        <w:t>汉台区前进东路(天台路-东一环路)排水设施改造提升工程雨水管网智慧管网监测服务项目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ZHGJ-HZ-202602001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汉台区前进东路(天台路-东一环路)排水设施改造提升工程雨水管网智慧管网监测服务项目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指定区域内，通过新建方式，构建覆盖关键节点（如排水口、管网交汇处）的智慧监测体系，实现区域雨水管网运行状态的实时感知、数据分析和智能预警。服务内容包含但不限于：设备采购、安装调测、平台服务、运维服务等。（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投标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2、响应文件签署人身份证明：法定代表人参加投标须提供《法定代表人身份证明》及身份证扫描件；法定代表人授权他人参加投标，须提供《法定代表人授权委托书》、被授权人身份证扫描件；</w:t>
      </w:r>
    </w:p>
    <w:p>
      <w:pPr>
        <w:pStyle w:val="null3"/>
      </w:pPr>
      <w:r>
        <w:rPr>
          <w:rFonts w:ascii="仿宋_GB2312" w:hAnsi="仿宋_GB2312" w:cs="仿宋_GB2312" w:eastAsia="仿宋_GB2312"/>
        </w:rPr>
        <w:t>3、供应商资格承诺函：供应商须提供“汉中市政府采购供应商资格承诺函”；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汉中市汉台区住房和城乡建设局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汉中市汉台区天汉大道748号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0916-3183766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中恭鸿建项目管理有限公司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汉中市汉台区前进东路朱家营53号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0916-8817667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汉中市汉台区政府采购管理股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李红</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13509168535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国家发展改革委员会办公厅颁发的《关于招标代理服务收费有关问题的通知》（发改办价格[2003]857号）和《国家发展改革委关于降低部分建设项目收费标准规范收费行为等有关问题的通知》（发改价格[2011]534号）文件的有关规定收取。中标（成交）单位承担招标代理服务费，中标（成交）单位在领取中标（成交）通知书前，须向采购代理机构一次性支付代理服务费。代理服务费的具体金额后续见本项目中标（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汉中市汉台区住房和城乡建设局</w:t>
      </w:r>
      <w:r>
        <w:rPr>
          <w:rFonts w:ascii="仿宋_GB2312" w:hAnsi="仿宋_GB2312" w:cs="仿宋_GB2312" w:eastAsia="仿宋_GB2312"/>
        </w:rPr>
        <w:t>和</w:t>
      </w:r>
      <w:r>
        <w:rPr>
          <w:rFonts w:ascii="仿宋_GB2312" w:hAnsi="仿宋_GB2312" w:cs="仿宋_GB2312" w:eastAsia="仿宋_GB2312"/>
        </w:rPr>
        <w:t>中恭鸿建项目管理有限公司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汉中市汉台区住房和城乡建设局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中恭鸿建项目管理有限公司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汉中市汉台区住房和城乡建设局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中恭鸿建项目管理有限公司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中恭鸿建项目管理有限公司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联系电话：0916-8817667</w:t>
      </w:r>
    </w:p>
    <w:p>
      <w:pPr>
        <w:pStyle w:val="null3"/>
      </w:pPr>
      <w:r>
        <w:rPr>
          <w:rFonts w:ascii="仿宋_GB2312" w:hAnsi="仿宋_GB2312" w:cs="仿宋_GB2312" w:eastAsia="仿宋_GB2312"/>
        </w:rPr>
        <w:t>地址：汉中市汉台区前进东路朱家营53号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指定区域内，通过新建方式，构建覆盖关键节点（如排水口、管网交汇处）的智慧监测体系，实现区域雨水管网运行状态的实时感知、数据分析和智能预警。服务内容包含但不限于：设备采购、安装调测、平台服务、运维服务等。（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汉台区前进东路(天台路-东一环路)排水设施改造提升工程雨水管网智慧管网监测服务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标的名称：汉台区前进东路(天台路-东一环路)排水设施改造提升工程雨水管网智慧管网监测服务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管网监测平台模块服务1项：</w:t>
            </w:r>
          </w:p>
          <w:p>
            <w:pPr>
              <w:pStyle w:val="null3"/>
            </w:pPr>
            <w:r>
              <w:rPr>
                <w:rFonts w:ascii="仿宋_GB2312" w:hAnsi="仿宋_GB2312" w:cs="仿宋_GB2312" w:eastAsia="仿宋_GB2312"/>
                <w:sz w:val="21"/>
                <w:color w:val="000000"/>
              </w:rPr>
              <w:t>1、构建覆盖关排水口、管网交汇处的智慧监测体系，实现区域雨水管网运行状态的实时感知、数据分析和智能预警。</w:t>
            </w:r>
          </w:p>
          <w:p>
            <w:pPr>
              <w:pStyle w:val="null3"/>
            </w:pPr>
            <w:r>
              <w:rPr>
                <w:rFonts w:ascii="仿宋_GB2312" w:hAnsi="仿宋_GB2312" w:cs="仿宋_GB2312" w:eastAsia="仿宋_GB2312"/>
                <w:sz w:val="21"/>
                <w:color w:val="000000"/>
              </w:rPr>
              <w:t>2、确保数据采集频率、传输稳定性与准确性。</w:t>
            </w:r>
          </w:p>
          <w:p>
            <w:pPr>
              <w:pStyle w:val="null3"/>
            </w:pPr>
            <w:r>
              <w:rPr>
                <w:rFonts w:ascii="仿宋_GB2312" w:hAnsi="仿宋_GB2312" w:cs="仿宋_GB2312" w:eastAsia="仿宋_GB2312"/>
                <w:sz w:val="21"/>
                <w:color w:val="000000"/>
              </w:rPr>
              <w:t>3、服务期内，提供7×24小时不间断的数据服务。</w:t>
            </w:r>
          </w:p>
          <w:p>
            <w:pPr>
              <w:pStyle w:val="null3"/>
            </w:pPr>
            <w:r>
              <w:rPr>
                <w:rFonts w:ascii="仿宋_GB2312" w:hAnsi="仿宋_GB2312" w:cs="仿宋_GB2312" w:eastAsia="仿宋_GB2312"/>
                <w:sz w:val="21"/>
                <w:color w:val="000000"/>
              </w:rPr>
              <w:t>4、支持对雨水井、污水井、排水泵站、排口、易涝点、排水管网、污水管网的水质情况（PH值、化学需氧量、氨氮、悬浮物、电导率及H</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O、SO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、CO能耗）进行实时监测，并对超限监测数据进行实时报警提醒，以高亮形式在地图上进行提醒。</w:t>
            </w:r>
          </w:p>
          <w:p>
            <w:pPr>
              <w:pStyle w:val="null3"/>
            </w:pPr>
            <w:r>
              <w:rPr>
                <w:rFonts w:ascii="仿宋_GB2312" w:hAnsi="仿宋_GB2312" w:cs="仿宋_GB2312" w:eastAsia="仿宋_GB2312"/>
                <w:sz w:val="21"/>
                <w:color w:val="000000"/>
              </w:rPr>
              <w:t>5、支持对易涝点水位、降雨量数据监测，支持实时查看易涝点监测设备当前状态及监测数据，当监测数据超过设定的阈值后实时报警提示，</w:t>
            </w:r>
          </w:p>
          <w:p>
            <w:pPr>
              <w:pStyle w:val="null3"/>
            </w:pPr>
            <w:r>
              <w:rPr>
                <w:rFonts w:ascii="仿宋_GB2312" w:hAnsi="仿宋_GB2312" w:cs="仿宋_GB2312" w:eastAsia="仿宋_GB2312"/>
                <w:sz w:val="21"/>
                <w:color w:val="000000"/>
              </w:rPr>
              <w:t>6、支持对雨水井、污水井、排水泵站、排口、易涝点、排水管网、污水管网的液位数据情况进行实时监测，并对超限监测数据进行实时报警提醒，以高亮形式在地图上进行提醒。</w:t>
            </w:r>
          </w:p>
          <w:p>
            <w:pPr>
              <w:pStyle w:val="null3"/>
            </w:pPr>
            <w:r>
              <w:rPr>
                <w:rFonts w:ascii="仿宋_GB2312" w:hAnsi="仿宋_GB2312" w:cs="仿宋_GB2312" w:eastAsia="仿宋_GB2312"/>
                <w:sz w:val="21"/>
                <w:color w:val="000000"/>
              </w:rPr>
              <w:t>7、支持以图表形式统计报警数量，支持按时间段维度进行展示。</w:t>
            </w:r>
          </w:p>
          <w:p>
            <w:pPr>
              <w:pStyle w:val="null3"/>
            </w:pPr>
            <w:r>
              <w:rPr>
                <w:rFonts w:ascii="仿宋_GB2312" w:hAnsi="仿宋_GB2312" w:cs="仿宋_GB2312" w:eastAsia="仿宋_GB2312"/>
                <w:sz w:val="21"/>
                <w:color w:val="000000"/>
              </w:rPr>
              <w:t>8、支持对报警数据按数量、类型进行展示。</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2"/>
                <w:color w:val="000000"/>
              </w:rPr>
              <w:t>管网监测仪设备</w:t>
            </w:r>
            <w:r>
              <w:rPr>
                <w:rFonts w:ascii="仿宋_GB2312" w:hAnsi="仿宋_GB2312" w:cs="仿宋_GB2312" w:eastAsia="仿宋_GB2312"/>
                <w:sz w:val="22"/>
                <w:color w:val="000000"/>
              </w:rPr>
              <w:t>（</w:t>
            </w:r>
            <w:r>
              <w:rPr>
                <w:rFonts w:ascii="仿宋_GB2312" w:hAnsi="仿宋_GB2312" w:cs="仿宋_GB2312" w:eastAsia="仿宋_GB2312"/>
                <w:sz w:val="22"/>
                <w:color w:val="000000"/>
              </w:rPr>
              <w:t>COD+氨氮+流量+液位）8台：</w:t>
            </w:r>
          </w:p>
          <w:p>
            <w:pPr>
              <w:pStyle w:val="null3"/>
              <w:jc w:val="both"/>
            </w:pPr>
            <w:r>
              <w:rPr>
                <w:rFonts w:ascii="仿宋_GB2312" w:hAnsi="仿宋_GB2312" w:cs="仿宋_GB2312" w:eastAsia="仿宋_GB2312"/>
                <w:sz w:val="22"/>
                <w:color w:val="000000"/>
              </w:rPr>
              <w:t>1、设备需支持低功耗，防护等级≥IP68，可续航不低于3年。</w:t>
            </w:r>
          </w:p>
          <w:p>
            <w:pPr>
              <w:pStyle w:val="null3"/>
            </w:pPr>
            <w:r>
              <w:rPr>
                <w:rFonts w:ascii="仿宋_GB2312" w:hAnsi="仿宋_GB2312" w:cs="仿宋_GB2312" w:eastAsia="仿宋_GB2312"/>
                <w:sz w:val="22"/>
                <w:color w:val="000000"/>
              </w:rPr>
              <w:t>2、需支持液晶显示屏展示采集的数据≥1.7英寸LCD、支持水位分级预警，包括告警区、预警区、正常区，智能调节对应等级的采集和上传频率。</w:t>
            </w:r>
          </w:p>
          <w:p>
            <w:pPr>
              <w:pStyle w:val="null3"/>
            </w:pPr>
            <w:r>
              <w:rPr>
                <w:rFonts w:ascii="仿宋_GB2312" w:hAnsi="仿宋_GB2312" w:cs="仿宋_GB2312" w:eastAsia="仿宋_GB2312"/>
                <w:sz w:val="22"/>
                <w:color w:val="000000"/>
              </w:rPr>
              <w:t>3、设备参数配置需支持远程配置、本地配置、断网恢复、数据补传。</w:t>
            </w:r>
          </w:p>
          <w:p>
            <w:pPr>
              <w:pStyle w:val="null3"/>
            </w:pPr>
            <w:r>
              <w:rPr>
                <w:rFonts w:ascii="仿宋_GB2312" w:hAnsi="仿宋_GB2312" w:cs="仿宋_GB2312" w:eastAsia="仿宋_GB2312"/>
                <w:sz w:val="22"/>
                <w:color w:val="000000"/>
              </w:rPr>
              <w:t>4、液位检测参数：测量范围不低于0-8m、精度≤±0.6%FS、液位分辨率≤1cm。</w:t>
            </w:r>
          </w:p>
          <w:p>
            <w:pPr>
              <w:pStyle w:val="null3"/>
            </w:pPr>
            <w:r>
              <w:rPr>
                <w:rFonts w:ascii="仿宋_GB2312" w:hAnsi="仿宋_GB2312" w:cs="仿宋_GB2312" w:eastAsia="仿宋_GB2312"/>
                <w:sz w:val="22"/>
                <w:color w:val="000000"/>
              </w:rPr>
              <w:t>5、化学需氧量参数：测量量程不低于0-500mg/L、测量精度≤±5%FS、分辨率≤0.1mg/L。</w:t>
            </w:r>
          </w:p>
          <w:p>
            <w:pPr>
              <w:pStyle w:val="null3"/>
            </w:pPr>
            <w:r>
              <w:rPr>
                <w:rFonts w:ascii="仿宋_GB2312" w:hAnsi="仿宋_GB2312" w:cs="仿宋_GB2312" w:eastAsia="仿宋_GB2312"/>
                <w:sz w:val="22"/>
                <w:color w:val="000000"/>
              </w:rPr>
              <w:t>6、氨氮参数：测量量程不低于0-1000mg/L、测量精度≤±5%FS、分辨率≤0.1mg/L。</w:t>
            </w:r>
          </w:p>
          <w:p>
            <w:pPr>
              <w:pStyle w:val="null3"/>
            </w:pPr>
            <w:r>
              <w:rPr>
                <w:rFonts w:ascii="仿宋_GB2312" w:hAnsi="仿宋_GB2312" w:cs="仿宋_GB2312" w:eastAsia="仿宋_GB2312"/>
                <w:sz w:val="22"/>
                <w:color w:val="000000"/>
              </w:rPr>
              <w:t>7、流速参数：测量范围不低于0.02-6m/s、流速测量精度≤±1%FS 、分辨率≤1mm/s。</w:t>
            </w:r>
          </w:p>
          <w:p>
            <w:pPr>
              <w:pStyle w:val="null3"/>
            </w:pPr>
            <w:r>
              <w:rPr>
                <w:rFonts w:ascii="仿宋_GB2312" w:hAnsi="仿宋_GB2312" w:cs="仿宋_GB2312" w:eastAsia="仿宋_GB2312"/>
                <w:sz w:val="22"/>
                <w:color w:val="000000"/>
              </w:rPr>
              <w:t>8、传输周期采集周期需支持配置。</w:t>
            </w:r>
          </w:p>
          <w:p>
            <w:pPr>
              <w:pStyle w:val="null3"/>
            </w:pPr>
            <w:r>
              <w:rPr>
                <w:rFonts w:ascii="仿宋_GB2312" w:hAnsi="仿宋_GB2312" w:cs="仿宋_GB2312" w:eastAsia="仿宋_GB2312"/>
                <w:sz w:val="22"/>
                <w:color w:val="000000"/>
              </w:rPr>
              <w:t>9、数据存储≥128Mbit。</w:t>
            </w:r>
          </w:p>
          <w:p>
            <w:pPr>
              <w:pStyle w:val="null3"/>
            </w:pPr>
            <w:r>
              <w:rPr>
                <w:rFonts w:ascii="仿宋_GB2312" w:hAnsi="仿宋_GB2312" w:cs="仿宋_GB2312" w:eastAsia="仿宋_GB2312"/>
                <w:sz w:val="22"/>
                <w:color w:val="000000"/>
              </w:rPr>
              <w:t>10、需支持4G全网通、支持MQTT协议 ；具备整点采集、整点报送功能</w:t>
            </w:r>
          </w:p>
          <w:p>
            <w:pPr>
              <w:pStyle w:val="null3"/>
            </w:pPr>
            <w:r>
              <w:rPr>
                <w:rFonts w:ascii="仿宋_GB2312" w:hAnsi="仿宋_GB2312" w:cs="仿宋_GB2312" w:eastAsia="仿宋_GB2312"/>
                <w:sz w:val="22"/>
                <w:color w:val="000000"/>
              </w:rPr>
              <w:t>11、需支持多参数传感器接入，接入液位、流量、水质传感器后，正常工作。</w:t>
            </w:r>
          </w:p>
          <w:p>
            <w:pPr>
              <w:pStyle w:val="null3"/>
            </w:pPr>
            <w:r>
              <w:rPr>
                <w:rFonts w:ascii="仿宋_GB2312" w:hAnsi="仿宋_GB2312" w:cs="仿宋_GB2312" w:eastAsia="仿宋_GB2312"/>
                <w:sz w:val="22"/>
                <w:color w:val="000000"/>
              </w:rPr>
              <w:t>▲12、需支持智能唤醒、外部非接触唤醒功能、具备数据智能分析、智能分级预警功能。</w:t>
            </w:r>
          </w:p>
          <w:p>
            <w:pPr>
              <w:pStyle w:val="null3"/>
            </w:pPr>
            <w:r>
              <w:rPr>
                <w:rFonts w:ascii="仿宋_GB2312" w:hAnsi="仿宋_GB2312" w:cs="仿宋_GB2312" w:eastAsia="仿宋_GB2312"/>
                <w:sz w:val="22"/>
                <w:color w:val="000000"/>
              </w:rPr>
              <w:t>▲13、需支持远程升级功能。</w:t>
            </w:r>
          </w:p>
          <w:p>
            <w:pPr>
              <w:pStyle w:val="null3"/>
            </w:pPr>
            <w:r>
              <w:rPr>
                <w:rFonts w:ascii="仿宋_GB2312" w:hAnsi="仿宋_GB2312" w:cs="仿宋_GB2312" w:eastAsia="仿宋_GB2312"/>
                <w:sz w:val="22"/>
                <w:color w:val="000000"/>
              </w:rPr>
              <w:t>▲14、设备需具备抗恶劣情况环境能力，需提供防盐雾特性检测报告，盐雾试验等级评定达到“10”级；提供国家认可的权威防爆机构出具的防爆合格证，防爆等级达到Exia IIC T3 Ga或以上。</w:t>
            </w:r>
          </w:p>
          <w:p>
            <w:pPr>
              <w:pStyle w:val="null3"/>
            </w:pPr>
            <w:r>
              <w:rPr>
                <w:rFonts w:ascii="仿宋_GB2312" w:hAnsi="仿宋_GB2312" w:cs="仿宋_GB2312" w:eastAsia="仿宋_GB2312"/>
                <w:sz w:val="22"/>
                <w:color w:val="000000"/>
              </w:rPr>
              <w:t>▲15、提供精度校准报告，超声波流速校准误差不大于±1%FS，COD校准误差不大于±5%FS，氨氮校准误差不大于±5%FS。</w:t>
            </w:r>
          </w:p>
          <w:p>
            <w:pPr>
              <w:pStyle w:val="null3"/>
            </w:pPr>
            <w:r>
              <w:rPr>
                <w:rFonts w:ascii="仿宋_GB2312" w:hAnsi="仿宋_GB2312" w:cs="仿宋_GB2312" w:eastAsia="仿宋_GB2312"/>
                <w:sz w:val="22"/>
                <w:color w:val="000000"/>
              </w:rPr>
              <w:t>16、防冲击防护等级需不低于IK06 。</w:t>
            </w:r>
          </w:p>
          <w:p>
            <w:pPr>
              <w:pStyle w:val="null3"/>
            </w:pPr>
            <w:r>
              <w:rPr>
                <w:rFonts w:ascii="仿宋_GB2312" w:hAnsi="仿宋_GB2312" w:cs="仿宋_GB2312" w:eastAsia="仿宋_GB2312"/>
                <w:sz w:val="22"/>
                <w:color w:val="000000"/>
              </w:rPr>
              <w:t>17、为考虑安装空间情况，设备需为一体式检测设备可支持包含但不限于液位、化学需氧量、氨氮、流速检测能力。</w:t>
            </w:r>
          </w:p>
          <w:p>
            <w:pPr>
              <w:pStyle w:val="null3"/>
            </w:pPr>
            <w:r>
              <w:rPr>
                <w:rFonts w:ascii="仿宋_GB2312" w:hAnsi="仿宋_GB2312" w:cs="仿宋_GB2312" w:eastAsia="仿宋_GB2312"/>
                <w:sz w:val="22"/>
                <w:color w:val="000000"/>
              </w:rPr>
              <w:t>▲18、设备需支持无缝接入汉台区排水内涝管理平台。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2"/>
                <w:color w:val="000000"/>
              </w:rPr>
              <w:t>安装服务1项：</w:t>
            </w:r>
          </w:p>
          <w:p>
            <w:pPr>
              <w:pStyle w:val="null3"/>
              <w:jc w:val="both"/>
            </w:pPr>
            <w:r>
              <w:rPr>
                <w:rFonts w:ascii="仿宋_GB2312" w:hAnsi="仿宋_GB2312" w:cs="仿宋_GB2312" w:eastAsia="仿宋_GB2312"/>
                <w:sz w:val="22"/>
                <w:color w:val="000000"/>
              </w:rPr>
              <w:t>1、设备安装下井，布线等人工，根据现场情况制定合理可行的设备安装方案，以固定牢靠并保证设备正常运行为准。</w:t>
            </w:r>
          </w:p>
          <w:p>
            <w:pPr>
              <w:pStyle w:val="null3"/>
            </w:pPr>
            <w:r>
              <w:rPr>
                <w:rFonts w:ascii="仿宋_GB2312" w:hAnsi="仿宋_GB2312" w:cs="仿宋_GB2312" w:eastAsia="仿宋_GB2312"/>
                <w:sz w:val="22"/>
                <w:color w:val="000000"/>
              </w:rPr>
              <w:t>2、设备辅材，含不锈钢L型支架、不锈钢卡箍、不锈钢膨胀螺丝、底板固定螺丝、镀锌钢管、镀锌钢管直接、DN50PVC管、PVC管直接、PVC管胶水、不锈钢骑马卡、小黄鱼膨胀塞、膨胀钩、扎带等。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2"/>
                <w:color w:val="000000"/>
              </w:rPr>
              <w:t>维护服务3年：</w:t>
            </w:r>
          </w:p>
          <w:p>
            <w:pPr>
              <w:pStyle w:val="null3"/>
              <w:jc w:val="both"/>
            </w:pPr>
            <w:r>
              <w:rPr>
                <w:rFonts w:ascii="仿宋_GB2312" w:hAnsi="仿宋_GB2312" w:cs="仿宋_GB2312" w:eastAsia="仿宋_GB2312"/>
                <w:sz w:val="22"/>
                <w:color w:val="000000"/>
              </w:rPr>
              <w:t>1、确保设备正常运行，含人工、传感器校准，保证设备正常运转，数据回传精准</w:t>
            </w:r>
            <w:r>
              <w:rPr>
                <w:rFonts w:ascii="仿宋_GB2312" w:hAnsi="仿宋_GB2312" w:cs="仿宋_GB2312" w:eastAsia="仿宋_GB2312"/>
                <w:sz w:val="22"/>
                <w:color w:val="000000"/>
              </w:rPr>
              <w:t>,包含4G流量卡费用</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2、包括但不限于对设备进行检查、检修；更换零部件耗材、传感器耗材及校准液维护。</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标准化服务流程：涵盖日常监控、</w:t>
            </w:r>
            <w:r>
              <w:rPr>
                <w:rFonts w:ascii="仿宋_GB2312" w:hAnsi="仿宋_GB2312" w:cs="仿宋_GB2312" w:eastAsia="仿宋_GB2312"/>
                <w:sz w:val="22"/>
                <w:color w:val="000000"/>
              </w:rPr>
              <w:t>定期</w:t>
            </w:r>
            <w:r>
              <w:rPr>
                <w:rFonts w:ascii="仿宋_GB2312" w:hAnsi="仿宋_GB2312" w:cs="仿宋_GB2312" w:eastAsia="仿宋_GB2312"/>
                <w:sz w:val="22"/>
                <w:color w:val="000000"/>
              </w:rPr>
              <w:t>巡检、</w:t>
            </w:r>
            <w:r>
              <w:rPr>
                <w:rFonts w:ascii="仿宋_GB2312" w:hAnsi="仿宋_GB2312" w:cs="仿宋_GB2312" w:eastAsia="仿宋_GB2312"/>
                <w:sz w:val="22"/>
                <w:color w:val="000000"/>
              </w:rPr>
              <w:t>定期</w:t>
            </w:r>
            <w:r>
              <w:rPr>
                <w:rFonts w:ascii="仿宋_GB2312" w:hAnsi="仿宋_GB2312" w:cs="仿宋_GB2312" w:eastAsia="仿宋_GB2312"/>
                <w:sz w:val="22"/>
                <w:color w:val="000000"/>
              </w:rPr>
              <w:t>校准、</w:t>
            </w:r>
            <w:r>
              <w:rPr>
                <w:rFonts w:ascii="仿宋_GB2312" w:hAnsi="仿宋_GB2312" w:cs="仿宋_GB2312" w:eastAsia="仿宋_GB2312"/>
                <w:sz w:val="22"/>
                <w:color w:val="000000"/>
              </w:rPr>
              <w:t>及时</w:t>
            </w:r>
            <w:r>
              <w:rPr>
                <w:rFonts w:ascii="仿宋_GB2312" w:hAnsi="仿宋_GB2312" w:cs="仿宋_GB2312" w:eastAsia="仿宋_GB2312"/>
                <w:sz w:val="22"/>
                <w:color w:val="000000"/>
              </w:rPr>
              <w:t>维修</w:t>
            </w:r>
            <w:r>
              <w:rPr>
                <w:rFonts w:ascii="仿宋_GB2312" w:hAnsi="仿宋_GB2312" w:cs="仿宋_GB2312" w:eastAsia="仿宋_GB2312"/>
                <w:sz w:val="22"/>
                <w:color w:val="000000"/>
              </w:rPr>
              <w:t>（</w:t>
            </w:r>
            <w:r>
              <w:rPr>
                <w:rFonts w:ascii="仿宋_GB2312" w:hAnsi="仿宋_GB2312" w:cs="仿宋_GB2312" w:eastAsia="仿宋_GB2312"/>
                <w:sz w:val="22"/>
                <w:color w:val="000000"/>
              </w:rPr>
              <w:t>投标人需响应维修响应时间和恢复时限及应急措施</w:t>
            </w:r>
            <w:r>
              <w:rPr>
                <w:rFonts w:ascii="仿宋_GB2312" w:hAnsi="仿宋_GB2312" w:cs="仿宋_GB2312" w:eastAsia="仿宋_GB2312"/>
                <w:sz w:val="22"/>
                <w:color w:val="000000"/>
              </w:rPr>
              <w:t>）</w:t>
            </w:r>
            <w:r>
              <w:rPr>
                <w:rFonts w:ascii="仿宋_GB2312" w:hAnsi="仿宋_GB2312" w:cs="仿宋_GB2312" w:eastAsia="仿宋_GB2312"/>
                <w:sz w:val="22"/>
                <w:color w:val="000000"/>
              </w:rPr>
              <w:t>、升级等所有操作环节。</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定期健康报告：每月第</w:t>
            </w:r>
            <w:r>
              <w:rPr>
                <w:rFonts w:ascii="仿宋_GB2312" w:hAnsi="仿宋_GB2312" w:cs="仿宋_GB2312" w:eastAsia="仿宋_GB2312"/>
                <w:sz w:val="22"/>
                <w:color w:val="000000"/>
              </w:rPr>
              <w:t>5个工作日前，提供上一月的《系统健康运行报告》，内容应包括：设备在线率、数据上传成功率、预警事件统计与分析、故障处理情况、电池电量趋势分析、下月维护计划等。</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巡检与校准的深化要求：</w:t>
            </w:r>
          </w:p>
          <w:p>
            <w:pPr>
              <w:pStyle w:val="null3"/>
              <w:jc w:val="both"/>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季度巡检：除常规检查外，每次巡检需使用便携式校验仪对现场设备的液位、流速数据进行交叉比对验证，记录偏差值。</w:t>
            </w:r>
          </w:p>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年度校准：校准必须使用有证标准物质，且校准过程需录制关键步骤视频（如标准样品添加、仪器读数等），随校准报告一同提交。校准不合格的传感器必须立即更换。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汉中市汉台区前进东路(天台路-东一环路)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由采购人和技术人员共同进行验收，验收须以磋商文件、合同、国家相应的标准、规范等为依据。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后自动转为进度款，后期按照进度支付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1份，电子版文件1份（以U盘为载体，电子版内容包括Word版本、签字盖章扫描后的PDF版本响应文件）。2、纸质响应文件均须A4纸打印，分别各自装订成册并编制目录和页码。线下递交响应文件地点：汉中市汉台区前进东路朱家营53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服务响应偏离表 中小企业声明函 供应商应提交的相关资格证明材料 报价表 拟派本项目人员配备表 同类项目业绩一览表 商务条款偏离表 响应文件封面 产品技术参数表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服务响应偏离表 中小企业声明函 供应商应提交的相关资格证明材料 拟派本项目人员配备表 同类项目业绩一览表 报价表 商务条款偏离表 响应文件封面 产品技术参数表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智慧监测模块功能</w:t>
            </w:r>
          </w:p>
        </w:tc>
        <w:tc>
          <w:tcPr>
            <w:tcW w:type="dxa" w:w="2492"/>
          </w:tcPr>
          <w:p>
            <w:pPr>
              <w:pStyle w:val="null3"/>
            </w:pPr>
            <w:r>
              <w:rPr>
                <w:rFonts w:ascii="仿宋_GB2312" w:hAnsi="仿宋_GB2312" w:cs="仿宋_GB2312" w:eastAsia="仿宋_GB2312"/>
              </w:rPr>
              <w:t>1.功能符合性与扩展性、系统功能截图直观友好；2.平台对接方案成熟；功能完整，项目符合度高，专业性强，可实施性强的得14分；功能较完整，项目符合度较高，专业性较强，可实施性较强的得10分；功能基本完整，项目符合度、专业性、可实施性一般的得6分；功能存在一定缺陷，项目符合度较差，专业性、可实施性较差的得2分；功能存在明显缺陷，可实施性存在困难的不得分。 以上内容不提供不得分。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服务响应偏离表</w:t>
            </w:r>
          </w:p>
        </w:tc>
      </w:tr>
      <w:tr>
        <w:tc>
          <w:tcPr>
            <w:tcW w:type="dxa" w:w="831"/>
            <w:vMerge/>
          </w:tcPr>
          <w:p/>
        </w:tc>
        <w:tc>
          <w:tcPr>
            <w:tcW w:type="dxa" w:w="1661"/>
          </w:tcPr>
          <w:p>
            <w:pPr>
              <w:pStyle w:val="null3"/>
            </w:pPr>
            <w:r>
              <w:rPr>
                <w:rFonts w:ascii="仿宋_GB2312" w:hAnsi="仿宋_GB2312" w:cs="仿宋_GB2312" w:eastAsia="仿宋_GB2312"/>
              </w:rPr>
              <w:t>核心设备技术性能</w:t>
            </w:r>
          </w:p>
        </w:tc>
        <w:tc>
          <w:tcPr>
            <w:tcW w:type="dxa" w:w="2492"/>
          </w:tcPr>
          <w:p>
            <w:pPr>
              <w:pStyle w:val="null3"/>
            </w:pPr>
            <w:r>
              <w:rPr>
                <w:rFonts w:ascii="仿宋_GB2312" w:hAnsi="仿宋_GB2312" w:cs="仿宋_GB2312" w:eastAsia="仿宋_GB2312"/>
              </w:rPr>
              <w:t>设备性能完全符合、满足磋商文件采购需求的计14分；磋商文件中设备带“▲”的参数每负偏离一项扣1.5分，扣完为止；不带“▲”的参数每负偏离一项扣0.5分，扣完为止。 提供相应技术参数的佐证材料并标明页码：如产品技术资料、检验报告（或者合格证）、产品说明书、产品彩页、官网截图等佐证材料，无佐证材料按负偏离处理。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运维服务实施方案</w:t>
            </w:r>
          </w:p>
        </w:tc>
        <w:tc>
          <w:tcPr>
            <w:tcW w:type="dxa" w:w="2492"/>
          </w:tcPr>
          <w:p>
            <w:pPr>
              <w:pStyle w:val="null3"/>
            </w:pPr>
            <w:r>
              <w:rPr>
                <w:rFonts w:ascii="仿宋_GB2312" w:hAnsi="仿宋_GB2312" w:cs="仿宋_GB2312" w:eastAsia="仿宋_GB2312"/>
              </w:rPr>
              <w:t>包括但不限于：1.针对本项目组织架构；2.数据质量管理与保障措施；3.提出对监测数据进行分析、并定期出具运行评估报告的方案。方案完整，项目符合度高，专业性强，可实施性强的得21分；方案较完整，项目符合度较高，专业性较强，可实施性较强的得15分；方案基本完整，项目符合度、专业性、可实施性一般的得10分；方案存在一定缺陷，项目符合度较差，专业性、可实施性较差的得5分；方案存在明显缺陷，可实施性存在困难的不得分。 以上内容不提供不得分。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提供近五年内（2021年1月1日至今）完成的类似智慧排水/管网监测项目业绩。（每提供一个得2分，最高得4分）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同类项目业绩一览表</w:t>
            </w:r>
          </w:p>
        </w:tc>
      </w:tr>
      <w:tr>
        <w:tc>
          <w:tcPr>
            <w:tcW w:type="dxa" w:w="831"/>
            <w:vMerge/>
          </w:tcPr>
          <w:p/>
        </w:tc>
        <w:tc>
          <w:tcPr>
            <w:tcW w:type="dxa" w:w="1661"/>
          </w:tcPr>
          <w:p>
            <w:pPr>
              <w:pStyle w:val="null3"/>
            </w:pPr>
            <w:r>
              <w:rPr>
                <w:rFonts w:ascii="仿宋_GB2312" w:hAnsi="仿宋_GB2312" w:cs="仿宋_GB2312" w:eastAsia="仿宋_GB2312"/>
              </w:rPr>
              <w:t>拟派服务团队能力</w:t>
            </w:r>
          </w:p>
        </w:tc>
        <w:tc>
          <w:tcPr>
            <w:tcW w:type="dxa" w:w="2492"/>
          </w:tcPr>
          <w:p>
            <w:pPr>
              <w:pStyle w:val="null3"/>
            </w:pPr>
            <w:r>
              <w:rPr>
                <w:rFonts w:ascii="仿宋_GB2312" w:hAnsi="仿宋_GB2312" w:cs="仿宋_GB2312" w:eastAsia="仿宋_GB2312"/>
              </w:rPr>
              <w:t>1.拟派项目经理具有相关专业高级工程师职称得3分；  2.核心技术人员（硬件、软件）具有相关专业中级以上职称。（每提供1个得1分，未提供不得分，最高得3分）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拟派本项目人员配备表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括但不限于：1.售后服务；2.故障、变更处理；3.备品备件服务；4.巡检系统服务；5.技术咨询服务；6.远程服务；7.原厂售后服务、售后响应时间保障措施。方案完整，项目符合度高，专业性强，可实施性强的得21分；方案较完整，项目符合度较高，专业性较强，可实施性较强的得15分；方案基本完整，项目符合度、专业性、可实施性一般的得10分；方案存在一定缺陷，项目符合度较差，专业性、可实施性较差的得5分；方案存在明显缺陷，可实施性存在困难的不得分。 以上内容不提供不得分。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服务响应偏离表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标基准价，其价格分为满分。其他投标人的价格分统一按照下列公式计算：投标报价得分=（评标基准价/投标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详见附件：拟派本项目人员配备表</w:t>
      </w:r>
    </w:p>
    <w:p>
      <w:pPr>
        <w:pStyle w:val="null3"/>
        <w:ind w:firstLine="960"/>
      </w:pPr>
      <w:r>
        <w:rPr>
          <w:rFonts w:ascii="仿宋_GB2312" w:hAnsi="仿宋_GB2312" w:cs="仿宋_GB2312" w:eastAsia="仿宋_GB2312"/>
        </w:rPr>
        <w:t>详见附件：同类项目业绩一览表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