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版本号：汉区采FW【2026】01号B20260427001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汉台区委办公室安保服务采购项目(二次)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汉区采FW【2026】01号B</w:t>
      </w:r>
      <w:r>
        <w:br/>
      </w:r>
      <w:r>
        <w:br/>
      </w:r>
      <w:r>
        <w:br/>
      </w:r>
    </w:p>
    <w:p>
      <w:pPr>
        <w:pStyle w:val="null3"/>
        <w:jc w:val="center"/>
        <w:outlineLvl w:val="2"/>
      </w:pPr>
      <w:r>
        <w:rPr>
          <w:rFonts w:ascii="仿宋_GB2312" w:hAnsi="仿宋_GB2312" w:cs="仿宋_GB2312" w:eastAsia="仿宋_GB2312"/>
          <w:sz w:val="28"/>
          <w:b/>
        </w:rPr>
        <w:t>中共汉中市汉台区委办公室</w:t>
      </w:r>
    </w:p>
    <w:p>
      <w:pPr>
        <w:pStyle w:val="null3"/>
        <w:jc w:val="center"/>
        <w:outlineLvl w:val="2"/>
      </w:pPr>
      <w:r>
        <w:rPr>
          <w:rFonts w:ascii="仿宋_GB2312" w:hAnsi="仿宋_GB2312" w:cs="仿宋_GB2312" w:eastAsia="仿宋_GB2312"/>
          <w:sz w:val="28"/>
          <w:b/>
        </w:rPr>
        <w:t>汉中市汉台区政府采购中心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汉中市汉台区政府采购中心</w:t>
      </w:r>
      <w:r>
        <w:rPr>
          <w:rFonts w:ascii="仿宋_GB2312" w:hAnsi="仿宋_GB2312" w:cs="仿宋_GB2312" w:eastAsia="仿宋_GB2312"/>
        </w:rPr>
        <w:t>（以下简称“代理机构”）受</w:t>
      </w:r>
      <w:r>
        <w:rPr>
          <w:rFonts w:ascii="仿宋_GB2312" w:hAnsi="仿宋_GB2312" w:cs="仿宋_GB2312" w:eastAsia="仿宋_GB2312"/>
        </w:rPr>
        <w:t>中共汉中市汉台区委办公室</w:t>
      </w:r>
      <w:r>
        <w:rPr>
          <w:rFonts w:ascii="仿宋_GB2312" w:hAnsi="仿宋_GB2312" w:cs="仿宋_GB2312" w:eastAsia="仿宋_GB2312"/>
        </w:rPr>
        <w:t>委托，拟对</w:t>
      </w:r>
      <w:r>
        <w:rPr>
          <w:rFonts w:ascii="仿宋_GB2312" w:hAnsi="仿宋_GB2312" w:cs="仿宋_GB2312" w:eastAsia="仿宋_GB2312"/>
        </w:rPr>
        <w:t>汉台区委办公室安保服务采购项目(二次)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汉区采FW【2026】01号B</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汉台区委办公室安保服务采购项目(二次)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维护区委机关单位区域安全、做好门卫登记管理工作等（具体要求详见磋商文件）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采购包1（保安服务）：属于专门面向小微企业采购。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1、本项目的特定资格要求：（1）营业执照等主体资格证明文件：提供有效存续的企业营业执照（副本）/事业单位法人证书/专业服务机构执业许可证/民办非企业单位登记证书。 （2）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按第七章格式填写） 法人的分支机构参与投标时，除提供《法定代表人授权委托书》外，还须同时提供法人给分支机构出具的授权书。 （3）资格承诺函：提供《汉台区政府采购供应商资格承诺函》。（按第七章格式填写） （4）提供公安机关颁发的保安服务许可证。陕西省外供应商还须出具承诺书（承诺书形式不限），承诺自承接本项目之日起 30 日内向采购人所在地设区的市级人民政府公安机关备案。 （5）响应供应商须提供拟派人员无犯罪记录声明。（格式自拟） 备注：1、以上资格要求均为必备资格，须提供相关证明文件并加盖响应人公章（如相关证明材料由第三方出具，应有第三方公章），缺少其中任何一项，其响应文件视为无效文件。 2、分支机构参与磋商时，响应文件中应附法人出具的授权书。法人只能授权一家分支机构参与磋商，且不能与分支机构同时参与磋商。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中共汉中市汉台区委办公室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杨关海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0916-2213061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汉中市汉台区政府采购中心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陕西省汉中市汉台区汉台区东建设巷1号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邓涛 杨倩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0916-2245542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张森</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0916-2249355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中共汉中市汉台区委办公室</w:t>
      </w:r>
      <w:r>
        <w:rPr>
          <w:rFonts w:ascii="仿宋_GB2312" w:hAnsi="仿宋_GB2312" w:cs="仿宋_GB2312" w:eastAsia="仿宋_GB2312"/>
        </w:rPr>
        <w:t>和</w:t>
      </w:r>
      <w:r>
        <w:rPr>
          <w:rFonts w:ascii="仿宋_GB2312" w:hAnsi="仿宋_GB2312" w:cs="仿宋_GB2312" w:eastAsia="仿宋_GB2312"/>
        </w:rPr>
        <w:t>汉中市汉台区政府采购中心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中共汉中市汉台区委办公室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汉中市汉台区政府采购中心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中共汉中市汉台区委办公室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汉中市汉台区政府采购中心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依据合同约定（验收时间、人员、方式等），采购人定期对服务情况进行检查验收。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中共汉中市汉台区委办公室</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中共汉中市汉台区委办公室</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中共汉中市汉台区委办公室</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联系人：中共汉中市汉台区委办公室</w:t>
      </w:r>
    </w:p>
    <w:p>
      <w:pPr>
        <w:pStyle w:val="null3"/>
      </w:pPr>
      <w:r>
        <w:rPr>
          <w:rFonts w:ascii="仿宋_GB2312" w:hAnsi="仿宋_GB2312" w:cs="仿宋_GB2312" w:eastAsia="仿宋_GB2312"/>
        </w:rPr>
        <w:t>联系电话：0916-2213061</w:t>
      </w:r>
    </w:p>
    <w:p>
      <w:pPr>
        <w:pStyle w:val="null3"/>
      </w:pPr>
      <w:r>
        <w:rPr>
          <w:rFonts w:ascii="仿宋_GB2312" w:hAnsi="仿宋_GB2312" w:cs="仿宋_GB2312" w:eastAsia="仿宋_GB2312"/>
        </w:rPr>
        <w:t>地址：陕西省汉中市汉台区中山街82号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招聘保安10人，维护区委机关单位区域安全、做好门卫登记管理工作等。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348,000.00</w:t>
      </w:r>
    </w:p>
    <w:p>
      <w:pPr>
        <w:pStyle w:val="null3"/>
      </w:pPr>
      <w:r>
        <w:rPr>
          <w:rFonts w:ascii="仿宋_GB2312" w:hAnsi="仿宋_GB2312" w:cs="仿宋_GB2312" w:eastAsia="仿宋_GB2312"/>
        </w:rPr>
        <w:t>采购包最高限价（元）: 348,000.00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安保人数配备10人，具体岗位及保安人员配备情况如下： 1. 中山街门卫 ：6人，工作时长：每天24小时上班，三班轮流值班制度。 2.周公巷门卫：3人，工作时长：每天24小时上班，三班轮流值班制度。 3. 办公楼：1人，工作时长： 8小时。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服务内容：1、维护区委机关单位区域安全，不定时地对所属区域进行安全巡逻、巡查，预防不安全事故发生，白天指挥院内车辆有序停放，晚间按规定巡逻、巡查。 2、做好门卫登记管理工作，严格履行保安员的工作职责，协助总值班室做好信访处置工作，认真做好进出人员出入登记，物品出门要有出门证才能放行，发现问题及时处理，紧急情况及时向甲方主管领导汇报，必要时报警。 3、保安员执行每天24小时上班，三班轮流值班制度，要求按时上、下班，服装整洁，不得迟到、早退、脱岗、旷工，上班期间不得酗酒、不得从事与工作无关的事，做好当班工作记录，交接班清楚。 4、班长每月组织列队训练不少于两次，每次不能少于20分钟。 5、保证保安值班室干净整洁，不得放置杂物，门口责任区整洁卫生。 6、服从本单位主管领导及指派人员的管理，完成领导交办的其它安保工作任务。保安人员若工作出现失职、渎职、脱岗、不服从管理现象，单位有权对保安进行处罚，要求及时调换人员并及时调整人员到岗。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合同履行期限为一年。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中共汉中市汉台区委办公室安全保卫责任区域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依据合同约定（验收时间、人员、方式等），采购人定期对服务情况进行检查验收。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第一季度的第二个月15日前支付该季度的费用，甲方在收到乙方开具的合格发票后根据考勤及考核情况据实支付费用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第二季度的第二个月15日前支付该季度的费用，甲方在收到乙方开具的合格发票后根据考勤及考核情况据实支付费用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第三季度的第二个月15日前支付该季度的费用，甲方在收到乙方开具的合格发票后根据考勤及考核情况据实支付费用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第四季度的第二个月15日前支付该季度的费用，年底遇到财政决算时可提前支付，甲方在收到乙方开具的合格发票后根据考勤及考核情况据实支付费用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任何一方未与对方协商而擅自终止合同，视为违约，由违约方赔偿对方1个月保安费用标准的违约金。本合同在履行过程中发生争议时，由甲、乙双方平等协商解决。协商未果的，可向合同签订地人民法院提起诉讼。相关诉讼费用、保全费、执行费、律师费、等司法费用由败诉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汉台区政府采购供应商资格承诺函.docx 响应函 营业执照.docx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控股关系.docx 供应商应提交的相关资格证明材料.docx 非联合体不分包投标声明.docx 汉台区政府采购供应商资格承诺函.docx 响应函 营业执照.docx 法定代表人授权书.docx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中小企业申明函.docx 服务内容及服务邀请应答表 标的清单（系统） 第一次磋商报价表.docx 无犯罪记录声明.docx 技术服务响应偏差表.docx 标的清单.docx 拒绝政府采购领域商业贿赂承诺书.docx 保安服务许可证.docx 监狱企业证明函.docx 残疾人福利性单位声明函.docx 合同草案条款响应.docx 响应函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 （2）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按第七章格式填写） 法人的分支机构参与投标时，除提供《法定代表人授权委托书》外，还须同时提供法人给分支机构出具的授权书。 （3）资格承诺函：提供《汉台区政府采购供应商资格承诺函》。（按第七章格式填写） （4）提供公安机关颁发的保安服务许可证。陕西省外供应商还须出具承诺书（承诺书形式不限），承诺自承接本项目之日起 30 日内向采购人所在地设区的市级人民政府公安机关备案。 （5）响应供应商须提供拟派人员无犯罪记录声明。（格式自拟） 备注：1、以上资格要求均为必备资格，须提供相关证明文件并加盖响应人公章（如相关证明材料由第三方出具，应有第三方公章），缺少其中任何一项，其响应文件视为无效文件。 2、分支机构参与磋商时，响应文件中应附法人出具的授权书。法人只能授权一家分支机构参与磋商，且不能与分支机构同时参与磋商。</w:t>
            </w:r>
          </w:p>
        </w:tc>
        <w:tc>
          <w:tcPr>
            <w:tcW w:type="dxa" w:w="1661"/>
          </w:tcPr>
          <w:p>
            <w:pPr>
              <w:pStyle w:val="null3"/>
            </w:pPr>
            <w:r>
              <w:rPr>
                <w:rFonts w:ascii="仿宋_GB2312" w:hAnsi="仿宋_GB2312" w:cs="仿宋_GB2312" w:eastAsia="仿宋_GB2312"/>
              </w:rPr>
              <w:t>供应商应提交的相关资格证明材料.docx 无犯罪记录声明.docx 保安服务许可证.docx 汉台区政府采购供应商资格承诺函.docx 营业执照.docx 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标的清单.docx 报价表（系统） 标的清单（系统）</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中小企业申明函.docx 服务内容及服务邀请应答表 商务应答表 报价表（系统） 非联合体不分包投标声明.docx 标的清单（系统） 营业执照.docx 法定代表人授权书.docx 响应文件封面 第一次磋商报价表.docx 供应商应提交的相关资格证明材料.docx 无犯罪记录声明.docx 技术服务响应偏差表.docx 控股关系.docx 标的清单.docx 保安服务许可证.docx 拒绝政府采购领域商业贿赂承诺书.docx 服务方案 监狱企业证明函.docx 残疾人福利性单位声明函.docx 汉台区政府采购供应商资格承诺函.docx 合同草案条款响应.docx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 （如有）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中小企业申明函.docx 服务内容及服务邀请应答表 商务应答表 报价表（系统） 非联合体不分包投标声明.docx 标的清单（系统） 营业执照.docx 法定代表人授权书.docx 响应文件封面 第一次磋商报价表.docx 供应商应提交的相关资格证明材料.docx 无犯罪记录声明.docx 技术服务响应偏差表.docx 控股关系.docx 标的清单.docx 保安服务许可证.docx 拒绝政府采购领域商业贿赂承诺书.docx 服务方案 监狱企业证明函.docx 残疾人福利性单位声明函.docx 汉台区政府采购供应商资格承诺函.docx 合同草案条款响应.docx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第一次磋商报价表.docx 标的清单.docx 报价表（系统） 标的清单（系统）</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响应文件按照磋商文件要求编制，三部分内容齐全，无重大缺漏项。</w:t>
            </w:r>
          </w:p>
        </w:tc>
        <w:tc>
          <w:tcPr>
            <w:tcW w:type="dxa" w:w="1661"/>
          </w:tcPr>
          <w:p>
            <w:pPr>
              <w:pStyle w:val="null3"/>
            </w:pPr>
            <w:r>
              <w:rPr>
                <w:rFonts w:ascii="仿宋_GB2312" w:hAnsi="仿宋_GB2312" w:cs="仿宋_GB2312" w:eastAsia="仿宋_GB2312"/>
              </w:rPr>
              <w:t>中小企业申明函.docx 服务内容及服务邀请应答表 商务应答表 报价表（系统） 非联合体不分包投标声明.docx 标的清单（系统） 营业执照.docx 法定代表人授权书.docx 响应文件封面 第一次磋商报价表.docx 供应商应提交的相关资格证明材料.docx 无犯罪记录声明.docx 技术服务响应偏差表.docx 控股关系.docx 标的清单.docx 保安服务许可证.docx 拒绝政府采购领域商业贿赂承诺书.docx 服务方案 监狱企业证明函.docx 残疾人福利性单位声明函.docx 汉台区政府采购供应商资格承诺函.docx 合同草案条款响应.docx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完全理解并接受对合格供应商、合格的货物、工程或服务要求，根据供应商响应文件《实质性条款响应》，结合磋商文件第三章“★”标识的实质性要求没有负偏离。</w:t>
            </w:r>
          </w:p>
        </w:tc>
        <w:tc>
          <w:tcPr>
            <w:tcW w:type="dxa" w:w="1661"/>
          </w:tcPr>
          <w:p>
            <w:pPr>
              <w:pStyle w:val="null3"/>
            </w:pPr>
            <w:r>
              <w:rPr>
                <w:rFonts w:ascii="仿宋_GB2312" w:hAnsi="仿宋_GB2312" w:cs="仿宋_GB2312" w:eastAsia="仿宋_GB2312"/>
              </w:rPr>
              <w:t>响应文件封面 服务内容及服务邀请应答表 技术服务响应偏差表.docx 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合同草案响应</w:t>
            </w:r>
          </w:p>
        </w:tc>
        <w:tc>
          <w:tcPr>
            <w:tcW w:type="dxa" w:w="3322"/>
          </w:tcPr>
          <w:p>
            <w:pPr>
              <w:pStyle w:val="null3"/>
            </w:pPr>
            <w:r>
              <w:rPr>
                <w:rFonts w:ascii="仿宋_GB2312" w:hAnsi="仿宋_GB2312" w:cs="仿宋_GB2312" w:eastAsia="仿宋_GB2312"/>
              </w:rPr>
              <w:t>有完全理解并接受磋商文件合同草案条款要求的描述。</w:t>
            </w:r>
          </w:p>
        </w:tc>
        <w:tc>
          <w:tcPr>
            <w:tcW w:type="dxa" w:w="1661"/>
          </w:tcPr>
          <w:p>
            <w:pPr>
              <w:pStyle w:val="null3"/>
            </w:pPr>
            <w:r>
              <w:rPr>
                <w:rFonts w:ascii="仿宋_GB2312" w:hAnsi="仿宋_GB2312" w:cs="仿宋_GB2312" w:eastAsia="仿宋_GB2312"/>
              </w:rPr>
              <w:t>响应文件封面 合同草案条款响应.docx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完全理解并填写《拒绝政府采购领域商业贿赂承诺书》。</w:t>
            </w:r>
          </w:p>
        </w:tc>
        <w:tc>
          <w:tcPr>
            <w:tcW w:type="dxa" w:w="1661"/>
          </w:tcPr>
          <w:p>
            <w:pPr>
              <w:pStyle w:val="null3"/>
            </w:pPr>
            <w:r>
              <w:rPr>
                <w:rFonts w:ascii="仿宋_GB2312" w:hAnsi="仿宋_GB2312" w:cs="仿宋_GB2312" w:eastAsia="仿宋_GB2312"/>
              </w:rPr>
              <w:t>响应文件封面 拒绝政府采购领域商业贿赂承诺书.docx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中小企业申明函.docx 服务内容及服务邀请应答表 商务应答表 报价表（系统） 非联合体不分包投标声明.docx 标的清单（系统） 营业执照.docx 法定代表人授权书.docx 响应文件封面 第一次磋商报价表.docx 供应商应提交的相关资格证明材料.docx 无犯罪记录声明.docx 技术服务响应偏差表.docx 控股关系.docx 标的清单.docx 保安服务许可证.docx 拒绝政府采购领域商业贿赂承诺书.docx 服务方案 监狱企业证明函.docx 残疾人福利性单位声明函.docx 汉台区政府采购供应商资格承诺函.docx 合同草案条款响应.docx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一、磋商小组应当根据综合评分情况，按照评审得分由高到低顺序推荐3名以上成交候选供应商（有效供应商不足三家时以实际数量推荐）。评审得分相同的，按照最后报价由低到高的顺序推荐。评审得分且最后报价相同的，按照技术指标优劣顺序推荐。 磋商小组如果启动异常低价响应审查，应当将启动原因、审查意见和审查结果在评审报告中记录，并随供应商提供的相关书面说明及证明材料，以及磋商小组有关互联网浏览、查询历史一并归档。 二、异常低价审查： 政府采购评审中出现下列情形之一的，磋商小组应当启动异常低价响 应审查程序： （1）响应报价低于全部通过符合性审查供应商响应报价平均值 50%的， 即响应报价&lt;全部通过符合性审查供应商响应报价平均值×50%；&gt; （2）响应报价低于通过符合性审查的次低报价供应商响应报价 50%的， 即响应报价&lt;通过符合性审查的次低报价供应商响应报价×50%；&gt; （3）响应报价低于采购项目最高限价 45%的，即响应报价&lt;采购项目最高限价×45%（未设定最高限价的采购项目，以采购项目预算金额作为最高限价）；&gt; （4）磋商小组基于专业判断，认为供应商报价过低，有可能影响产品质量或者不能诚信履约的其他情形。 磋商小组依据专业经验，参考同类项目中标（成交）价格、类似产品市场价格水平、行业人工费用标准、国家有关部门指导行业协会发布的行业平均成本等情况，对报价合理性进行判断。 （5）磋商小组启动异常低价响应审查后，要求相关供应商在评审现场合理的时间内（一般不少于 30 分钟）对响应价格作出解释，提供项目具体成本测算等与报价合理性相关的书面说明及必要的证明材料（包括但不限于原材料成本、人工成本、制造费用等），供应商不能提供书面说明、证明材料，或者提供的书面说明、证明材料不能证明其报价合理性的，磋商小组应当将其作为无效响应处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总体服务方案：响应人提供本项目总体服务方案，包括①服务定位及目标②管理理念③重难点分析及保障措施④项目进驻及筹备程序。</w:t>
            </w:r>
          </w:p>
        </w:tc>
        <w:tc>
          <w:tcPr>
            <w:tcW w:type="dxa" w:w="2492"/>
          </w:tcPr>
          <w:p>
            <w:pPr>
              <w:pStyle w:val="null3"/>
            </w:pPr>
            <w:r>
              <w:rPr>
                <w:rFonts w:ascii="仿宋_GB2312" w:hAnsi="仿宋_GB2312" w:cs="仿宋_GB2312" w:eastAsia="仿宋_GB2312"/>
              </w:rPr>
              <w:t>评审标准 1、完整性：方案必须全面，对评审内容中的各项要求有详细描述； 2、可实施性：切合本项目实际情况，提出步骤清晰、合理的方案； 3、针对性：方案能够紧扣项目实际情况，内容科学合理。 赋分标准（满分 6 分） ①服务定位及目标：每完全满足一个评审标准得 0.5 分，满分 1.5 分； ②管理理念：每完全满足一个评审标准得 0.5 分，满分 1.5 分； ③重难点分析及保障措施：每完全满足一个评审标准得0.5 分， 满分 1.5 分； ④服务理念及特色：每完全满足一个评审标准得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门卫服务方案:针对本项目提出门卫服务方案，内容包括①门卫值守、检查登记② 秩序维护及门岗紧急情况处理③勤务制度。</w:t>
            </w:r>
          </w:p>
        </w:tc>
        <w:tc>
          <w:tcPr>
            <w:tcW w:type="dxa" w:w="2492"/>
          </w:tcPr>
          <w:p>
            <w:pPr>
              <w:pStyle w:val="null3"/>
            </w:pPr>
            <w:r>
              <w:rPr>
                <w:rFonts w:ascii="仿宋_GB2312" w:hAnsi="仿宋_GB2312" w:cs="仿宋_GB2312" w:eastAsia="仿宋_GB2312"/>
              </w:rPr>
              <w:t>评审标准 1、完整性：方案必须全面，对评审内容中的各项要求有详细描述； 2、可实施性：切合本项目实际情况，提出步骤清晰、合理的方案； 3、针对性：方案能够紧扣项目实际情况，内容科学合理。 赋分标准（满分 9 分） ①门卫值守、检查登记：每完全满足一个评审标准得 1 分，满分 3 分； ②秩序维护及门岗紧急情况处理:每完全满足一个评审标准得 1 分，满分 3 分； ③勤务制度:每完全满足一个评审标准得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门卫服务方案.docx</w:t>
            </w:r>
          </w:p>
        </w:tc>
      </w:tr>
      <w:tr>
        <w:tc>
          <w:tcPr>
            <w:tcW w:type="dxa" w:w="831"/>
            <w:vMerge/>
          </w:tcPr>
          <w:p/>
        </w:tc>
        <w:tc>
          <w:tcPr>
            <w:tcW w:type="dxa" w:w="1661"/>
          </w:tcPr>
          <w:p>
            <w:pPr>
              <w:pStyle w:val="null3"/>
            </w:pPr>
            <w:r>
              <w:rPr>
                <w:rFonts w:ascii="仿宋_GB2312" w:hAnsi="仿宋_GB2312" w:cs="仿宋_GB2312" w:eastAsia="仿宋_GB2312"/>
              </w:rPr>
              <w:t>安全巡逻巡查方案：针对本项目提出安全巡逻巡查方案，内容包括①日常巡逻巡查：包含服务范围内的建筑物及重点区域、要害部位②紧急情况处置：包含巡逻巡查过程对不安全因素、安全隐患及不文明行为具有紧急情况的处置能力。</w:t>
            </w:r>
          </w:p>
        </w:tc>
        <w:tc>
          <w:tcPr>
            <w:tcW w:type="dxa" w:w="2492"/>
          </w:tcPr>
          <w:p>
            <w:pPr>
              <w:pStyle w:val="null3"/>
            </w:pPr>
            <w:r>
              <w:rPr>
                <w:rFonts w:ascii="仿宋_GB2312" w:hAnsi="仿宋_GB2312" w:cs="仿宋_GB2312" w:eastAsia="仿宋_GB2312"/>
              </w:rPr>
              <w:t>评审标准 1.完整性：方案须全面，对评审内容中的各项要求有详细描述； 2.可实施性：切合本项目实际情况，实施步骤清晰、合理； 3.针对性：方案能够紧扣项目实际情况，内容科学合理。 赋分标准（满分 6分） ①日常巡逻巡查：每完全满足一个评审标准得 1 分，满分 3 分； ②紧急情况处置：每完全满足一个评审标准得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安全巡逻巡查方案.docx</w:t>
            </w:r>
          </w:p>
        </w:tc>
      </w:tr>
      <w:tr>
        <w:tc>
          <w:tcPr>
            <w:tcW w:type="dxa" w:w="831"/>
            <w:vMerge/>
          </w:tcPr>
          <w:p/>
        </w:tc>
        <w:tc>
          <w:tcPr>
            <w:tcW w:type="dxa" w:w="1661"/>
          </w:tcPr>
          <w:p>
            <w:pPr>
              <w:pStyle w:val="null3"/>
            </w:pPr>
            <w:r>
              <w:rPr>
                <w:rFonts w:ascii="仿宋_GB2312" w:hAnsi="仿宋_GB2312" w:cs="仿宋_GB2312" w:eastAsia="仿宋_GB2312"/>
              </w:rPr>
              <w:t>值守服务方案:针对本项目服务内容提出值守服务方案，方案包括：①公共财物巡查方案②公共财物出入管理。</w:t>
            </w:r>
          </w:p>
        </w:tc>
        <w:tc>
          <w:tcPr>
            <w:tcW w:type="dxa" w:w="2492"/>
          </w:tcPr>
          <w:p>
            <w:pPr>
              <w:pStyle w:val="null3"/>
            </w:pPr>
            <w:r>
              <w:rPr>
                <w:rFonts w:ascii="仿宋_GB2312" w:hAnsi="仿宋_GB2312" w:cs="仿宋_GB2312" w:eastAsia="仿宋_GB2312"/>
              </w:rPr>
              <w:t>评审标准 1.完整性：方案须全面，对评审内容中的各项要求有详细描述； 2.可实施性：切合本项目实际情况，实施步骤清晰、合理； 3.针对性：方案能够紧扣项目实际情况，内容科学合理。 赋分标准(满分 6 分） ： ①公共财物巡查方案：每完全满足一个评审标准得 1 分，满分 3 分； ②公共财物出入管理：每完全满足一个评审标准得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值守服务方案.docx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赋分标准: ①拟派保安队长:具有3年及以上类似安保服务管理经验，得1分；增加一年管理经验额外增加0.5分，最多增加1.5分。（提供相关管理经验证明材料或被服务单位加盖公章的管理经验证明材料，证明材料可累计，格式不限，不提供或提供无效材料均不得分。） ②拟派其他工作人员： 1、人员满足需求，职责划分清晰、合理，得3分； 2、人员满足需求，职责划分较清晰、较合理，得2分； 3、人员满足需求，职责划分不清晰、不合理，得1分； 4、不提供不得分。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机动车（非机动车）辆管理服务方案:响应人提供本项目车辆管理服务方案，包括①指挥车辆停放②维持停车秩序③突发情况紧急处置。</w:t>
            </w:r>
          </w:p>
        </w:tc>
        <w:tc>
          <w:tcPr>
            <w:tcW w:type="dxa" w:w="2492"/>
          </w:tcPr>
          <w:p>
            <w:pPr>
              <w:pStyle w:val="null3"/>
            </w:pPr>
            <w:r>
              <w:rPr>
                <w:rFonts w:ascii="仿宋_GB2312" w:hAnsi="仿宋_GB2312" w:cs="仿宋_GB2312" w:eastAsia="仿宋_GB2312"/>
              </w:rPr>
              <w:t>评审标准 1、完整性：方案必须完整，对评审内容中的各项要求有详细描述； 2、可实施性：切合本项目实际情况，提出步骤清晰、合理； 3、针对性：方案能够紧扣项目实际情况，内容科学合理。 赋分标准（满分 9 分） ①指挥车辆停放：每完全满足一个评审标准得 1 分，满分 3 分； ②维持停车秩序:每完全满足一个评审标准得 1 分，满分 3 分； ③突发情况紧急处置:每完全满足一个评审标准得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机动车（非机动车）辆管理服务方案.docx</w:t>
            </w:r>
          </w:p>
        </w:tc>
      </w:tr>
      <w:tr>
        <w:tc>
          <w:tcPr>
            <w:tcW w:type="dxa" w:w="831"/>
            <w:vMerge/>
          </w:tcPr>
          <w:p/>
        </w:tc>
        <w:tc>
          <w:tcPr>
            <w:tcW w:type="dxa" w:w="1661"/>
          </w:tcPr>
          <w:p>
            <w:pPr>
              <w:pStyle w:val="null3"/>
            </w:pPr>
            <w:r>
              <w:rPr>
                <w:rFonts w:ascii="仿宋_GB2312" w:hAnsi="仿宋_GB2312" w:cs="仿宋_GB2312" w:eastAsia="仿宋_GB2312"/>
              </w:rPr>
              <w:t>应急预案:根据本项目服务工作特点制定应急预案，内容包括①违法事件：如盗窃、暴恐、爆炸、破坏的预防及处置措施②群体性公共安全事件：如打架斗殴、寻衅滋事、意外伤亡、踩踏事件、非法聚集的处置措施③自然紧急事件：恶劣天气、停水停电、消防、防汛的预防及处置措施。</w:t>
            </w:r>
          </w:p>
        </w:tc>
        <w:tc>
          <w:tcPr>
            <w:tcW w:type="dxa" w:w="2492"/>
          </w:tcPr>
          <w:p>
            <w:pPr>
              <w:pStyle w:val="null3"/>
            </w:pPr>
            <w:r>
              <w:rPr>
                <w:rFonts w:ascii="仿宋_GB2312" w:hAnsi="仿宋_GB2312" w:cs="仿宋_GB2312" w:eastAsia="仿宋_GB2312"/>
              </w:rPr>
              <w:t>评审标准 1、完整性：方案必须完整，对评审内容中的各项要求有详细描述； 2、可实施性：切合本项目实际情况，提出步骤清晰、合理； 3、针对性：方案能够紧扣项目实际情况，内容科学合理。 赋分标准（满分 9 分） ①违法事件：每完全满足一个评审标准得 1 分，满分 3分； ②群体性公共安全事件:每完全满足一个评审标准得 1 分，满分 3 分； ③自然紧急事件:每完全满足一个评审标准得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管理制度:提供针对本项目管理制度，①工作制度：岗位工作职责、服务质量标准、工作记录及档案管理制度②内控制度：具有廉洁敬业制度、监督机制、自查制度、物资管理制度③人员管理制度：具有员工日常管理制度、请销假制度、奖惩措施、激励机制、仪容仪表制度。</w:t>
            </w:r>
          </w:p>
        </w:tc>
        <w:tc>
          <w:tcPr>
            <w:tcW w:type="dxa" w:w="2492"/>
          </w:tcPr>
          <w:p>
            <w:pPr>
              <w:pStyle w:val="null3"/>
            </w:pPr>
            <w:r>
              <w:rPr>
                <w:rFonts w:ascii="仿宋_GB2312" w:hAnsi="仿宋_GB2312" w:cs="仿宋_GB2312" w:eastAsia="仿宋_GB2312"/>
              </w:rPr>
              <w:t>评审标准 1、完整性：方案必须完整，对评审内容中的各项要求有详细描述； 2、可实施性：切合本项目实际情况，提出步骤清晰、合理； 3、针对性：方案能够紧扣项目实际情况，内容科学合理。 赋分标准（满分 9 分） ①工作制度：每完全满足一个评审标准得 1 分，满分3分； ②内控制度:每完全满足一个评审标准得1分，满分 3 分； ③人员管理制度:每完全满足一个评审标准得1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培训考核方案:根据本项目制定详细、可行的培训考核方案，保证上岗人员的专业素质、服务质量符合采购人要求，方案内容包含：①岗前培训②定期常态化培训③培训后的考核及奖惩措施。</w:t>
            </w:r>
          </w:p>
        </w:tc>
        <w:tc>
          <w:tcPr>
            <w:tcW w:type="dxa" w:w="2492"/>
          </w:tcPr>
          <w:p>
            <w:pPr>
              <w:pStyle w:val="null3"/>
            </w:pPr>
            <w:r>
              <w:rPr>
                <w:rFonts w:ascii="仿宋_GB2312" w:hAnsi="仿宋_GB2312" w:cs="仿宋_GB2312" w:eastAsia="仿宋_GB2312"/>
              </w:rPr>
              <w:t>评审标准 1、完整性：方案必须完整，对评审内容中的各项要求有详细描述； 2、可实施性：切合本项目实际情况，提出步骤清晰、合理； 3、针对性：方案能够紧扣项目实际情况，内容科学合理。 赋分标准（满分4.5分） ①岗前培训：每完全满足一个评审标准得0.5分，满分1.5分； ②定期常态化培训:每完全满足一个评审标准得0.5 分，满分1.5 分； ③培训后的考核及奖惩措施:每完全满足一个评审标准得0.5分，满分1.5分。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培训考核方案.docx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2023年1月1日以来类似项目业绩（以合同签订日期为准），每份合格业绩合同计 1 分，满分3分； 备注：须提供完整合同业绩及对应发票复印件（发票可提供服务期内任意一张），并加盖供应商公章，以上两种证明材料同时提供方可得分，否则不得分。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1.承诺：接受采购人对本项目服务的考核、监督及管理， 定期调研采购人对服务质量的满意度并加以改进，确保服务工作的优质高效，得1分。无承诺不得分。 2.承诺：上岗人员固定，不随意更换，若出现服务人员因事、病等不能工作的，能及时调整其他服务人员补充，确保服务工作的正常进行，得1分。无承诺不得分。 承诺：储备可调度人员，调度人员可保障重大活动、突发事件的临时任务调度需要，得1分。无承诺不得分。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有效最低响应人报价为基准价计30分；其他各响应人的报价按下列公式计算：报价得分=（基准价/最后报价）×30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报价表（系统）</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详见附件：中小企业申明函.docx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详见附件：监狱企业证明函.docx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详见附件：保安服务许可证.docx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详见附件：报价表（系统）</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详见附件：无犯罪记录声明.docx</w:t>
      </w:r>
    </w:p>
    <w:p>
      <w:pPr>
        <w:pStyle w:val="null3"/>
        <w:ind w:firstLine="960"/>
      </w:pPr>
      <w:r>
        <w:rPr>
          <w:rFonts w:ascii="仿宋_GB2312" w:hAnsi="仿宋_GB2312" w:cs="仿宋_GB2312" w:eastAsia="仿宋_GB2312"/>
        </w:rPr>
        <w:t>详见附件：汉台区政府采购供应商资格承诺函.docx</w:t>
      </w:r>
    </w:p>
    <w:p>
      <w:pPr>
        <w:pStyle w:val="null3"/>
        <w:ind w:firstLine="960"/>
      </w:pPr>
      <w:r>
        <w:rPr>
          <w:rFonts w:ascii="仿宋_GB2312" w:hAnsi="仿宋_GB2312" w:cs="仿宋_GB2312" w:eastAsia="仿宋_GB2312"/>
        </w:rPr>
        <w:t>详见附件：合同草案条款响应.docx</w:t>
      </w:r>
    </w:p>
    <w:p>
      <w:pPr>
        <w:pStyle w:val="null3"/>
        <w:ind w:firstLine="960"/>
      </w:pPr>
      <w:r>
        <w:rPr>
          <w:rFonts w:ascii="仿宋_GB2312" w:hAnsi="仿宋_GB2312" w:cs="仿宋_GB2312" w:eastAsia="仿宋_GB2312"/>
        </w:rPr>
        <w:t>详见附件：标的清单.docx</w:t>
      </w:r>
    </w:p>
    <w:p>
      <w:pPr>
        <w:pStyle w:val="null3"/>
        <w:ind w:firstLine="960"/>
      </w:pPr>
      <w:r>
        <w:rPr>
          <w:rFonts w:ascii="仿宋_GB2312" w:hAnsi="仿宋_GB2312" w:cs="仿宋_GB2312" w:eastAsia="仿宋_GB2312"/>
        </w:rPr>
        <w:t>详见附件：标的清单（系统）</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详见附件：技术服务响应偏差表.docx</w:t>
      </w:r>
    </w:p>
    <w:p>
      <w:pPr>
        <w:pStyle w:val="null3"/>
        <w:ind w:firstLine="960"/>
      </w:pPr>
      <w:r>
        <w:rPr>
          <w:rFonts w:ascii="仿宋_GB2312" w:hAnsi="仿宋_GB2312" w:cs="仿宋_GB2312" w:eastAsia="仿宋_GB2312"/>
        </w:rPr>
        <w:t>详见附件：控股关系.docx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详见附件：门卫服务方案.docx</w:t>
      </w:r>
    </w:p>
    <w:p>
      <w:pPr>
        <w:pStyle w:val="null3"/>
        <w:ind w:firstLine="960"/>
      </w:pPr>
      <w:r>
        <w:rPr>
          <w:rFonts w:ascii="仿宋_GB2312" w:hAnsi="仿宋_GB2312" w:cs="仿宋_GB2312" w:eastAsia="仿宋_GB2312"/>
        </w:rPr>
        <w:t>详见附件：安全巡逻巡查方案.docx</w:t>
      </w:r>
    </w:p>
    <w:p>
      <w:pPr>
        <w:pStyle w:val="null3"/>
        <w:ind w:firstLine="960"/>
      </w:pPr>
      <w:r>
        <w:rPr>
          <w:rFonts w:ascii="仿宋_GB2312" w:hAnsi="仿宋_GB2312" w:cs="仿宋_GB2312" w:eastAsia="仿宋_GB2312"/>
        </w:rPr>
        <w:t>详见附件：值守服务方案.docx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详见附件：机动车（非机动车）辆管理服务方案.docx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详见附件：培训考核方案.docx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