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B31FC">
      <w:pPr>
        <w:numPr>
          <w:ilvl w:val="0"/>
          <w:numId w:val="0"/>
        </w:numPr>
        <w:spacing w:line="500" w:lineRule="exact"/>
        <w:ind w:leftChars="0"/>
        <w:jc w:val="center"/>
        <w:rPr>
          <w:rFonts w:hint="eastAsia" w:ascii="仿宋" w:hAnsi="仿宋" w:eastAsia="仿宋"/>
          <w:b/>
          <w:color w:val="auto"/>
          <w:sz w:val="32"/>
          <w:szCs w:val="32"/>
        </w:rPr>
      </w:pPr>
      <w:r>
        <w:rPr>
          <w:rFonts w:hint="eastAsia" w:ascii="仿宋" w:hAnsi="仿宋" w:eastAsia="仿宋"/>
          <w:b/>
          <w:color w:val="auto"/>
          <w:sz w:val="32"/>
          <w:szCs w:val="32"/>
          <w:lang w:val="en-US" w:eastAsia="zh-CN"/>
        </w:rPr>
        <w:t>技术</w:t>
      </w:r>
      <w:bookmarkStart w:id="0" w:name="_GoBack"/>
      <w:bookmarkEnd w:id="0"/>
      <w:r>
        <w:rPr>
          <w:rFonts w:hint="eastAsia" w:ascii="仿宋" w:hAnsi="仿宋" w:eastAsia="仿宋"/>
          <w:b/>
          <w:color w:val="auto"/>
          <w:sz w:val="32"/>
          <w:szCs w:val="32"/>
        </w:rPr>
        <w:t>服务</w:t>
      </w:r>
      <w:r>
        <w:rPr>
          <w:rFonts w:hint="eastAsia" w:ascii="仿宋" w:hAnsi="仿宋" w:eastAsia="仿宋"/>
          <w:b/>
          <w:color w:val="auto"/>
          <w:sz w:val="32"/>
          <w:szCs w:val="32"/>
          <w:lang w:eastAsia="zh-CN"/>
        </w:rPr>
        <w:t>响应</w:t>
      </w:r>
      <w:r>
        <w:rPr>
          <w:rFonts w:hint="eastAsia" w:ascii="仿宋" w:hAnsi="仿宋" w:eastAsia="仿宋"/>
          <w:b/>
          <w:color w:val="auto"/>
          <w:sz w:val="32"/>
          <w:szCs w:val="32"/>
        </w:rPr>
        <w:t>偏差表</w:t>
      </w:r>
    </w:p>
    <w:tbl>
      <w:tblPr>
        <w:tblStyle w:val="3"/>
        <w:tblpPr w:leftFromText="180" w:rightFromText="180" w:vertAnchor="text" w:horzAnchor="page" w:tblpX="1748" w:tblpY="384"/>
        <w:tblOverlap w:val="never"/>
        <w:tblW w:w="8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
        <w:gridCol w:w="1423"/>
        <w:gridCol w:w="2599"/>
        <w:gridCol w:w="1375"/>
        <w:gridCol w:w="2350"/>
      </w:tblGrid>
      <w:tr w14:paraId="5A90B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890" w:type="dxa"/>
            <w:shd w:val="clear" w:color="auto" w:fill="D8D8D8"/>
            <w:vAlign w:val="center"/>
          </w:tcPr>
          <w:p w14:paraId="7400C941">
            <w:pPr>
              <w:spacing w:line="320" w:lineRule="exact"/>
              <w:jc w:val="cente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序号</w:t>
            </w:r>
          </w:p>
        </w:tc>
        <w:tc>
          <w:tcPr>
            <w:tcW w:w="1423" w:type="dxa"/>
            <w:shd w:val="clear" w:color="auto" w:fill="D8D8D8"/>
            <w:vAlign w:val="center"/>
          </w:tcPr>
          <w:p w14:paraId="0E721064">
            <w:pPr>
              <w:spacing w:line="320" w:lineRule="exact"/>
              <w:jc w:val="cente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文件要求</w:t>
            </w:r>
          </w:p>
        </w:tc>
        <w:tc>
          <w:tcPr>
            <w:tcW w:w="2599" w:type="dxa"/>
            <w:shd w:val="clear" w:color="auto" w:fill="D8D8D8"/>
            <w:vAlign w:val="center"/>
          </w:tcPr>
          <w:p w14:paraId="58732BCE">
            <w:pPr>
              <w:spacing w:line="320" w:lineRule="exact"/>
              <w:jc w:val="cente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lang w:val="en-US" w:eastAsia="zh-CN"/>
              </w:rPr>
              <w:t>响应</w:t>
            </w:r>
            <w:r>
              <w:rPr>
                <w:rFonts w:hint="eastAsia" w:ascii="仿宋_GB2312" w:hAnsi="仿宋_GB2312" w:eastAsia="仿宋_GB2312" w:cs="仿宋_GB2312"/>
                <w:b/>
                <w:color w:val="auto"/>
                <w:sz w:val="28"/>
                <w:szCs w:val="28"/>
              </w:rPr>
              <w:t>文件响应条款</w:t>
            </w:r>
          </w:p>
        </w:tc>
        <w:tc>
          <w:tcPr>
            <w:tcW w:w="1375" w:type="dxa"/>
            <w:shd w:val="clear" w:color="auto" w:fill="D8D8D8"/>
            <w:vAlign w:val="center"/>
          </w:tcPr>
          <w:p w14:paraId="0E42D705">
            <w:pPr>
              <w:spacing w:line="320" w:lineRule="exact"/>
              <w:jc w:val="center"/>
              <w:rPr>
                <w:rFonts w:hint="eastAsia" w:ascii="仿宋_GB2312" w:hAnsi="仿宋_GB2312" w:eastAsia="仿宋_GB2312" w:cs="仿宋_GB2312"/>
                <w:b/>
                <w:color w:val="auto"/>
                <w:sz w:val="28"/>
                <w:szCs w:val="28"/>
              </w:rPr>
            </w:pPr>
            <w:r>
              <w:rPr>
                <w:rFonts w:hint="eastAsia" w:ascii="仿宋_GB2312" w:hAnsi="仿宋_GB2312" w:eastAsia="仿宋_GB2312" w:cs="仿宋_GB2312"/>
                <w:b/>
                <w:bCs/>
                <w:color w:val="auto"/>
                <w:sz w:val="28"/>
                <w:szCs w:val="28"/>
              </w:rPr>
              <w:t>偏离程度</w:t>
            </w:r>
          </w:p>
        </w:tc>
        <w:tc>
          <w:tcPr>
            <w:tcW w:w="2350" w:type="dxa"/>
            <w:shd w:val="clear" w:color="auto" w:fill="D8D8D8"/>
            <w:vAlign w:val="center"/>
          </w:tcPr>
          <w:p w14:paraId="2E8D404A">
            <w:pPr>
              <w:spacing w:line="320" w:lineRule="exact"/>
              <w:jc w:val="cente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偏离简述</w:t>
            </w:r>
          </w:p>
          <w:p w14:paraId="60F10ADA">
            <w:pPr>
              <w:spacing w:line="320" w:lineRule="exact"/>
              <w:jc w:val="cente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或相关证明材料</w:t>
            </w:r>
          </w:p>
        </w:tc>
      </w:tr>
      <w:tr w14:paraId="1DA1A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890" w:type="dxa"/>
            <w:vAlign w:val="center"/>
          </w:tcPr>
          <w:p w14:paraId="58034E17">
            <w:pPr>
              <w:spacing w:line="440" w:lineRule="exac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p>
        </w:tc>
        <w:tc>
          <w:tcPr>
            <w:tcW w:w="1423" w:type="dxa"/>
            <w:vAlign w:val="center"/>
          </w:tcPr>
          <w:p w14:paraId="0241679D">
            <w:pPr>
              <w:spacing w:line="440" w:lineRule="exact"/>
              <w:rPr>
                <w:rFonts w:hint="eastAsia" w:ascii="仿宋_GB2312" w:hAnsi="仿宋_GB2312" w:eastAsia="仿宋_GB2312" w:cs="仿宋_GB2312"/>
                <w:color w:val="auto"/>
                <w:sz w:val="28"/>
                <w:szCs w:val="28"/>
              </w:rPr>
            </w:pPr>
          </w:p>
        </w:tc>
        <w:tc>
          <w:tcPr>
            <w:tcW w:w="2599" w:type="dxa"/>
            <w:vAlign w:val="center"/>
          </w:tcPr>
          <w:p w14:paraId="4DBA79D3">
            <w:pPr>
              <w:spacing w:line="440" w:lineRule="exact"/>
              <w:rPr>
                <w:rFonts w:hint="eastAsia" w:ascii="仿宋_GB2312" w:hAnsi="仿宋_GB2312" w:eastAsia="仿宋_GB2312" w:cs="仿宋_GB2312"/>
                <w:color w:val="auto"/>
                <w:sz w:val="28"/>
                <w:szCs w:val="28"/>
              </w:rPr>
            </w:pPr>
          </w:p>
        </w:tc>
        <w:tc>
          <w:tcPr>
            <w:tcW w:w="1375" w:type="dxa"/>
            <w:vAlign w:val="center"/>
          </w:tcPr>
          <w:p w14:paraId="0323F4D3">
            <w:pPr>
              <w:spacing w:line="440" w:lineRule="exact"/>
              <w:rPr>
                <w:rFonts w:hint="eastAsia" w:ascii="仿宋_GB2312" w:hAnsi="仿宋_GB2312" w:eastAsia="仿宋_GB2312" w:cs="仿宋_GB2312"/>
                <w:color w:val="auto"/>
                <w:sz w:val="28"/>
                <w:szCs w:val="28"/>
              </w:rPr>
            </w:pPr>
          </w:p>
        </w:tc>
        <w:tc>
          <w:tcPr>
            <w:tcW w:w="2350" w:type="dxa"/>
            <w:vAlign w:val="center"/>
          </w:tcPr>
          <w:p w14:paraId="72E91B63">
            <w:pPr>
              <w:spacing w:line="440" w:lineRule="exact"/>
              <w:rPr>
                <w:rFonts w:hint="eastAsia" w:ascii="仿宋_GB2312" w:hAnsi="仿宋_GB2312" w:eastAsia="仿宋_GB2312" w:cs="仿宋_GB2312"/>
                <w:color w:val="auto"/>
                <w:sz w:val="28"/>
                <w:szCs w:val="28"/>
              </w:rPr>
            </w:pPr>
          </w:p>
        </w:tc>
      </w:tr>
      <w:tr w14:paraId="3450F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890" w:type="dxa"/>
            <w:vAlign w:val="center"/>
          </w:tcPr>
          <w:p w14:paraId="71E36AFE">
            <w:pPr>
              <w:spacing w:line="440" w:lineRule="exac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p>
        </w:tc>
        <w:tc>
          <w:tcPr>
            <w:tcW w:w="1423" w:type="dxa"/>
            <w:vAlign w:val="center"/>
          </w:tcPr>
          <w:p w14:paraId="7361F913">
            <w:pPr>
              <w:spacing w:line="440" w:lineRule="exact"/>
              <w:rPr>
                <w:rFonts w:hint="eastAsia" w:ascii="仿宋_GB2312" w:hAnsi="仿宋_GB2312" w:eastAsia="仿宋_GB2312" w:cs="仿宋_GB2312"/>
                <w:color w:val="auto"/>
                <w:sz w:val="28"/>
                <w:szCs w:val="28"/>
              </w:rPr>
            </w:pPr>
          </w:p>
        </w:tc>
        <w:tc>
          <w:tcPr>
            <w:tcW w:w="2599" w:type="dxa"/>
            <w:vAlign w:val="center"/>
          </w:tcPr>
          <w:p w14:paraId="38F62873">
            <w:pPr>
              <w:spacing w:line="440" w:lineRule="exact"/>
              <w:rPr>
                <w:rFonts w:hint="eastAsia" w:ascii="仿宋_GB2312" w:hAnsi="仿宋_GB2312" w:eastAsia="仿宋_GB2312" w:cs="仿宋_GB2312"/>
                <w:color w:val="auto"/>
                <w:sz w:val="28"/>
                <w:szCs w:val="28"/>
              </w:rPr>
            </w:pPr>
          </w:p>
        </w:tc>
        <w:tc>
          <w:tcPr>
            <w:tcW w:w="1375" w:type="dxa"/>
            <w:vAlign w:val="center"/>
          </w:tcPr>
          <w:p w14:paraId="6A27C0FC">
            <w:pPr>
              <w:spacing w:line="440" w:lineRule="exact"/>
              <w:rPr>
                <w:rFonts w:hint="eastAsia" w:ascii="仿宋_GB2312" w:hAnsi="仿宋_GB2312" w:eastAsia="仿宋_GB2312" w:cs="仿宋_GB2312"/>
                <w:color w:val="auto"/>
                <w:sz w:val="28"/>
                <w:szCs w:val="28"/>
              </w:rPr>
            </w:pPr>
          </w:p>
        </w:tc>
        <w:tc>
          <w:tcPr>
            <w:tcW w:w="2350" w:type="dxa"/>
            <w:vAlign w:val="center"/>
          </w:tcPr>
          <w:p w14:paraId="14B4C4D8">
            <w:pPr>
              <w:spacing w:line="440" w:lineRule="exact"/>
              <w:rPr>
                <w:rFonts w:hint="eastAsia" w:ascii="仿宋_GB2312" w:hAnsi="仿宋_GB2312" w:eastAsia="仿宋_GB2312" w:cs="仿宋_GB2312"/>
                <w:color w:val="auto"/>
                <w:sz w:val="28"/>
                <w:szCs w:val="28"/>
              </w:rPr>
            </w:pPr>
          </w:p>
        </w:tc>
      </w:tr>
      <w:tr w14:paraId="55BA6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890" w:type="dxa"/>
            <w:vAlign w:val="center"/>
          </w:tcPr>
          <w:p w14:paraId="5750A105">
            <w:pPr>
              <w:spacing w:line="440" w:lineRule="exac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w:t>
            </w:r>
          </w:p>
        </w:tc>
        <w:tc>
          <w:tcPr>
            <w:tcW w:w="1423" w:type="dxa"/>
            <w:vAlign w:val="center"/>
          </w:tcPr>
          <w:p w14:paraId="0367DA9F">
            <w:pPr>
              <w:spacing w:line="440" w:lineRule="exact"/>
              <w:rPr>
                <w:rFonts w:hint="eastAsia" w:ascii="仿宋_GB2312" w:hAnsi="仿宋_GB2312" w:eastAsia="仿宋_GB2312" w:cs="仿宋_GB2312"/>
                <w:color w:val="auto"/>
                <w:sz w:val="28"/>
                <w:szCs w:val="28"/>
              </w:rPr>
            </w:pPr>
          </w:p>
        </w:tc>
        <w:tc>
          <w:tcPr>
            <w:tcW w:w="2599" w:type="dxa"/>
            <w:vAlign w:val="center"/>
          </w:tcPr>
          <w:p w14:paraId="757B6357">
            <w:pPr>
              <w:spacing w:line="440" w:lineRule="exact"/>
              <w:rPr>
                <w:rFonts w:hint="eastAsia" w:ascii="仿宋_GB2312" w:hAnsi="仿宋_GB2312" w:eastAsia="仿宋_GB2312" w:cs="仿宋_GB2312"/>
                <w:color w:val="auto"/>
                <w:sz w:val="28"/>
                <w:szCs w:val="28"/>
              </w:rPr>
            </w:pPr>
          </w:p>
        </w:tc>
        <w:tc>
          <w:tcPr>
            <w:tcW w:w="1375" w:type="dxa"/>
            <w:vAlign w:val="center"/>
          </w:tcPr>
          <w:p w14:paraId="1CD62764">
            <w:pPr>
              <w:spacing w:line="440" w:lineRule="exact"/>
              <w:rPr>
                <w:rFonts w:hint="eastAsia" w:ascii="仿宋_GB2312" w:hAnsi="仿宋_GB2312" w:eastAsia="仿宋_GB2312" w:cs="仿宋_GB2312"/>
                <w:color w:val="auto"/>
                <w:sz w:val="28"/>
                <w:szCs w:val="28"/>
              </w:rPr>
            </w:pPr>
          </w:p>
        </w:tc>
        <w:tc>
          <w:tcPr>
            <w:tcW w:w="2350" w:type="dxa"/>
            <w:vAlign w:val="center"/>
          </w:tcPr>
          <w:p w14:paraId="413F717F">
            <w:pPr>
              <w:spacing w:line="440" w:lineRule="exact"/>
              <w:rPr>
                <w:rFonts w:hint="eastAsia" w:ascii="仿宋_GB2312" w:hAnsi="仿宋_GB2312" w:eastAsia="仿宋_GB2312" w:cs="仿宋_GB2312"/>
                <w:color w:val="auto"/>
                <w:sz w:val="28"/>
                <w:szCs w:val="28"/>
              </w:rPr>
            </w:pPr>
          </w:p>
        </w:tc>
      </w:tr>
      <w:tr w14:paraId="45E28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890" w:type="dxa"/>
            <w:vAlign w:val="center"/>
          </w:tcPr>
          <w:p w14:paraId="7AB95E88">
            <w:pPr>
              <w:spacing w:line="440" w:lineRule="exact"/>
              <w:rPr>
                <w:rFonts w:hint="eastAsia" w:ascii="仿宋_GB2312" w:hAnsi="仿宋_GB2312" w:eastAsia="仿宋_GB2312" w:cs="仿宋_GB2312"/>
                <w:color w:val="auto"/>
                <w:sz w:val="28"/>
                <w:szCs w:val="28"/>
              </w:rPr>
            </w:pPr>
          </w:p>
        </w:tc>
        <w:tc>
          <w:tcPr>
            <w:tcW w:w="1423" w:type="dxa"/>
            <w:vAlign w:val="center"/>
          </w:tcPr>
          <w:p w14:paraId="51F6E171">
            <w:pPr>
              <w:spacing w:line="440" w:lineRule="exact"/>
              <w:rPr>
                <w:rFonts w:hint="eastAsia" w:ascii="仿宋_GB2312" w:hAnsi="仿宋_GB2312" w:eastAsia="仿宋_GB2312" w:cs="仿宋_GB2312"/>
                <w:color w:val="auto"/>
                <w:sz w:val="28"/>
                <w:szCs w:val="28"/>
              </w:rPr>
            </w:pPr>
          </w:p>
        </w:tc>
        <w:tc>
          <w:tcPr>
            <w:tcW w:w="2599" w:type="dxa"/>
            <w:vAlign w:val="center"/>
          </w:tcPr>
          <w:p w14:paraId="36765FC5">
            <w:pPr>
              <w:spacing w:line="440" w:lineRule="exact"/>
              <w:rPr>
                <w:rFonts w:hint="eastAsia" w:ascii="仿宋_GB2312" w:hAnsi="仿宋_GB2312" w:eastAsia="仿宋_GB2312" w:cs="仿宋_GB2312"/>
                <w:color w:val="auto"/>
                <w:sz w:val="28"/>
                <w:szCs w:val="28"/>
              </w:rPr>
            </w:pPr>
          </w:p>
        </w:tc>
        <w:tc>
          <w:tcPr>
            <w:tcW w:w="1375" w:type="dxa"/>
            <w:vAlign w:val="center"/>
          </w:tcPr>
          <w:p w14:paraId="263CB154">
            <w:pPr>
              <w:spacing w:line="440" w:lineRule="exact"/>
              <w:rPr>
                <w:rFonts w:hint="eastAsia" w:ascii="仿宋_GB2312" w:hAnsi="仿宋_GB2312" w:eastAsia="仿宋_GB2312" w:cs="仿宋_GB2312"/>
                <w:color w:val="auto"/>
                <w:sz w:val="28"/>
                <w:szCs w:val="28"/>
              </w:rPr>
            </w:pPr>
          </w:p>
        </w:tc>
        <w:tc>
          <w:tcPr>
            <w:tcW w:w="2350" w:type="dxa"/>
            <w:vAlign w:val="center"/>
          </w:tcPr>
          <w:p w14:paraId="2FA38631">
            <w:pPr>
              <w:spacing w:line="440" w:lineRule="exact"/>
              <w:rPr>
                <w:rFonts w:hint="eastAsia" w:ascii="仿宋_GB2312" w:hAnsi="仿宋_GB2312" w:eastAsia="仿宋_GB2312" w:cs="仿宋_GB2312"/>
                <w:color w:val="auto"/>
                <w:sz w:val="28"/>
                <w:szCs w:val="28"/>
              </w:rPr>
            </w:pPr>
          </w:p>
        </w:tc>
      </w:tr>
      <w:tr w14:paraId="0F4F0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890" w:type="dxa"/>
            <w:vAlign w:val="center"/>
          </w:tcPr>
          <w:p w14:paraId="2C922AB0">
            <w:pPr>
              <w:spacing w:line="440" w:lineRule="exact"/>
              <w:rPr>
                <w:rFonts w:hint="eastAsia" w:ascii="仿宋_GB2312" w:hAnsi="仿宋_GB2312" w:eastAsia="仿宋_GB2312" w:cs="仿宋_GB2312"/>
                <w:color w:val="auto"/>
                <w:sz w:val="28"/>
                <w:szCs w:val="28"/>
              </w:rPr>
            </w:pPr>
          </w:p>
        </w:tc>
        <w:tc>
          <w:tcPr>
            <w:tcW w:w="1423" w:type="dxa"/>
            <w:vAlign w:val="center"/>
          </w:tcPr>
          <w:p w14:paraId="19175774">
            <w:pPr>
              <w:spacing w:line="440" w:lineRule="exact"/>
              <w:rPr>
                <w:rFonts w:hint="eastAsia" w:ascii="仿宋_GB2312" w:hAnsi="仿宋_GB2312" w:eastAsia="仿宋_GB2312" w:cs="仿宋_GB2312"/>
                <w:color w:val="auto"/>
                <w:sz w:val="28"/>
                <w:szCs w:val="28"/>
              </w:rPr>
            </w:pPr>
          </w:p>
        </w:tc>
        <w:tc>
          <w:tcPr>
            <w:tcW w:w="2599" w:type="dxa"/>
            <w:vAlign w:val="center"/>
          </w:tcPr>
          <w:p w14:paraId="614AB28E">
            <w:pPr>
              <w:spacing w:line="440" w:lineRule="exact"/>
              <w:rPr>
                <w:rFonts w:hint="eastAsia" w:ascii="仿宋_GB2312" w:hAnsi="仿宋_GB2312" w:eastAsia="仿宋_GB2312" w:cs="仿宋_GB2312"/>
                <w:color w:val="auto"/>
                <w:sz w:val="28"/>
                <w:szCs w:val="28"/>
              </w:rPr>
            </w:pPr>
          </w:p>
        </w:tc>
        <w:tc>
          <w:tcPr>
            <w:tcW w:w="1375" w:type="dxa"/>
            <w:vAlign w:val="center"/>
          </w:tcPr>
          <w:p w14:paraId="3E3C12CB">
            <w:pPr>
              <w:spacing w:line="440" w:lineRule="exact"/>
              <w:rPr>
                <w:rFonts w:hint="eastAsia" w:ascii="仿宋_GB2312" w:hAnsi="仿宋_GB2312" w:eastAsia="仿宋_GB2312" w:cs="仿宋_GB2312"/>
                <w:color w:val="auto"/>
                <w:sz w:val="28"/>
                <w:szCs w:val="28"/>
              </w:rPr>
            </w:pPr>
          </w:p>
        </w:tc>
        <w:tc>
          <w:tcPr>
            <w:tcW w:w="2350" w:type="dxa"/>
            <w:vAlign w:val="center"/>
          </w:tcPr>
          <w:p w14:paraId="1EC5505C">
            <w:pPr>
              <w:spacing w:line="440" w:lineRule="exact"/>
              <w:rPr>
                <w:rFonts w:hint="eastAsia" w:ascii="仿宋_GB2312" w:hAnsi="仿宋_GB2312" w:eastAsia="仿宋_GB2312" w:cs="仿宋_GB2312"/>
                <w:color w:val="auto"/>
                <w:sz w:val="28"/>
                <w:szCs w:val="28"/>
              </w:rPr>
            </w:pPr>
          </w:p>
        </w:tc>
      </w:tr>
      <w:tr w14:paraId="06CC3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890" w:type="dxa"/>
            <w:vAlign w:val="center"/>
          </w:tcPr>
          <w:p w14:paraId="292CE834">
            <w:pPr>
              <w:spacing w:line="440" w:lineRule="exact"/>
              <w:rPr>
                <w:rFonts w:hint="eastAsia" w:ascii="仿宋_GB2312" w:hAnsi="仿宋_GB2312" w:eastAsia="仿宋_GB2312" w:cs="仿宋_GB2312"/>
                <w:color w:val="auto"/>
                <w:sz w:val="28"/>
                <w:szCs w:val="28"/>
              </w:rPr>
            </w:pPr>
          </w:p>
        </w:tc>
        <w:tc>
          <w:tcPr>
            <w:tcW w:w="1423" w:type="dxa"/>
            <w:vAlign w:val="center"/>
          </w:tcPr>
          <w:p w14:paraId="1E981A83">
            <w:pPr>
              <w:spacing w:line="440" w:lineRule="exact"/>
              <w:rPr>
                <w:rFonts w:hint="eastAsia" w:ascii="仿宋_GB2312" w:hAnsi="仿宋_GB2312" w:eastAsia="仿宋_GB2312" w:cs="仿宋_GB2312"/>
                <w:color w:val="auto"/>
                <w:sz w:val="28"/>
                <w:szCs w:val="28"/>
              </w:rPr>
            </w:pPr>
          </w:p>
        </w:tc>
        <w:tc>
          <w:tcPr>
            <w:tcW w:w="2599" w:type="dxa"/>
            <w:vAlign w:val="center"/>
          </w:tcPr>
          <w:p w14:paraId="20391CC0">
            <w:pPr>
              <w:spacing w:line="440" w:lineRule="exact"/>
              <w:rPr>
                <w:rFonts w:hint="eastAsia" w:ascii="仿宋_GB2312" w:hAnsi="仿宋_GB2312" w:eastAsia="仿宋_GB2312" w:cs="仿宋_GB2312"/>
                <w:color w:val="auto"/>
                <w:sz w:val="28"/>
                <w:szCs w:val="28"/>
              </w:rPr>
            </w:pPr>
          </w:p>
        </w:tc>
        <w:tc>
          <w:tcPr>
            <w:tcW w:w="1375" w:type="dxa"/>
            <w:vAlign w:val="center"/>
          </w:tcPr>
          <w:p w14:paraId="18D75ECB">
            <w:pPr>
              <w:spacing w:line="440" w:lineRule="exact"/>
              <w:rPr>
                <w:rFonts w:hint="eastAsia" w:ascii="仿宋_GB2312" w:hAnsi="仿宋_GB2312" w:eastAsia="仿宋_GB2312" w:cs="仿宋_GB2312"/>
                <w:color w:val="auto"/>
                <w:sz w:val="28"/>
                <w:szCs w:val="28"/>
              </w:rPr>
            </w:pPr>
          </w:p>
        </w:tc>
        <w:tc>
          <w:tcPr>
            <w:tcW w:w="2350" w:type="dxa"/>
            <w:vAlign w:val="center"/>
          </w:tcPr>
          <w:p w14:paraId="698D48B7">
            <w:pPr>
              <w:spacing w:line="440" w:lineRule="exact"/>
              <w:rPr>
                <w:rFonts w:hint="eastAsia" w:ascii="仿宋_GB2312" w:hAnsi="仿宋_GB2312" w:eastAsia="仿宋_GB2312" w:cs="仿宋_GB2312"/>
                <w:color w:val="auto"/>
                <w:sz w:val="28"/>
                <w:szCs w:val="28"/>
              </w:rPr>
            </w:pPr>
          </w:p>
        </w:tc>
      </w:tr>
      <w:tr w14:paraId="3023C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890" w:type="dxa"/>
            <w:vAlign w:val="center"/>
          </w:tcPr>
          <w:p w14:paraId="1D5E66C6">
            <w:pPr>
              <w:spacing w:line="440" w:lineRule="exac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w:t>
            </w:r>
          </w:p>
        </w:tc>
        <w:tc>
          <w:tcPr>
            <w:tcW w:w="1423" w:type="dxa"/>
            <w:vAlign w:val="center"/>
          </w:tcPr>
          <w:p w14:paraId="1FA8955B">
            <w:pPr>
              <w:spacing w:line="440" w:lineRule="exact"/>
              <w:rPr>
                <w:rFonts w:hint="eastAsia" w:ascii="仿宋_GB2312" w:hAnsi="仿宋_GB2312" w:eastAsia="仿宋_GB2312" w:cs="仿宋_GB2312"/>
                <w:color w:val="auto"/>
                <w:sz w:val="28"/>
                <w:szCs w:val="28"/>
              </w:rPr>
            </w:pPr>
          </w:p>
        </w:tc>
        <w:tc>
          <w:tcPr>
            <w:tcW w:w="2599" w:type="dxa"/>
            <w:vAlign w:val="center"/>
          </w:tcPr>
          <w:p w14:paraId="148AAA6D">
            <w:pPr>
              <w:spacing w:line="440" w:lineRule="exact"/>
              <w:rPr>
                <w:rFonts w:hint="eastAsia" w:ascii="仿宋_GB2312" w:hAnsi="仿宋_GB2312" w:eastAsia="仿宋_GB2312" w:cs="仿宋_GB2312"/>
                <w:color w:val="auto"/>
                <w:sz w:val="28"/>
                <w:szCs w:val="28"/>
              </w:rPr>
            </w:pPr>
          </w:p>
        </w:tc>
        <w:tc>
          <w:tcPr>
            <w:tcW w:w="1375" w:type="dxa"/>
            <w:vAlign w:val="center"/>
          </w:tcPr>
          <w:p w14:paraId="0653967C">
            <w:pPr>
              <w:spacing w:line="440" w:lineRule="exact"/>
              <w:rPr>
                <w:rFonts w:hint="eastAsia" w:ascii="仿宋_GB2312" w:hAnsi="仿宋_GB2312" w:eastAsia="仿宋_GB2312" w:cs="仿宋_GB2312"/>
                <w:color w:val="auto"/>
                <w:sz w:val="28"/>
                <w:szCs w:val="28"/>
              </w:rPr>
            </w:pPr>
          </w:p>
        </w:tc>
        <w:tc>
          <w:tcPr>
            <w:tcW w:w="2350" w:type="dxa"/>
            <w:vAlign w:val="center"/>
          </w:tcPr>
          <w:p w14:paraId="299E823E">
            <w:pPr>
              <w:spacing w:line="440" w:lineRule="exact"/>
              <w:rPr>
                <w:rFonts w:hint="eastAsia" w:ascii="仿宋_GB2312" w:hAnsi="仿宋_GB2312" w:eastAsia="仿宋_GB2312" w:cs="仿宋_GB2312"/>
                <w:color w:val="auto"/>
                <w:sz w:val="28"/>
                <w:szCs w:val="28"/>
              </w:rPr>
            </w:pPr>
          </w:p>
        </w:tc>
      </w:tr>
    </w:tbl>
    <w:p w14:paraId="4F8430D0">
      <w:pPr>
        <w:pStyle w:val="2"/>
        <w:numPr>
          <w:ilvl w:val="0"/>
          <w:numId w:val="0"/>
        </w:numPr>
        <w:ind w:leftChars="0"/>
        <w:jc w:val="both"/>
        <w:rPr>
          <w:color w:val="auto"/>
        </w:rPr>
      </w:pPr>
    </w:p>
    <w:p w14:paraId="7C393731">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rPr>
        <w:t>备注：</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填写此表时以</w:t>
      </w:r>
      <w:r>
        <w:rPr>
          <w:rFonts w:hint="eastAsia" w:ascii="仿宋" w:hAnsi="仿宋" w:eastAsia="仿宋" w:cs="仿宋"/>
          <w:color w:val="auto"/>
          <w:sz w:val="24"/>
          <w:szCs w:val="24"/>
          <w:lang w:eastAsia="zh-CN"/>
        </w:rPr>
        <w:t>第三章</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服务</w:t>
      </w:r>
      <w:r>
        <w:rPr>
          <w:rFonts w:hint="eastAsia" w:ascii="仿宋" w:hAnsi="仿宋" w:eastAsia="仿宋" w:cs="仿宋"/>
          <w:color w:val="auto"/>
          <w:sz w:val="24"/>
          <w:szCs w:val="24"/>
        </w:rPr>
        <w:t>内容及采购要求”各条款为基本响应要求，满足</w:t>
      </w:r>
      <w:r>
        <w:rPr>
          <w:rFonts w:hint="eastAsia" w:ascii="仿宋" w:hAnsi="仿宋" w:eastAsia="仿宋" w:cs="仿宋"/>
          <w:color w:val="auto"/>
          <w:sz w:val="24"/>
          <w:szCs w:val="24"/>
          <w:lang w:val="en-US" w:eastAsia="zh-CN"/>
        </w:rPr>
        <w:t>磋商</w:t>
      </w:r>
      <w:r>
        <w:rPr>
          <w:rFonts w:hint="eastAsia" w:ascii="仿宋" w:hAnsi="仿宋" w:eastAsia="仿宋" w:cs="仿宋"/>
          <w:color w:val="auto"/>
          <w:sz w:val="24"/>
          <w:szCs w:val="24"/>
        </w:rPr>
        <w:t>文件要求的，“偏离程度”注明“0”，无需填写“偏离简述”项。超出、不满足</w:t>
      </w:r>
      <w:r>
        <w:rPr>
          <w:rFonts w:hint="eastAsia" w:ascii="仿宋" w:hAnsi="仿宋" w:eastAsia="仿宋" w:cs="仿宋"/>
          <w:color w:val="auto"/>
          <w:sz w:val="24"/>
          <w:szCs w:val="24"/>
          <w:lang w:val="en-US" w:eastAsia="zh-CN"/>
        </w:rPr>
        <w:t>磋商</w:t>
      </w:r>
      <w:r>
        <w:rPr>
          <w:rFonts w:hint="eastAsia" w:ascii="仿宋" w:hAnsi="仿宋" w:eastAsia="仿宋" w:cs="仿宋"/>
          <w:color w:val="auto"/>
          <w:sz w:val="24"/>
          <w:szCs w:val="24"/>
        </w:rPr>
        <w:t>文件要求的，列出“</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”偏差，并在“偏离简述”项做出详细说明；如果加“★”内容的“响应条款”</w:t>
      </w:r>
      <w:r>
        <w:rPr>
          <w:rFonts w:hint="eastAsia" w:ascii="仿宋" w:hAnsi="仿宋" w:eastAsia="仿宋" w:cs="仿宋"/>
          <w:color w:val="auto"/>
          <w:sz w:val="24"/>
          <w:szCs w:val="24"/>
          <w:lang w:val="en-US" w:eastAsia="zh-CN"/>
        </w:rPr>
        <w:t>或</w:t>
      </w:r>
      <w:r>
        <w:rPr>
          <w:rFonts w:hint="eastAsia" w:ascii="仿宋" w:hAnsi="仿宋" w:eastAsia="仿宋" w:cs="仿宋"/>
          <w:color w:val="auto"/>
          <w:sz w:val="24"/>
          <w:szCs w:val="24"/>
        </w:rPr>
        <w:t>“偏离程度”项未填写，将视为该项指标未响应，投标无效</w:t>
      </w:r>
      <w:r>
        <w:rPr>
          <w:rFonts w:hint="eastAsia" w:ascii="仿宋" w:hAnsi="仿宋" w:eastAsia="仿宋" w:cs="仿宋"/>
          <w:color w:val="auto"/>
          <w:sz w:val="24"/>
          <w:szCs w:val="24"/>
          <w:lang w:eastAsia="zh-CN"/>
        </w:rPr>
        <w:t>。</w:t>
      </w:r>
    </w:p>
    <w:p w14:paraId="59A4A4D0">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kern w:val="0"/>
          <w:sz w:val="24"/>
          <w:szCs w:val="24"/>
          <w:lang w:val="en-US" w:eastAsia="zh-CN" w:bidi="ar"/>
        </w:rPr>
        <w:t>2、“磋商文件响应条款”必须与磋商响应文件中提供的证明材料的实质性响应情况相一致。若在评审环节发现该项与磋商响应文件证明材料的实质性响应情况不一致，按无效响应处理。</w:t>
      </w:r>
    </w:p>
    <w:p w14:paraId="6D254D62">
      <w:pPr>
        <w:spacing w:line="240" w:lineRule="auto"/>
        <w:ind w:firstLine="420" w:firstLineChars="200"/>
        <w:rPr>
          <w:rFonts w:ascii="宋体" w:hAnsi="宋体" w:eastAsia="宋体" w:cs="宋体"/>
          <w:color w:val="auto"/>
          <w:sz w:val="21"/>
          <w:szCs w:val="21"/>
        </w:rPr>
      </w:pPr>
    </w:p>
    <w:p w14:paraId="618BC537">
      <w:pPr>
        <w:spacing w:line="500" w:lineRule="exact"/>
        <w:ind w:firstLine="560" w:firstLineChars="200"/>
        <w:rPr>
          <w:color w:val="auto"/>
        </w:rPr>
      </w:pPr>
    </w:p>
    <w:p w14:paraId="5805EF3F">
      <w:pPr>
        <w:spacing w:line="500" w:lineRule="exact"/>
        <w:ind w:firstLine="5040" w:firstLineChars="1800"/>
        <w:rPr>
          <w:rFonts w:hint="eastAsia" w:ascii="仿宋_GB2312" w:hAnsi="仿宋_GB2312" w:eastAsia="仿宋_GB2312" w:cs="仿宋_GB2312"/>
          <w:color w:val="auto"/>
        </w:rPr>
      </w:pPr>
      <w:r>
        <w:rPr>
          <w:rFonts w:hint="eastAsia" w:ascii="仿宋_GB2312" w:hAnsi="仿宋_GB2312" w:eastAsia="仿宋_GB2312" w:cs="仿宋_GB2312"/>
          <w:color w:val="auto"/>
        </w:rPr>
        <w:t>供应商：</w:t>
      </w:r>
      <w:r>
        <w:rPr>
          <w:rFonts w:hint="eastAsia" w:ascii="仿宋_GB2312" w:hAnsi="仿宋_GB2312" w:eastAsia="仿宋_GB2312" w:cs="仿宋_GB2312"/>
          <w:color w:val="auto"/>
          <w:u w:val="single"/>
        </w:rPr>
        <w:t>名称</w:t>
      </w:r>
      <w:r>
        <w:rPr>
          <w:rFonts w:hint="eastAsia" w:ascii="仿宋_GB2312" w:hAnsi="仿宋_GB2312" w:eastAsia="仿宋_GB2312" w:cs="仿宋_GB2312"/>
          <w:color w:val="auto"/>
        </w:rPr>
        <w:t>（加盖公章）</w:t>
      </w:r>
    </w:p>
    <w:p w14:paraId="50BF2266">
      <w:pPr>
        <w:tabs>
          <w:tab w:val="right" w:pos="9070"/>
        </w:tabs>
        <w:spacing w:line="500" w:lineRule="exact"/>
        <w:ind w:firstLine="5040" w:firstLineChars="1800"/>
        <w:rPr>
          <w:rFonts w:ascii="仿宋" w:hAnsi="仿宋" w:eastAsia="仿宋" w:cs="仿宋"/>
          <w:b/>
          <w:color w:val="auto"/>
          <w:sz w:val="32"/>
          <w:szCs w:val="32"/>
        </w:rPr>
      </w:pPr>
      <w:r>
        <w:rPr>
          <w:rFonts w:hint="eastAsia" w:ascii="仿宋_GB2312" w:hAnsi="仿宋_GB2312" w:eastAsia="仿宋_GB2312" w:cs="仿宋_GB2312"/>
          <w:color w:val="auto"/>
        </w:rPr>
        <w:t>日期：　　年　月　日</w:t>
      </w:r>
    </w:p>
    <w:p w14:paraId="17B27840">
      <w:pPr>
        <w:ind w:left="0" w:leftChars="0" w:firstLine="0" w:firstLineChars="0"/>
        <w:jc w:val="both"/>
      </w:pPr>
    </w:p>
    <w:p w14:paraId="533A8B4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7A5F7A"/>
    <w:rsid w:val="10581F49"/>
    <w:rsid w:val="38EA61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400" w:lineRule="exact"/>
      <w:jc w:val="both"/>
    </w:pPr>
    <w:rPr>
      <w:rFonts w:ascii="Calibri Light" w:hAnsi="Calibri Light" w:eastAsia="华文仿宋" w:cs="Calibri Light"/>
      <w:kern w:val="2"/>
      <w:sz w:val="28"/>
      <w:szCs w:val="28"/>
      <w:lang w:val="en-US" w:eastAsia="zh-CN" w:bidi="ar-SA"/>
    </w:rPr>
  </w:style>
  <w:style w:type="paragraph" w:styleId="2">
    <w:name w:val="heading 3"/>
    <w:basedOn w:val="1"/>
    <w:next w:val="1"/>
    <w:qFormat/>
    <w:uiPriority w:val="9"/>
    <w:pPr>
      <w:keepNext/>
      <w:keepLines/>
      <w:spacing w:line="400" w:lineRule="atLeast"/>
      <w:jc w:val="center"/>
      <w:outlineLvl w:val="2"/>
    </w:pPr>
    <w:rPr>
      <w:b/>
      <w:bCs/>
      <w:sz w:val="32"/>
      <w:szCs w:val="32"/>
      <w:u w:val="double"/>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294</Words>
  <Characters>294</Characters>
  <Lines>0</Lines>
  <Paragraphs>0</Paragraphs>
  <TotalTime>9</TotalTime>
  <ScaleCrop>false</ScaleCrop>
  <LinksUpToDate>false</LinksUpToDate>
  <CharactersWithSpaces>298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2026-04-01T08:20:00Z</dcterms:created>
  <dc:creator>Admin</dc:creator>
  <cp:lastModifiedBy>手撕贾小胖(ง •̀_•́)ง</cp:lastModifiedBy>
  <dcterms:modified xsi:type="dcterms:W3CDTF">2026-04-02T01:48:27Z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eyJoZGlkIjoiNDNmNmU5YmU3ZGVhYzU3YjI5ZGM5NmRiMGEyMmVmZDYiLCJ1c2VySWQiOiI5MDk2OTI2MDkifQ==</vt:lpwstr>
  </property>
  <property fmtid="{D5CDD505-2E9C-101B-9397-08002B2CF9AE}" pid="4" name="ICV">
    <vt:lpwstr>158A520E44584E01B8FD01C29B10B4D3_12</vt:lpwstr>
  </property>
</Properties>
</file>