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版本号：HTZC-2026040820260408001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2026年汉台区松树钻蛀类害虫系统调查项目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HTZC-20260408</w:t>
      </w:r>
      <w:r>
        <w:br/>
      </w:r>
      <w:r>
        <w:br/>
      </w:r>
      <w:r>
        <w:br/>
      </w:r>
    </w:p>
    <w:p>
      <w:pPr>
        <w:pStyle w:val="null3"/>
        <w:jc w:val="center"/>
        <w:outlineLvl w:val="2"/>
      </w:pPr>
      <w:r>
        <w:rPr>
          <w:rFonts w:ascii="仿宋_GB2312" w:hAnsi="仿宋_GB2312" w:cs="仿宋_GB2312" w:eastAsia="仿宋_GB2312"/>
          <w:sz w:val="28"/>
          <w:b/>
        </w:rPr>
        <w:t>汉中市汉台区秦岭生态保护中心</w:t>
      </w:r>
    </w:p>
    <w:p>
      <w:pPr>
        <w:pStyle w:val="null3"/>
        <w:jc w:val="center"/>
        <w:outlineLvl w:val="2"/>
      </w:pPr>
      <w:r>
        <w:rPr>
          <w:rFonts w:ascii="仿宋_GB2312" w:hAnsi="仿宋_GB2312" w:cs="仿宋_GB2312" w:eastAsia="仿宋_GB2312"/>
          <w:sz w:val="28"/>
          <w:b/>
        </w:rPr>
        <w:t>宏泰项目管理有限公司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宏泰项目管理有限公司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汉中市汉台区秦岭生态保护中心</w:t>
      </w:r>
      <w:r>
        <w:rPr>
          <w:rFonts w:ascii="仿宋_GB2312" w:hAnsi="仿宋_GB2312" w:cs="仿宋_GB2312" w:eastAsia="仿宋_GB2312"/>
        </w:rPr>
        <w:t>委托，拟对</w:t>
      </w:r>
      <w:r>
        <w:rPr>
          <w:rFonts w:ascii="仿宋_GB2312" w:hAnsi="仿宋_GB2312" w:cs="仿宋_GB2312" w:eastAsia="仿宋_GB2312"/>
        </w:rPr>
        <w:t>2026年汉台区松树钻蛀类害虫系统调查项目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HTZC-20260408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2026年汉台区松树钻蛀类害虫系统调查项目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全区域内松科植物分布的小班，面积13.1万亩进行调查。调查对象为危害松科植物并造成经济或生态损失的钻蛀类害虫，包括天牛类、小蠹虫类、木蠹象类、螟蛾类、吉丁类、树蜂类等；松树钻蛀类害虫的天敌昆虫。 按照汉中市林业局松树钻蛀类害虫系统调查技术方案要求组织开展外业调查，同步制作实物标本。所有调查数据信息均通过松材线虫病疫情防控监管平台（以下简称“监管平台”）及其手机端APP中的“蛀干害虫监测”功能模块进行采集和上报。 提交松树钻蛀类害虫调查结果报告和工作报告；编制建立全区松树钻蛀类害虫发生情况本底数据库、影像数据库和标本库；完成监测预报信息管理和可视化展示系统；完成全区主要松树钻蛀类害虫名录、图册及其发生分布情况；主要松树钻蛀类害虫灾害损失及危害风险分级、松树钻蛀类害虫预防与治理策略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采购包1（2026年汉台区松树钻蛀类害虫系统调查项目）：属于专门面向中小企业采购。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1、供应商提供合法有效的营业执照（营业执照经营范围需涵盖林业有害生物监测、调查服务）：供应商需在项目电子化交易系统中按要求上传相应证明文件并进行电子签章。</w:t>
      </w:r>
    </w:p>
    <w:p>
      <w:pPr>
        <w:pStyle w:val="null3"/>
      </w:pPr>
      <w:r>
        <w:rPr>
          <w:rFonts w:ascii="仿宋_GB2312" w:hAnsi="仿宋_GB2312" w:cs="仿宋_GB2312" w:eastAsia="仿宋_GB2312"/>
        </w:rPr>
        <w:t>2、供应商提供近3个月已缴纳的任意的完税凭证或税务机关开具的完税证明（任意税种）等相关资料：供应商需在项目电子化交易系统中按要求上传相应证明文件并进行电子签章。</w:t>
      </w:r>
    </w:p>
    <w:p>
      <w:pPr>
        <w:pStyle w:val="null3"/>
      </w:pPr>
      <w:r>
        <w:rPr>
          <w:rFonts w:ascii="仿宋_GB2312" w:hAnsi="仿宋_GB2312" w:cs="仿宋_GB2312" w:eastAsia="仿宋_GB2312"/>
        </w:rPr>
        <w:t>3、供应商应提供企业在陕西省林业有害生物防治调查设计丙级及以上资质的证明材料：供应商需在项目电子化交易系统中按要求上传相应证明文件并进行电子签章。</w:t>
      </w:r>
    </w:p>
    <w:p>
      <w:pPr>
        <w:pStyle w:val="null3"/>
      </w:pPr>
      <w:r>
        <w:rPr>
          <w:rFonts w:ascii="仿宋_GB2312" w:hAnsi="仿宋_GB2312" w:cs="仿宋_GB2312" w:eastAsia="仿宋_GB2312"/>
        </w:rPr>
        <w:t>4、供应商应提供未被列入“信用中国”网站(www.creditchina.gov.cn)重大税收违法失信主体、政府采购严重违法失信行为记录名单和中国政府采购（www.ccgp.gov.cn）未被列入政府采购严重违法失信行为记录名单的证明材料：供应商需在项目电子化交易系统中按要求上传相应证明文件并进行电子签章。</w:t>
      </w:r>
    </w:p>
    <w:p>
      <w:pPr>
        <w:pStyle w:val="null3"/>
      </w:pPr>
      <w:r>
        <w:rPr>
          <w:rFonts w:ascii="仿宋_GB2312" w:hAnsi="仿宋_GB2312" w:cs="仿宋_GB2312" w:eastAsia="仿宋_GB2312"/>
        </w:rPr>
        <w:t>5、供应商应提供参加政府采购活动前3年内在经营活动中没有重大违法记录的书面声明（需提供书面加盖公章的原件声明函）：供应商需在项目电子化交易系统中按要求上传相应证明文件并进行电子签章。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汉中市汉台区秦岭生态保护中心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汉中市汉台区老君镇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曹晓军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13700266428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汉中市汉台区北团结街中悦国际写字楼6层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18789478749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开户名称：宏泰项目管理有限公司汉中分公司</w:t>
            </w:r>
          </w:p>
          <w:p>
            <w:pPr>
              <w:pStyle w:val="null3"/>
            </w:pPr>
            <w:r>
              <w:rPr>
                <w:rFonts w:ascii="仿宋_GB2312" w:hAnsi="仿宋_GB2312" w:cs="仿宋_GB2312" w:eastAsia="仿宋_GB2312"/>
              </w:rPr>
              <w:t>开户银行：中国工商银行股份有限公司汉中北团结支行</w:t>
            </w:r>
          </w:p>
          <w:p>
            <w:pPr>
              <w:pStyle w:val="null3"/>
            </w:pPr>
            <w:r>
              <w:rPr>
                <w:rFonts w:ascii="仿宋_GB2312" w:hAnsi="仿宋_GB2312" w:cs="仿宋_GB2312" w:eastAsia="仿宋_GB2312"/>
              </w:rPr>
              <w:t>银行账号：2606 0503 0920 0155 567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本采购包履约保证金为合同金额的7%</w:t>
            </w:r>
          </w:p>
          <w:p>
            <w:pPr>
              <w:pStyle w:val="null3"/>
            </w:pPr>
            <w:r>
              <w:rPr>
                <w:rFonts w:ascii="仿宋_GB2312" w:hAnsi="仿宋_GB2312" w:cs="仿宋_GB2312" w:eastAsia="仿宋_GB2312"/>
              </w:rPr>
              <w:t>说明：担保供应商按合同完成调查、成果交付、质量保证、售后服务，不抵扣合同款、不转为质保金。 乙方完全履行合同义务： 完成外业调查、内业分析、报告编制、GIS 成果、标本提交，成果通过最终验收合格后15个工作日内无息全额退还。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依据《国家计委关于印发招标代理服务收费管理暂行办法的通知》（计价格【2002】1980号）和国家发改委办公厅颁发的《关于招标代理服务收费有关问题的通知》（发改办价格【2003】857号）文件规定标准收取，该项目招标代理服务费按 5000 元计取。招标代理费在完成该项目招标工作并签发中标通知书时由采购人结清。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汉中市汉台区秦岭生态保护中心</w:t>
      </w:r>
      <w:r>
        <w:rPr>
          <w:rFonts w:ascii="仿宋_GB2312" w:hAnsi="仿宋_GB2312" w:cs="仿宋_GB2312" w:eastAsia="仿宋_GB2312"/>
        </w:rPr>
        <w:t>和</w:t>
      </w:r>
      <w:r>
        <w:rPr>
          <w:rFonts w:ascii="仿宋_GB2312" w:hAnsi="仿宋_GB2312" w:cs="仿宋_GB2312" w:eastAsia="仿宋_GB2312"/>
        </w:rPr>
        <w:t>宏泰项目管理有限公司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汉中市汉台区秦岭生态保护中心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宏泰项目管理有限公司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汉中市汉台区秦岭生态保护中心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（一）技术履约验收标准 本标准对应技术履约验收内容，核心考核调查工作规范性、成果质量及技术服务落实情况，具体如下： 1. 调查范围与对象标准：调查范围100%覆盖采购人指定的全部松林区域（含松林小班、林班、重点生态区位等），无遗漏、无盲区；调查对象涵盖所有松树钻蛀类害虫（天牛类、小蠹类、木蠹象类、吉丁虫类等），无漏查、错查主要害虫种类的情况。 2. 调查技术与方法标准：严格遵循《林业有害生物普查技术规程》《松树蛀干害虫监测技术规程》等国家、行业规范，采用线路踏查+标准样地调查+引诱监测+疑似点详查相结合的方法；样地布设科学、数量充足，GPS/北斗定位精度≤5米，定位记录完整可追溯；外业调查流程规范，原始记录、影像资料、线路轨迹齐全，做到一地块一档案、一虫情一记录。 3. 标本与数据标准：标本采集、制作、保存、鉴定规范，标签完整，种类鉴定准确率≥98%，疑难种类有复核记录；调查数据真实、准确、完整，无编造、瞒报、漏报、错报，数据准确率≥98%，有虫株率、虫口密度调查精度误差≤±2%，数据录入、统计、分析规范，可直接导入林业有害生物数据库。 4. 成果交付标准：成果种类齐全，包括调查报告、发生分布图、GIS空间数据、统计表、原始记录、影像资料、标本及标本清单等；纸质版、电子版同步提交，份数、格式符合合同约定；调查报告逻辑清晰、结论可靠、防治建议科学可行，图件坐标正确、边界清晰，资料整理规范，可满足归档、上报及上级检查要求。 5. 技术服务与质保标准：供应商按合同约定提供技术支持，对成果疑问、数据核对需求响应及时；明确质保期为验收合格之日起12个月，质保期内免费提供成果复核、数据修正、技术咨询等服务，配合采购人及上级主管部门的检查、核查工作。 6. 技术验收否决标准：符合本合同“技术履约验收内容”中明确的否决项情形之一的，直接判定技术履约验收不合格，不予通过。 （二）商务履约验收标准 本标准对应商务履约验收内容，核心考核合同商务条款履行情况，具体如下： 1. 合同履行标准：严格按本合同全部商务条款、补充协议及采购文件要求履行义务，无擅自变更合同内容、违约违规的行为；全面落实成本补偿、风险分担、保密、廉洁等相关约定，无违规违约情形。 2. 履约保证金标准：按合同约定的金额、比例、形式，在合同签订前足额缴纳，缴纳凭证齐全、合规，无虚假缴纳、逾期缴纳、不足额缴纳的情况，无擅自挪用保证金的行为。 3. 价款支付相关标准：按合同约定的付款节点，及时提交合法有效、足额的增值税发票及完整付款申请资料，发票信息与合同、付款节点一致，无虚假发票、违规开票情况，配合采购人完成价款支付相关流程。 4. 工期与进度标准：按合同约定的工期完成全部调查工作及成果交付，无无故逾期、擅自停工、中途退出的情况；若有工期顺延，需符合合同约定情形，且已签订书面补充确认文件，顺延手续合规、完整。 5. 安全与合规标准：野外作业严格遵守森林防火、野外作业安全规定，落实安全防护措施，无任何安全责任事故发生；遵守国家政府采购、林业相关法律法规及廉洁自律规定，无串通投标、行贿受贿、弄虚作假等违规违法情形；作业人员、设备符合合同约定，无违规用工、设备不合格的情况。 6. 成果移交与知识产权标准：按合同约定完整移交全部项目成果，无擅自留存、复制、传播成果的行为；成果无侵犯第三方知识产权的情况，严格遵守成果所有权归属约定，移交记录、签收凭证齐全、规范。 7. 商务验收否决标准：符合本合同“商务履约验收内容”中明确的否决项情形之一的，直接判定商务履约验收不合格，不予通过。 （三）整体验收合格标准 1. 技术履约验收与商务履约验收均合格，无否决项情形，且验收过程规范、验收记录完整，双方签署《验收合格通知书》，方可判定为项目整体履约验收合格。 2. 技术或商务验收存在一般违规情形，供应商按验收小组要求在指定期限内完成整改，复核验收合格后，可判定为整体验收合格；整改后仍不符合标准或存在否决项的，判定为整体验收不合格。 3. 验收过程符合本合同“验收组织的其他事项”“履约验收日期约定”相关要求，验收记录、复核意见、异议处理资料等齐全，方可确认整体验收合格。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宏泰项目管理有限公司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宏泰项目管理有限公司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宏泰项目管理有限公司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联系人：何工</w:t>
      </w:r>
    </w:p>
    <w:p>
      <w:pPr>
        <w:pStyle w:val="null3"/>
      </w:pPr>
      <w:r>
        <w:rPr>
          <w:rFonts w:ascii="仿宋_GB2312" w:hAnsi="仿宋_GB2312" w:cs="仿宋_GB2312" w:eastAsia="仿宋_GB2312"/>
        </w:rPr>
        <w:t>联系电话：0916-2530181</w:t>
      </w:r>
    </w:p>
    <w:p>
      <w:pPr>
        <w:pStyle w:val="null3"/>
      </w:pPr>
      <w:r>
        <w:rPr>
          <w:rFonts w:ascii="仿宋_GB2312" w:hAnsi="仿宋_GB2312" w:cs="仿宋_GB2312" w:eastAsia="仿宋_GB2312"/>
        </w:rPr>
        <w:t>地址：汉中市汉台区北团结街中悦国际写字楼6层</w:t>
      </w:r>
    </w:p>
    <w:p>
      <w:pPr>
        <w:pStyle w:val="null3"/>
      </w:pPr>
      <w:r>
        <w:rPr>
          <w:rFonts w:ascii="仿宋_GB2312" w:hAnsi="仿宋_GB2312" w:cs="仿宋_GB2312" w:eastAsia="仿宋_GB2312"/>
        </w:rPr>
        <w:t>邮编：1143659398@qq.com</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全区域内松科植物分布的小班，面积13.1万亩进行调查。调查对象为危害松科植物并造成经济或生态损失的钻蛀类害虫，包括天牛类、小蠹虫类、木蠹象类、螟蛾类、吉丁类、树蜂类等；松树钻蛀类害虫的天敌昆虫。</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2026年汉台区松树钻蛀类害虫系统调查项目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标的名称：2026年汉台区松树钻蛀类害虫系统调查项目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按采购人指定区域全覆盖，包含松林小班、林班、重点生态区位、交通沿线、疫点周边等。</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以松树为寄主的钻蛀性害虫，包括但不限于：天牛类、小蠹虫类、木蠹象类、螟蛾类、吉丁类、树蜂类等；松树钻蛀类害虫的天敌昆虫。</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种类、分布范围、发生面积、危害等级、虫口密度、有虫株率、寄主长势、枯死木情况、天敌情况等。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项目区松林调查覆盖率 100%，无遗漏区域。</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调查数据准确率 ≥ 98%，虫种鉴定准确率 ≥ 98%。</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误差 ≤ ±2%。</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样地、监测点、危害点 GPS / 北斗定位误差≤5 米。</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合理布设，重点区域、交通廊道、易感林分全覆盖。</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数量、密度、面积符合技术方案要求，记录规范完整。</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种类齐全、标签规范、保存完好，疑难种类复核鉴定。</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每处典型危害点均有现场照片及轨迹记录，可追溯。</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成果资料完整率 100%，符合验收标准。</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接到整改通知后 48 小时内 响应，5 个工作日内 完成整改。</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质保期内成果复核、数据修正、技术咨询 100% 免费响应。</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野外作业安全责任事故 0 起，严格遵守森林防火规定。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拟投入本项目的调查人员中至少有1名林业工程师</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2026年6月-2026年11月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汉台区全区域内松科植物分布的小班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一、交付内容及交付标准 1、调查成果资料 （1）松树钻蛀类害虫系统调查报告（纸质版一式 3 份，电子版 1 套）； （2）调查原始记录表、汇总统计表、虫情分类统计表； （3）GIS 空间数据、虫情分布图、危害等级分布图、监测点位图； （4）外业调查轨迹、现场照片、影像资料等佐证材料； （5）害虫标本、标本清单及鉴定记录。 交付标准 （1）所有成果内容完整、格式规范、数据真实准确，符合国家及行业现行林业有害生物调查技术规程； （2）报告逻辑清晰、结论客观、防治建议科学可行； （3）图件坐标正确、边界清晰、图层规范，可直接用于管理和上报； （4）资料齐全可追溯，满足归档、检查及上级核查要求。 二、验收标准 1、符合性标准 全部工作内容、调查范围、技术路线、成果形式均符合采购文件、合同及相关技术规范要求。 2、质量标准 （1）调查覆盖率 100%，无遗漏、无盲区； （2）数据准确率≥98%，害虫种类鉴定准确率≥98%； （3）成果资料完整率 100%，无缺项、无逻辑错误； （4）定位精度满足相关要求，轨迹、影像、记录可复核。 3、合规性标准 未发生数据造假、野外安全事故及违反森林防火相关规定等行为。 三、验收方法 1、资料审查 验收组对提交的报告、表格、图件、数据、影像、标本等全部成果进行完整性、规范性、逻辑性审查。 2、现场核查 采取随机抽查方式，对部分调查样地、危害点位进行现场复核，核对地点、危害情况、数据真实性。 3、质询与答疑 供应商对调查过程、技术方法、成果内容进行汇报，验收组进行质询，供应商现场答复。 4、综合评议 验收组依据资料审查、现场核查及质询情况进行综合评议，形成验收意见。</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项目全部成果提交完毕并通过最终验收，且乙方提供足额合法有效发票后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（一）供应商违约责任 1. 成果质量违约：供应商提交的调查成果不符合合同、采购文件及相关技术规范要求，数据造假、鉴定失误、成果不完整的，需在采购人指定期限内整改、补查或重新调查，承担全部整改费用；整改后仍不合格的，采购人有权解除合同，供应商需向采购人支付合同总价款10%的违约金，并赔偿采购人因此遭受的全部损失（包括但不限于重新委托费用、工期延误损失），采购人有权扣除全部履约保证金。 2. 工期违约：供应商未按合同约定的期限完成全部调查工作、提交成果的，每逾期1天，需向采购人支付合同总价款0.05%的违约金，违约金累计最高不超过合同总价款的5%；逾期超过30天的，采购人有权解除合同，供应商需支付合同总价款10%的违约金，并赔偿采购人全部损失，履约保证金不予退还。 3. 履约违约：供应商擅自转包、违法分包本项目，或擅自停止项目实施、中途退出的，采购人有权解除合同，供应商需支付合同总价款10%的违约金，赔偿采购人全部损失，履约保证金不予退还；供应商未按约定履行质保期服务，未及时响应整改、复核要求的，需向采购人支付合同总价款5%的违约金，若造成损失的，另行赔偿。 4. 保密与知识产权违约：供应商违反知识产权归属约定，擅自留存、复制、传播项目成果，或提交的成果侵犯第三方知识产权的，需立即停止侵权行为，承担全部法律责任及相关费用，向采购人支付合同总价款10%的违约金，并赔偿采购人因此遭受的全部损失。 5. 安全违约：供应商在野外作业过程中，因自身管理不善发生安全责任事故的，由供应商自行承担全部责任及费用，向采购人支付合同总价款5%的违约金，并赔偿采购人因此遭受的损失。 （二）采购人违约责任 1. 指令违约：采购人未按合同约定提供必要的工作条件、未及时协调相关单位，导致供应商无法正常开展工作的，需承担相应的工期顺延责任；若因采购人单方变更调查要求、扩大调查范围，未按约定支付成本补偿的，需向供应商支付合同总价款5‰的违约金，并补足相应补偿费用。 3. 无故解约违约：采购人无正当理由擅自解除合同，或无故拒绝验收合格成果的，需向供应商支付合同总价款10%的违约金，并赔偿供应商因此遭受的全部实际损失（包括已投入的人工、设备、材料等成本）。 二、解决争议的方法 本项目在合同履行过程中发生的一切争议，双方应本着平等自愿、友好协商的原则解决，具体方式如下： 1. 协商解决：争议发生后，双方应在3个工作日内就争议事项进行协商，达成一致解决方案的，签订书面补充协议，补充协议与本合同具有同等法律效力。 2. 调解解决：若双方协商不成，可向项目所在地林业主管部门或政府采购监管部门申请调解，调解达成的协议，双方应严格履行；调解不成的，按以下第3种方式解决。 3. 诉讼解决：协商、调解均无法解决的，任何一方均有权向采购人所在地人民法院提起诉讼，通过司法途径解决争议。 4. 争议解决期间，除争议事项外，双方应继续履行合同其他约定，不得擅自停止项目实施或拒绝履行合同义务。</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响应文件封面 服务内容及服务邀请应答表 残疾人福利性单位声明函 中小企业声明函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供应商提供合法有效的营业执照（营业执照经营范围需涵盖林业有害生物监测、调查服务）</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供应商提供近3个月已缴纳的任意的完税凭证或税务机关开具的完税证明（任意税种）等相关资料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供应商应提供企业在陕西省林业有害生物防治调查设计丙级及以上资质的证明材料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供应商应提供未被列入“信用中国”网站(www.creditchina.gov.cn)重大税收违法失信主体、政府采购严重违法失信行为记录名单和中国政府采购（www.ccgp.gov.cn）未被列入政府采购严重违法失信行为记录名单的证明材料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供应商应提供参加政府采购活动前3年内在经营活动中没有重大违法记录的书面声明（需提供书面加盖公章的原件声明函）</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调查方案科学性与可操作性</w:t>
            </w:r>
          </w:p>
        </w:tc>
        <w:tc>
          <w:tcPr>
            <w:tcW w:type="dxa" w:w="2492"/>
          </w:tcPr>
          <w:p>
            <w:pPr>
              <w:pStyle w:val="null3"/>
            </w:pPr>
            <w:r>
              <w:rPr>
                <w:rFonts w:ascii="仿宋_GB2312" w:hAnsi="仿宋_GB2312" w:cs="仿宋_GB2312" w:eastAsia="仿宋_GB2312"/>
              </w:rPr>
              <w:t>1. 调查方案完全符合国家、地方林业有害生物调查相关规范，明确调查范围、对象（重点涵盖小蠹类、天牛类等钻蛀类害虫）、方法（结合踏查剖皮、信息素诱集、遥感监测等），贴合项目实际需求，可直接落地执行，得11-8分；2. 调查方案基本符合规范，调查方法合理，需少量调整即可执行，得7-4分；3. 调查方案不完整，调查方法不合理，缺乏可操作性，得3-0分。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 建立完善的质量管控体系，明确调查数据审核、成果复核、误差控制等措施，能有效防范数据造假、漏报、GIS空间数据错误等问题，同时符合公益保护要求，得7-4分；2. 建立基本的质量管控措施，能满足成果基本质量要求，得3-1分；3. 未建立质量管控措施，无法保障成果质量，得0分。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1. 制定完善的野外作业安全保障方案，涵盖极端天气应对、蛇虫叮咬/意外伤害急救、交通出行安全、防火防爆等内容，措施具体可落地；为所有作业人员购买足额人身意外伤害保险，配备齐全安全防护装备（安全帽、防滑鞋、急救包、通讯设备等）；定期开展安全培训及应急演练，得7-4分；2. 有基本的安全保障方案，为作业人员购买人身意外伤害保险，配备基础安全防护装备，有简单安全培训计划，得3-1分；3. 未制定安全保障方案，未购买相关保险，未配备安全防护装备，存在重大安全隐患，得0分。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1. 进度计划合理，明确各阶段（踏查、详查、数据整理、成果交付）时间节点，贴合松树钻蛀类害虫最佳调查窗口期，有完善的进度延误应对措施，得7-4分；2. 进度计划基本合理，时间节点基本明确，有简单的进度应对措施，得3-1分；3. 无明确进度计划，未考虑调查窗口期，得0分。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公益保护与涉密管理方案</w:t>
            </w:r>
          </w:p>
        </w:tc>
        <w:tc>
          <w:tcPr>
            <w:tcW w:type="dxa" w:w="2492"/>
          </w:tcPr>
          <w:p>
            <w:pPr>
              <w:pStyle w:val="null3"/>
            </w:pPr>
            <w:r>
              <w:rPr>
                <w:rFonts w:ascii="仿宋_GB2312" w:hAnsi="仿宋_GB2312" w:cs="仿宋_GB2312" w:eastAsia="仿宋_GB2312"/>
              </w:rPr>
              <w:t>1. 制定完善的公益保护实施方案，明确野外作业生态保护、疫情防控、安全防护措施，同时建立规范的涉密数据管理制度（针对重点生态区位、珍稀树种分布等数据），得7-4分；2. 有基本的公益保护和涉密管理措施，能满足基本要求，得3-1分；3. 未制定相关方案，存在公益损害、涉密泄露风险，得0分。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服务承诺与质保期</w:t>
            </w:r>
          </w:p>
        </w:tc>
        <w:tc>
          <w:tcPr>
            <w:tcW w:type="dxa" w:w="2492"/>
          </w:tcPr>
          <w:p>
            <w:pPr>
              <w:pStyle w:val="null3"/>
            </w:pPr>
            <w:r>
              <w:rPr>
                <w:rFonts w:ascii="仿宋_GB2312" w:hAnsi="仿宋_GB2312" w:cs="仿宋_GB2312" w:eastAsia="仿宋_GB2312"/>
              </w:rPr>
              <w:t>1. 提供完善的服务承诺（含成果交付、售后技术支持、质保期服务），质保期不低于1年，承诺响应及时（24小时内响应，3个工作日内解决问题），得7-4分；2. 提供基本的服务承诺，质保期符合基本要求，响应时限基本达标，得3-1分；3. 未提供服务承诺，质保期不满足要求，得0分。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调查设备与技术支持</w:t>
            </w:r>
          </w:p>
        </w:tc>
        <w:tc>
          <w:tcPr>
            <w:tcW w:type="dxa" w:w="2492"/>
          </w:tcPr>
          <w:p>
            <w:pPr>
              <w:pStyle w:val="null3"/>
            </w:pPr>
            <w:r>
              <w:rPr>
                <w:rFonts w:ascii="仿宋_GB2312" w:hAnsi="仿宋_GB2312" w:cs="仿宋_GB2312" w:eastAsia="仿宋_GB2312"/>
              </w:rPr>
              <w:t>1. 配备齐全的调查设备（GPS定位仪、声测仪、诱集装置、标本制作工具、无人机等），设备性能优良，能满足野外调查、数据采集、标本留存需求，同时提供完善的技术支持方案（含现场指导、技术培训），得7-4分；2. 配备基本调查设备，能满足基础调查需求，技术支持方案基本完善，得3-1分；3. 设备配备不足，无法满足调查需求，未提供技术支持方案，得0分。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 项目负责人具备林业相关高级及以上职称，团队成员专业结构合理，包含足够数量的野外调查、标本鉴定、数据处理专业技术人员，人员资质齐全，得7-5分；2. 项目负责人具备林业相关中级职称，团队成员基本满足项目需求，人员资质基本齐全，得4-3分；3. 项目负责人无相关职称，团队配置不足，得2-0分。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从服务方案满足磋商文件实质性响应要求的供应商中，按照最后报价由低到高的顺序依次排序。响应人最低报价为基准价计40分；其他各响应人的报价得分按下列公式计算；（基准价/响应报价）×40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