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版本号：SXZBHZ2026-0720260410001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放射治疗模拟及图像引导系统（大孔径定位CT等设备）采购项目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SXZBHZ2026-07</w:t>
      </w:r>
      <w:r>
        <w:br/>
      </w:r>
      <w:r>
        <w:br/>
      </w:r>
      <w:r>
        <w:br/>
      </w:r>
    </w:p>
    <w:p>
      <w:pPr>
        <w:pStyle w:val="null3"/>
        <w:jc w:val="center"/>
        <w:outlineLvl w:val="2"/>
      </w:pPr>
      <w:r>
        <w:rPr>
          <w:rFonts w:ascii="仿宋_GB2312" w:hAnsi="仿宋_GB2312" w:cs="仿宋_GB2312" w:eastAsia="仿宋_GB2312"/>
          <w:sz w:val="28"/>
          <w:b/>
        </w:rPr>
        <w:t>汉中市人民医院</w:t>
      </w:r>
    </w:p>
    <w:p>
      <w:pPr>
        <w:pStyle w:val="null3"/>
        <w:jc w:val="center"/>
        <w:outlineLvl w:val="2"/>
      </w:pPr>
      <w:r>
        <w:rPr>
          <w:rFonts w:ascii="仿宋_GB2312" w:hAnsi="仿宋_GB2312" w:cs="仿宋_GB2312" w:eastAsia="仿宋_GB2312"/>
          <w:sz w:val="28"/>
          <w:b/>
        </w:rPr>
        <w:t>陕西盛鑫药械招标有限公司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陕西盛鑫药械招标有限公司</w:t>
      </w:r>
      <w:r>
        <w:rPr>
          <w:rFonts w:ascii="仿宋_GB2312" w:hAnsi="仿宋_GB2312" w:cs="仿宋_GB2312" w:eastAsia="仿宋_GB2312"/>
        </w:rPr>
        <w:t>（以下简称“代理机构”）受</w:t>
      </w:r>
      <w:r>
        <w:rPr>
          <w:rFonts w:ascii="仿宋_GB2312" w:hAnsi="仿宋_GB2312" w:cs="仿宋_GB2312" w:eastAsia="仿宋_GB2312"/>
        </w:rPr>
        <w:t>汉中市人民医院</w:t>
      </w:r>
      <w:r>
        <w:rPr>
          <w:rFonts w:ascii="仿宋_GB2312" w:hAnsi="仿宋_GB2312" w:cs="仿宋_GB2312" w:eastAsia="仿宋_GB2312"/>
        </w:rPr>
        <w:t>委托，拟对</w:t>
      </w:r>
      <w:r>
        <w:rPr>
          <w:rFonts w:ascii="仿宋_GB2312" w:hAnsi="仿宋_GB2312" w:cs="仿宋_GB2312" w:eastAsia="仿宋_GB2312"/>
        </w:rPr>
        <w:t>放射治疗模拟及图像引导系统（大孔径定位CT等设备）采购项目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SXZBHZ2026-07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放射治疗模拟及图像引导系统（大孔径定位CT等设备）采购项目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品目号:1； 品目名称：医用X线诊断设备； 采购标的：放射治疗模拟及图像引导系统（大孔径定位CT等设备）； 数量（单位）：1套； 技术规格、参数及要求：详见招标文件技术参数； 品目预算(万元)：590.00； 最高限价(万元)：550.00； 交货期：合同签订后60天内,免费安装调试完毕,达到交付使用标准。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2025年度经审计的完整财务报告（四表一注）；或招标前六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3、社保缴纳证明：提供已缴存的 2026年任意1个月的社会保障资金缴存单据或社保机构开具的社会保险参保缴费情况证明。成立时间至提交投标文件截止时间不足一个月或依法不需要缴纳社会保障资金的供应商应提供相关文件证明。</w:t>
      </w:r>
    </w:p>
    <w:p>
      <w:pPr>
        <w:pStyle w:val="null3"/>
      </w:pPr>
      <w:r>
        <w:rPr>
          <w:rFonts w:ascii="仿宋_GB2312" w:hAnsi="仿宋_GB2312" w:cs="仿宋_GB2312" w:eastAsia="仿宋_GB2312"/>
        </w:rPr>
        <w:t>4、税收缴纳证明：提供已缴纳的 2026年任意1个月的纳税证明或完税证明，纳税证明或完税证明上应有代收机构或税务机关的公章或业务专用章。依法免税的供应商应提供相关文件证明。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（2）出具参加本次政府采购活动的书面声明；（3）参加政府采购活动前三年内在经营活动中没有重大违法记录：提供书面声明；（4）本项目不接受联合体投标：提供非联合体投标书面声明；</w:t>
      </w:r>
    </w:p>
    <w:p>
      <w:pPr>
        <w:pStyle w:val="null3"/>
      </w:pPr>
      <w:r>
        <w:rPr>
          <w:rFonts w:ascii="仿宋_GB2312" w:hAnsi="仿宋_GB2312" w:cs="仿宋_GB2312" w:eastAsia="仿宋_GB2312"/>
        </w:rPr>
        <w:t>6、信用记录：经查，供应商未被列入“信用中国” 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7、法定代表人授权委托书：投标代表参与投标时须提供法定代表人授权书、被授权人身份证及开标截止前连续近三个月在本单位社会保险缴纳证明；法定代表人参与投标时须提供法定代表人身份证明。</w:t>
      </w:r>
    </w:p>
    <w:p>
      <w:pPr>
        <w:pStyle w:val="null3"/>
      </w:pPr>
      <w:r>
        <w:rPr>
          <w:rFonts w:ascii="仿宋_GB2312" w:hAnsi="仿宋_GB2312" w:cs="仿宋_GB2312" w:eastAsia="仿宋_GB2312"/>
        </w:rPr>
        <w:t>8、承诺书：（1）供应商与其他投标单位无交叉控股股东、无交叉兼任高级管理人员及涉嫌联合围标、串标行为，无采购单位和招标代理机构职工在该单位兼职的情况，不向采购单位和代理机构相关人员输送利益等行贿行为（提供承诺书）。（2）本项目不接受汉中市人民医院职工及其亲属投资开办的企业参与本医院的政府采购活动（提供承诺书）。</w:t>
      </w:r>
    </w:p>
    <w:p>
      <w:pPr>
        <w:pStyle w:val="null3"/>
      </w:pPr>
      <w:r>
        <w:rPr>
          <w:rFonts w:ascii="仿宋_GB2312" w:hAnsi="仿宋_GB2312" w:cs="仿宋_GB2312" w:eastAsia="仿宋_GB2312"/>
        </w:rPr>
        <w:t>9、经营资质：所投产品属于医疗器械管理的，投标人为生产厂家的须提供《医疗器械生产许可证》；投标人为代理商的须提供《医疗器械经营许可证》或《医疗器械经营备案凭证》及生产厂家的《医疗器械生产许可证》；</w:t>
      </w:r>
    </w:p>
    <w:p>
      <w:pPr>
        <w:pStyle w:val="null3"/>
      </w:pPr>
      <w:r>
        <w:rPr>
          <w:rFonts w:ascii="仿宋_GB2312" w:hAnsi="仿宋_GB2312" w:cs="仿宋_GB2312" w:eastAsia="仿宋_GB2312"/>
        </w:rPr>
        <w:t>10、产品资质：所投产品属于医疗器械管理的，提供所投产品的《医疗器械产品注册证》或《医疗器械产品备案凭证》；所投产品为进口产品的需提供“进”字号产品注册证及生产厂家针对该产品完整授权链的授权书，且授权范围需包含本次采购项目内容；</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0916-2709263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陕西盛鑫药械招标有限公司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西安市雁塔区南二环西段88号老三届世纪星大厦28层K座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刘兴华、李晓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029-81873383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开户名称：陕西盛鑫药械招标有限公司</w:t>
            </w:r>
          </w:p>
          <w:p>
            <w:pPr>
              <w:pStyle w:val="null3"/>
            </w:pPr>
            <w:r>
              <w:rPr>
                <w:rFonts w:ascii="仿宋_GB2312" w:hAnsi="仿宋_GB2312" w:cs="仿宋_GB2312" w:eastAsia="仿宋_GB2312"/>
              </w:rPr>
              <w:t>开户银行：中国工商银行西安吉祥路支行</w:t>
            </w:r>
          </w:p>
          <w:p>
            <w:pPr>
              <w:pStyle w:val="null3"/>
            </w:pPr>
            <w:r>
              <w:rPr>
                <w:rFonts w:ascii="仿宋_GB2312" w:hAnsi="仿宋_GB2312" w:cs="仿宋_GB2312" w:eastAsia="仿宋_GB2312"/>
              </w:rPr>
              <w:t>银行账号：3700079419200031802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招标代理服务收费管理暂行办法》（计价格[2002]1980号）、《国家发展改革委办公厅关于招标代理服务收费有关问题的通知》（发改价格[2003]857号）、《国家发展改革委关于进一步放开建设项目专业服务价格的通知》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汉中市人民医院</w:t>
      </w:r>
      <w:r>
        <w:rPr>
          <w:rFonts w:ascii="仿宋_GB2312" w:hAnsi="仿宋_GB2312" w:cs="仿宋_GB2312" w:eastAsia="仿宋_GB2312"/>
        </w:rPr>
        <w:t>和</w:t>
      </w:r>
      <w:r>
        <w:rPr>
          <w:rFonts w:ascii="仿宋_GB2312" w:hAnsi="仿宋_GB2312" w:cs="仿宋_GB2312" w:eastAsia="仿宋_GB2312"/>
        </w:rPr>
        <w:t>陕西盛鑫药械招标有限公司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陕西盛鑫药械招标有限公司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陕西盛鑫药械招标有限公司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1、招标文件、投标文件、澄清表（函）；2、本合同及附件文本；3、国家相应的标准、规范。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联系人：刘兴华</w:t>
      </w:r>
    </w:p>
    <w:p>
      <w:pPr>
        <w:pStyle w:val="null3"/>
      </w:pPr>
      <w:r>
        <w:rPr>
          <w:rFonts w:ascii="仿宋_GB2312" w:hAnsi="仿宋_GB2312" w:cs="仿宋_GB2312" w:eastAsia="仿宋_GB2312"/>
        </w:rPr>
        <w:t>联系电话：029-81873383</w:t>
      </w:r>
    </w:p>
    <w:p>
      <w:pPr>
        <w:pStyle w:val="null3"/>
      </w:pPr>
      <w:r>
        <w:rPr>
          <w:rFonts w:ascii="仿宋_GB2312" w:hAnsi="仿宋_GB2312" w:cs="仿宋_GB2312" w:eastAsia="仿宋_GB2312"/>
        </w:rPr>
        <w:t>地址：西安市雁塔区南二环西段88号老三届世纪星大厦28层K座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放射治疗模拟及图像引导系统（大孔径定位CT等设备）1批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5,900,000.00</w:t>
      </w:r>
    </w:p>
    <w:p>
      <w:pPr>
        <w:pStyle w:val="null3"/>
      </w:pPr>
      <w:r>
        <w:rPr>
          <w:rFonts w:ascii="仿宋_GB2312" w:hAnsi="仿宋_GB2312" w:cs="仿宋_GB2312" w:eastAsia="仿宋_GB2312"/>
        </w:rPr>
        <w:t>采购包最高限价（元）: 5,500,000.00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放射治疗模拟及图像引导系统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标的名称：放射治疗模拟及图像引导系统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放射治疗模拟及图像引导系统（大孔径定位</w:t>
            </w:r>
            <w:r>
              <w:rPr>
                <w:rFonts w:ascii="仿宋_GB2312" w:hAnsi="仿宋_GB2312" w:cs="仿宋_GB2312" w:eastAsia="仿宋_GB2312"/>
                <w:sz w:val="21"/>
              </w:rPr>
              <w:t>CT等设备）技术要求及规格：</w:t>
            </w:r>
            <w:r>
              <w:rPr>
                <w:rFonts w:ascii="仿宋_GB2312" w:hAnsi="仿宋_GB2312" w:cs="仿宋_GB2312" w:eastAsia="仿宋_GB2312"/>
                <w:sz w:val="21"/>
              </w:rPr>
              <w:t>（</w:t>
            </w:r>
            <w:r>
              <w:rPr>
                <w:rFonts w:ascii="仿宋_GB2312" w:hAnsi="仿宋_GB2312" w:cs="仿宋_GB2312" w:eastAsia="仿宋_GB2312"/>
                <w:sz w:val="21"/>
              </w:rPr>
              <w:t>1套，核心产品）</w:t>
            </w:r>
          </w:p>
          <w:tbl>
            <w:tblPr>
              <w:tblBorders>
                <w:top w:val="none" w:color="000000" w:sz="4"/>
                <w:left w:val="none" w:color="000000" w:sz="4"/>
                <w:bottom w:val="none" w:color="000000" w:sz="4"/>
                <w:right w:val="none" w:color="000000" w:sz="4"/>
                <w:insideH w:val="none"/>
                <w:insideV w:val="none"/>
              </w:tblBorders>
            </w:tblPr>
            <w:tblGrid>
              <w:gridCol w:w="219"/>
              <w:gridCol w:w="2330"/>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2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技术要求</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机架系统</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滑环类型：低压滑环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机架孔径：</w:t>
                  </w:r>
                  <w:r>
                    <w:rPr>
                      <w:rFonts w:ascii="仿宋_GB2312" w:hAnsi="仿宋_GB2312" w:cs="仿宋_GB2312" w:eastAsia="仿宋_GB2312"/>
                      <w:sz w:val="21"/>
                    </w:rPr>
                    <w:t>≥850mm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扫描架机械倾角：</w:t>
                  </w:r>
                  <w:r>
                    <w:rPr>
                      <w:rFonts w:ascii="仿宋_GB2312" w:hAnsi="仿宋_GB2312" w:cs="仿宋_GB2312" w:eastAsia="仿宋_GB2312"/>
                      <w:sz w:val="21"/>
                    </w:rPr>
                    <w:t>≥±30°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每旋转</w:t>
                  </w:r>
                  <w:r>
                    <w:rPr>
                      <w:rFonts w:ascii="仿宋_GB2312" w:hAnsi="仿宋_GB2312" w:cs="仿宋_GB2312" w:eastAsia="仿宋_GB2312"/>
                      <w:sz w:val="21"/>
                    </w:rPr>
                    <w:t>360°采集：≥32层</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冷却方式：风冷或水冷（如采用水冷方式，需提供两套水冷机组，注明品牌、型号）</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高压发生器：</w:t>
                  </w:r>
                  <w:r>
                    <w:rPr>
                      <w:rFonts w:ascii="仿宋_GB2312" w:hAnsi="仿宋_GB2312" w:cs="仿宋_GB2312" w:eastAsia="仿宋_GB2312"/>
                      <w:sz w:val="21"/>
                    </w:rPr>
                    <w:t>≥ 80kW</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球管</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球管小焦点：</w:t>
                  </w:r>
                  <w:r>
                    <w:rPr>
                      <w:rFonts w:ascii="仿宋_GB2312" w:hAnsi="仿宋_GB2312" w:cs="仿宋_GB2312" w:eastAsia="仿宋_GB2312"/>
                      <w:sz w:val="21"/>
                    </w:rPr>
                    <w:t>≤0.5×1.0mm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球管大焦点：</w:t>
                  </w:r>
                  <w:r>
                    <w:rPr>
                      <w:rFonts w:ascii="仿宋_GB2312" w:hAnsi="仿宋_GB2312" w:cs="仿宋_GB2312" w:eastAsia="仿宋_GB2312"/>
                      <w:sz w:val="21"/>
                    </w:rPr>
                    <w:t>≤1.0×1.0mm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▲3.3</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球管阳极热容量（非等效）：</w:t>
                  </w:r>
                  <w:r>
                    <w:rPr>
                      <w:rFonts w:ascii="仿宋_GB2312" w:hAnsi="仿宋_GB2312" w:cs="仿宋_GB2312" w:eastAsia="仿宋_GB2312"/>
                      <w:sz w:val="21"/>
                    </w:rPr>
                    <w:t>≥8MHU</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最大阳极冷却率：</w:t>
                  </w:r>
                  <w:r>
                    <w:rPr>
                      <w:rFonts w:ascii="仿宋_GB2312" w:hAnsi="仿宋_GB2312" w:cs="仿宋_GB2312" w:eastAsia="仿宋_GB2312"/>
                      <w:sz w:val="21"/>
                    </w:rPr>
                    <w:t>≥1600kHU/min</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球管阳极靶面直径：</w:t>
                  </w:r>
                  <w:r>
                    <w:rPr>
                      <w:rFonts w:ascii="仿宋_GB2312" w:hAnsi="仿宋_GB2312" w:cs="仿宋_GB2312" w:eastAsia="仿宋_GB2312"/>
                      <w:sz w:val="21"/>
                    </w:rPr>
                    <w:t>≥200mm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最大管电流：</w:t>
                  </w:r>
                  <w:r>
                    <w:rPr>
                      <w:rFonts w:ascii="仿宋_GB2312" w:hAnsi="仿宋_GB2312" w:cs="仿宋_GB2312" w:eastAsia="仿宋_GB2312"/>
                      <w:sz w:val="21"/>
                    </w:rPr>
                    <w:t>≥635mA</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3.7</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最小管电流：</w:t>
                  </w:r>
                  <w:r>
                    <w:rPr>
                      <w:rFonts w:ascii="仿宋_GB2312" w:hAnsi="仿宋_GB2312" w:cs="仿宋_GB2312" w:eastAsia="仿宋_GB2312"/>
                      <w:sz w:val="21"/>
                    </w:rPr>
                    <w:t>≤10mA</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最大管电压：</w:t>
                  </w:r>
                  <w:r>
                    <w:rPr>
                      <w:rFonts w:ascii="仿宋_GB2312" w:hAnsi="仿宋_GB2312" w:cs="仿宋_GB2312" w:eastAsia="仿宋_GB2312"/>
                      <w:sz w:val="21"/>
                    </w:rPr>
                    <w:t>≥140kV</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▲3.9</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为保证设备稳定性，球管与</w:t>
                  </w:r>
                  <w:r>
                    <w:rPr>
                      <w:rFonts w:ascii="仿宋_GB2312" w:hAnsi="仿宋_GB2312" w:cs="仿宋_GB2312" w:eastAsia="仿宋_GB2312"/>
                      <w:sz w:val="21"/>
                    </w:rPr>
                    <w:t>CT主机为同一厂家生产（提供证明材料）</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▲3.10</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球管阳极等效热容量：</w:t>
                  </w:r>
                  <w:r>
                    <w:rPr>
                      <w:rFonts w:ascii="仿宋_GB2312" w:hAnsi="仿宋_GB2312" w:cs="仿宋_GB2312" w:eastAsia="仿宋_GB2312"/>
                      <w:sz w:val="21"/>
                    </w:rPr>
                    <w:t>≥30MHU</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探测器</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探测器材料：固态稀土陶瓷材料</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每排探测器实际物理个数：</w:t>
                  </w:r>
                  <w:r>
                    <w:rPr>
                      <w:rFonts w:ascii="仿宋_GB2312" w:hAnsi="仿宋_GB2312" w:cs="仿宋_GB2312" w:eastAsia="仿宋_GB2312"/>
                      <w:sz w:val="21"/>
                    </w:rPr>
                    <w:t>≥800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▲4.3</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探测器物理宽度：</w:t>
                  </w:r>
                  <w:r>
                    <w:rPr>
                      <w:rFonts w:ascii="仿宋_GB2312" w:hAnsi="仿宋_GB2312" w:cs="仿宋_GB2312" w:eastAsia="仿宋_GB2312"/>
                      <w:sz w:val="21"/>
                    </w:rPr>
                    <w:t>≥22mm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★4.4</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探测器物理排数：</w:t>
                  </w:r>
                  <w:r>
                    <w:rPr>
                      <w:rFonts w:ascii="仿宋_GB2312" w:hAnsi="仿宋_GB2312" w:cs="仿宋_GB2312" w:eastAsia="仿宋_GB2312"/>
                      <w:sz w:val="21"/>
                    </w:rPr>
                    <w:t>≥24排</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传输速度：</w:t>
                  </w:r>
                  <w:r>
                    <w:rPr>
                      <w:rFonts w:ascii="仿宋_GB2312" w:hAnsi="仿宋_GB2312" w:cs="仿宋_GB2312" w:eastAsia="仿宋_GB2312"/>
                      <w:sz w:val="21"/>
                    </w:rPr>
                    <w:t>≥2.5GB/s</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扫描床系统</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扫描床</w:t>
                  </w:r>
                  <w:r>
                    <w:rPr>
                      <w:rFonts w:ascii="仿宋_GB2312" w:hAnsi="仿宋_GB2312" w:cs="仿宋_GB2312" w:eastAsia="仿宋_GB2312"/>
                      <w:sz w:val="21"/>
                    </w:rPr>
                    <w:t>Z轴定位精度：≤±0.25mm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▲5.2</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扫描床需满足</w:t>
                  </w:r>
                  <w:r>
                    <w:rPr>
                      <w:rFonts w:ascii="仿宋_GB2312" w:hAnsi="仿宋_GB2312" w:cs="仿宋_GB2312" w:eastAsia="仿宋_GB2312"/>
                      <w:sz w:val="21"/>
                    </w:rPr>
                    <w:t>AAPM-TG66标准并在白皮书中注明</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扫描床垂直升降与床纵向运动必须实现分开操作</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5.4</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床面垂直运动范围（从地面算起）：最低</w:t>
                  </w:r>
                  <w:r>
                    <w:rPr>
                      <w:rFonts w:ascii="仿宋_GB2312" w:hAnsi="仿宋_GB2312" w:cs="仿宋_GB2312" w:eastAsia="仿宋_GB2312"/>
                      <w:sz w:val="21"/>
                    </w:rPr>
                    <w:t>≤580mm  最高≥900mm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最大载重量：</w:t>
                  </w:r>
                  <w:r>
                    <w:rPr>
                      <w:rFonts w:ascii="仿宋_GB2312" w:hAnsi="仿宋_GB2312" w:cs="仿宋_GB2312" w:eastAsia="仿宋_GB2312"/>
                      <w:sz w:val="21"/>
                    </w:rPr>
                    <w:t>≥280kg</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提供放疗定位专用全碳纤维平床板，床面需具有放疗专用床面定位索引系统。</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提供放疗专用扫描床系统，不能以诊断扫描床系统代替。</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扫描参数</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定位像角度：</w:t>
                  </w:r>
                  <w:r>
                    <w:rPr>
                      <w:rFonts w:ascii="仿宋_GB2312" w:hAnsi="仿宋_GB2312" w:cs="仿宋_GB2312" w:eastAsia="仿宋_GB2312"/>
                      <w:sz w:val="21"/>
                    </w:rPr>
                    <w:t>90°，180°；长度：≥1700mm，宽度：≥600mm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8.2</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最大真实扫描视野</w:t>
                  </w:r>
                  <w:r>
                    <w:rPr>
                      <w:rFonts w:ascii="仿宋_GB2312" w:hAnsi="仿宋_GB2312" w:cs="仿宋_GB2312" w:eastAsia="仿宋_GB2312"/>
                      <w:sz w:val="21"/>
                    </w:rPr>
                    <w:t>(SFOV)：≥600mm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8.3</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最大显示（扩展）视野</w:t>
                  </w:r>
                  <w:r>
                    <w:rPr>
                      <w:rFonts w:ascii="仿宋_GB2312" w:hAnsi="仿宋_GB2312" w:cs="仿宋_GB2312" w:eastAsia="仿宋_GB2312"/>
                      <w:sz w:val="21"/>
                    </w:rPr>
                    <w:t>(EFOV)：≥700mm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▲8.4</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扫描时间：螺旋扫描</w:t>
                  </w:r>
                  <w:r>
                    <w:rPr>
                      <w:rFonts w:ascii="仿宋_GB2312" w:hAnsi="仿宋_GB2312" w:cs="仿宋_GB2312" w:eastAsia="仿宋_GB2312"/>
                      <w:sz w:val="21"/>
                    </w:rPr>
                    <w:t>≤0.45s/360°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最大单次连续螺旋扫描时间</w:t>
                  </w:r>
                  <w:r>
                    <w:rPr>
                      <w:rFonts w:ascii="仿宋_GB2312" w:hAnsi="仿宋_GB2312" w:cs="仿宋_GB2312" w:eastAsia="仿宋_GB2312"/>
                      <w:sz w:val="21"/>
                    </w:rPr>
                    <w:t>≥ 120s</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8.6</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最小扫描层厚</w:t>
                  </w:r>
                  <w:r>
                    <w:rPr>
                      <w:rFonts w:ascii="仿宋_GB2312" w:hAnsi="仿宋_GB2312" w:cs="仿宋_GB2312" w:eastAsia="仿宋_GB2312"/>
                      <w:sz w:val="21"/>
                    </w:rPr>
                    <w:t>≤0.6mm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8.7</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最大连续轴向扫描范围</w:t>
                  </w:r>
                  <w:r>
                    <w:rPr>
                      <w:rFonts w:ascii="仿宋_GB2312" w:hAnsi="仿宋_GB2312" w:cs="仿宋_GB2312" w:eastAsia="仿宋_GB2312"/>
                      <w:sz w:val="21"/>
                    </w:rPr>
                    <w:t>≥1700mm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8.8</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最大连续螺旋扫描范围</w:t>
                  </w:r>
                  <w:r>
                    <w:rPr>
                      <w:rFonts w:ascii="仿宋_GB2312" w:hAnsi="仿宋_GB2312" w:cs="仿宋_GB2312" w:eastAsia="仿宋_GB2312"/>
                      <w:sz w:val="21"/>
                    </w:rPr>
                    <w:t>≥1600mm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8.9</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最小螺距因子</w:t>
                  </w:r>
                  <w:r>
                    <w:rPr>
                      <w:rFonts w:ascii="仿宋_GB2312" w:hAnsi="仿宋_GB2312" w:cs="仿宋_GB2312" w:eastAsia="仿宋_GB2312"/>
                      <w:sz w:val="21"/>
                    </w:rPr>
                    <w:t>≤0.05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8.10</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最大螺距因子</w:t>
                  </w:r>
                  <w:r>
                    <w:rPr>
                      <w:rFonts w:ascii="仿宋_GB2312" w:hAnsi="仿宋_GB2312" w:cs="仿宋_GB2312" w:eastAsia="仿宋_GB2312"/>
                      <w:sz w:val="21"/>
                    </w:rPr>
                    <w:t>≥1.65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提供自动曝光控制功能，减少患者受照剂量</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图像质量</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空间分辨率：</w:t>
                  </w:r>
                  <w:r>
                    <w:rPr>
                      <w:rFonts w:ascii="仿宋_GB2312" w:hAnsi="仿宋_GB2312" w:cs="仿宋_GB2312" w:eastAsia="仿宋_GB2312"/>
                      <w:sz w:val="21"/>
                    </w:rPr>
                    <w:t>≥15lp/cm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9.2</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低密度分辨率：</w:t>
                  </w:r>
                  <w:r>
                    <w:rPr>
                      <w:rFonts w:ascii="仿宋_GB2312" w:hAnsi="仿宋_GB2312" w:cs="仿宋_GB2312" w:eastAsia="仿宋_GB2312"/>
                      <w:sz w:val="21"/>
                    </w:rPr>
                    <w:t>≤4.0 mm @0.3%</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9.3</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噪声：</w:t>
                  </w:r>
                  <w:r>
                    <w:rPr>
                      <w:rFonts w:ascii="仿宋_GB2312" w:hAnsi="仿宋_GB2312" w:cs="仿宋_GB2312" w:eastAsia="仿宋_GB2312"/>
                      <w:sz w:val="21"/>
                    </w:rPr>
                    <w:t>≤0.3%</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9.4</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CT值范围：-1024～＋1024HU    </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CT值误差不超过±4HU</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计算机系统</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操作系统：</w:t>
                  </w:r>
                  <w:r>
                    <w:rPr>
                      <w:rFonts w:ascii="仿宋_GB2312" w:hAnsi="仿宋_GB2312" w:cs="仿宋_GB2312" w:eastAsia="仿宋_GB2312"/>
                      <w:sz w:val="21"/>
                    </w:rPr>
                    <w:t>Windows系统不低于Windows10或其他</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处理器：四核</w:t>
                  </w:r>
                  <w:r>
                    <w:rPr>
                      <w:rFonts w:ascii="仿宋_GB2312" w:hAnsi="仿宋_GB2312" w:cs="仿宋_GB2312" w:eastAsia="仿宋_GB2312"/>
                      <w:sz w:val="21"/>
                    </w:rPr>
                    <w:t>≥3.6GHz</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10.3</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硬盘容量：</w:t>
                  </w:r>
                  <w:r>
                    <w:rPr>
                      <w:rFonts w:ascii="仿宋_GB2312" w:hAnsi="仿宋_GB2312" w:cs="仿宋_GB2312" w:eastAsia="仿宋_GB2312"/>
                      <w:sz w:val="21"/>
                    </w:rPr>
                    <w:t>≥2T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10.4</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≥16GB</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提供包含</w:t>
                  </w:r>
                  <w:r>
                    <w:rPr>
                      <w:rFonts w:ascii="仿宋_GB2312" w:hAnsi="仿宋_GB2312" w:cs="仿宋_GB2312" w:eastAsia="仿宋_GB2312"/>
                      <w:sz w:val="21"/>
                    </w:rPr>
                    <w:t>GPU芯片的控制台计算机，保证系统稳定性</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10.6</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提供包含</w:t>
                  </w:r>
                  <w:r>
                    <w:rPr>
                      <w:rFonts w:ascii="仿宋_GB2312" w:hAnsi="仿宋_GB2312" w:cs="仿宋_GB2312" w:eastAsia="仿宋_GB2312"/>
                      <w:sz w:val="21"/>
                    </w:rPr>
                    <w:t>GPU芯片的图像系统处理计算机，保证图像重建稳定性</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10.7</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图像系统处理计算机处理器，八核</w:t>
                  </w:r>
                  <w:r>
                    <w:rPr>
                      <w:rFonts w:ascii="仿宋_GB2312" w:hAnsi="仿宋_GB2312" w:cs="仿宋_GB2312" w:eastAsia="仿宋_GB2312"/>
                      <w:sz w:val="21"/>
                    </w:rPr>
                    <w:t xml:space="preserve">≥3.8GHz  </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10.8</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硬盘存储容量：</w:t>
                  </w:r>
                  <w:r>
                    <w:rPr>
                      <w:rFonts w:ascii="仿宋_GB2312" w:hAnsi="仿宋_GB2312" w:cs="仿宋_GB2312" w:eastAsia="仿宋_GB2312"/>
                      <w:sz w:val="21"/>
                    </w:rPr>
                    <w:t>≥8T ;内存≥32GB</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10.9</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彩色医用显示器（</w:t>
                  </w:r>
                  <w:r>
                    <w:rPr>
                      <w:rFonts w:ascii="仿宋_GB2312" w:hAnsi="仿宋_GB2312" w:cs="仿宋_GB2312" w:eastAsia="仿宋_GB2312"/>
                      <w:sz w:val="21"/>
                    </w:rPr>
                    <w:t>2台）：≥19英寸，分辨率≥2560*1440，具备双屏显示功能</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▲10.10</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最大重建矩阵：</w:t>
                  </w:r>
                  <w:r>
                    <w:rPr>
                      <w:rFonts w:ascii="仿宋_GB2312" w:hAnsi="仿宋_GB2312" w:cs="仿宋_GB2312" w:eastAsia="仿宋_GB2312"/>
                      <w:sz w:val="21"/>
                    </w:rPr>
                    <w:t>≥1024×1024</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10.11</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r>
                    <w:rPr>
                      <w:rFonts w:ascii="仿宋_GB2312" w:hAnsi="仿宋_GB2312" w:cs="仿宋_GB2312" w:eastAsia="仿宋_GB2312"/>
                      <w:sz w:val="21"/>
                    </w:rPr>
                    <w:t>768×768 重建方式</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10.12</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显示矩阵：</w:t>
                  </w:r>
                  <w:r>
                    <w:rPr>
                      <w:rFonts w:ascii="仿宋_GB2312" w:hAnsi="仿宋_GB2312" w:cs="仿宋_GB2312" w:eastAsia="仿宋_GB2312"/>
                      <w:sz w:val="21"/>
                    </w:rPr>
                    <w:t>≥1024×1024</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10.13</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提供厂家最新微辐射影像重建算法，</w:t>
                  </w:r>
                  <w:r>
                    <w:rPr>
                      <w:rFonts w:ascii="仿宋_GB2312" w:hAnsi="仿宋_GB2312" w:cs="仿宋_GB2312" w:eastAsia="仿宋_GB2312"/>
                      <w:sz w:val="21"/>
                    </w:rPr>
                    <w:t>Philips提供iDose4，GE提供ASIR2，Siemens提供Safire, Canon提供AIDR 3D等</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10.13.1</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可实现低能量成像</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10.13.2</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可实现低剂量成像</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10.13.3</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可实现低造影剂剂量强化</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10.13.4</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具备降低噪声功能</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10.13.5</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具备去伪影功能</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10.14</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提供智能化量体成像操作平台</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10.14.1</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要求该平台可综合考虑包括临床表现</w:t>
                  </w:r>
                  <w:r>
                    <w:rPr>
                      <w:rFonts w:ascii="仿宋_GB2312" w:hAnsi="仿宋_GB2312" w:cs="仿宋_GB2312" w:eastAsia="仿宋_GB2312"/>
                      <w:sz w:val="21"/>
                    </w:rPr>
                    <w:t>,身体状态(从婴儿到病态肥胖的成年人)、扫描区域、年龄、生理和解剖因素后优化CT扫描条件，保证图像质量和低剂量扫描。</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10.14.2</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要求该操作平台可实现曝光条件智能化管理，操作员输入参数与传统操作系统比较可减少点击一半以上，保证临床工作效率。</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10.14.3</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要求该操作系统可以保证不同操作员扫描结果的一致性</w:t>
                  </w:r>
                </w:p>
              </w:tc>
            </w:tr>
            <w:tr>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10.14.4</w:t>
                  </w:r>
                </w:p>
              </w:tc>
              <w:tc>
                <w:tcPr>
                  <w:tcW w:type="dxa" w:w="23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要求该操作系统调整曝光条件时不改变</w:t>
                  </w:r>
                  <w:r>
                    <w:rPr>
                      <w:rFonts w:ascii="仿宋_GB2312" w:hAnsi="仿宋_GB2312" w:cs="仿宋_GB2312" w:eastAsia="仿宋_GB2312"/>
                      <w:sz w:val="21"/>
                    </w:rPr>
                    <w:t>KV值</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10.14.5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要求该系统在降低辐射剂量的同时保证图像质量的优化和提升</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重建速度：</w:t>
                  </w:r>
                  <w:r>
                    <w:rPr>
                      <w:rFonts w:ascii="仿宋_GB2312" w:hAnsi="仿宋_GB2312" w:cs="仿宋_GB2312" w:eastAsia="仿宋_GB2312"/>
                      <w:sz w:val="21"/>
                    </w:rPr>
                    <w:t>≥30幅/s</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10.16</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图像存储</w:t>
                  </w:r>
                  <w:r>
                    <w:rPr>
                      <w:rFonts w:ascii="仿宋_GB2312" w:hAnsi="仿宋_GB2312" w:cs="仿宋_GB2312" w:eastAsia="仿宋_GB2312"/>
                      <w:sz w:val="21"/>
                    </w:rPr>
                    <w:t>: DVD-RAM</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10.17</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计算机同步处理能力：可实现在扫描状态下的图像实时同步重建并行处理图像</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呼吸门控系统</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提供原厂呼吸门控系统软硬件并注明厂家型号</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11.2</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采用红外线或腹压带体表监测的方式监测呼吸运动</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11.3</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配合</w:t>
                  </w:r>
                  <w:r>
                    <w:rPr>
                      <w:rFonts w:ascii="仿宋_GB2312" w:hAnsi="仿宋_GB2312" w:cs="仿宋_GB2312" w:eastAsia="仿宋_GB2312"/>
                      <w:sz w:val="21"/>
                    </w:rPr>
                    <w:t>CT机采集4D CT图像，支持前瞻式轴向扫描</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11.4</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配合</w:t>
                  </w:r>
                  <w:r>
                    <w:rPr>
                      <w:rFonts w:ascii="仿宋_GB2312" w:hAnsi="仿宋_GB2312" w:cs="仿宋_GB2312" w:eastAsia="仿宋_GB2312"/>
                      <w:sz w:val="21"/>
                    </w:rPr>
                    <w:t>CT机采集4D CT图像，支持前瞻式螺旋扫描方式</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配合</w:t>
                  </w:r>
                  <w:r>
                    <w:rPr>
                      <w:rFonts w:ascii="仿宋_GB2312" w:hAnsi="仿宋_GB2312" w:cs="仿宋_GB2312" w:eastAsia="仿宋_GB2312"/>
                      <w:sz w:val="21"/>
                    </w:rPr>
                    <w:t>CT机采集4D CT图像，支持回顾式螺旋扫描方式</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11.6</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回顾式螺旋扫描必须能够提供基于时相及幅值的两种后处理重建方式</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11.7</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上述</w:t>
                  </w:r>
                  <w:r>
                    <w:rPr>
                      <w:rFonts w:ascii="仿宋_GB2312" w:hAnsi="仿宋_GB2312" w:cs="仿宋_GB2312" w:eastAsia="仿宋_GB2312"/>
                      <w:sz w:val="21"/>
                    </w:rPr>
                    <w:t>4D CT图像和模拟定位数据可传输至配套的治疗计划系统进行相关放射治疗计划设计。</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质控模体</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提供原厂</w:t>
                  </w:r>
                  <w:r>
                    <w:rPr>
                      <w:rFonts w:ascii="仿宋_GB2312" w:hAnsi="仿宋_GB2312" w:cs="仿宋_GB2312" w:eastAsia="仿宋_GB2312"/>
                      <w:sz w:val="21"/>
                    </w:rPr>
                    <w:t>CT模拟定位设备校准专用模体</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12.2</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模体需要分别针对头部和体部设计</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12.3</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可校准</w:t>
                  </w:r>
                  <w:r>
                    <w:rPr>
                      <w:rFonts w:ascii="仿宋_GB2312" w:hAnsi="仿宋_GB2312" w:cs="仿宋_GB2312" w:eastAsia="仿宋_GB2312"/>
                      <w:sz w:val="21"/>
                    </w:rPr>
                    <w:t>CT值准确性</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可测试</w:t>
                  </w:r>
                  <w:r>
                    <w:rPr>
                      <w:rFonts w:ascii="仿宋_GB2312" w:hAnsi="仿宋_GB2312" w:cs="仿宋_GB2312" w:eastAsia="仿宋_GB2312"/>
                      <w:sz w:val="21"/>
                    </w:rPr>
                    <w:t>CT影像质量</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可校准内置激光灯和扫描平面一致性</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12.6</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可测试外部定位激光精度</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12.7</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可测试治疗床水平度</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可测试治疗床扫描图像时的走位精度</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12.9</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提供原厂</w:t>
                  </w:r>
                  <w:r>
                    <w:rPr>
                      <w:rFonts w:ascii="仿宋_GB2312" w:hAnsi="仿宋_GB2312" w:cs="仿宋_GB2312" w:eastAsia="仿宋_GB2312"/>
                      <w:sz w:val="21"/>
                    </w:rPr>
                    <w:t>CT质控软件，并可自动生成检测报告</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其它应用软件</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CTA</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13.2</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造影剂自动跟踪软件</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13.3</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实时三维软件</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13.4</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动态剂量调制</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多平面体积投影</w:t>
                  </w:r>
                  <w:r>
                    <w:rPr>
                      <w:rFonts w:ascii="仿宋_GB2312" w:hAnsi="仿宋_GB2312" w:cs="仿宋_GB2312" w:eastAsia="仿宋_GB2312"/>
                      <w:sz w:val="21"/>
                    </w:rPr>
                    <w:t>MPR</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13.6</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薄块浏览</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13.7</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多平面重建</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13.8</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智能循迹切割</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13.9</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自动层面相关显示</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13.10</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图像智能优化显示软件</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13.11</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容积三维重建</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13.12</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婴幼儿专用扫描方案</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13.13</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肿瘤专用扫描方案</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13.14</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自动毫安选择功能</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13.15</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自动语音系统及双向语音传输</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13.16</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多任务并行处理功能</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13.17</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具备激光相机</w:t>
                  </w:r>
                  <w:r>
                    <w:rPr>
                      <w:rFonts w:ascii="仿宋_GB2312" w:hAnsi="仿宋_GB2312" w:cs="仿宋_GB2312" w:eastAsia="仿宋_GB2312"/>
                      <w:sz w:val="21"/>
                    </w:rPr>
                    <w:t>DICOM接口功能</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13.18</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自动照相技术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13.19</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金属伪影去除功能</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2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提供计算机系统</w:t>
                  </w:r>
                  <w:r>
                    <w:rPr>
                      <w:rFonts w:ascii="仿宋_GB2312" w:hAnsi="仿宋_GB2312" w:cs="仿宋_GB2312" w:eastAsia="仿宋_GB2312"/>
                      <w:sz w:val="21"/>
                    </w:rPr>
                    <w:t>UPS电源（一台），≥30分钟不间断电源</w:t>
                  </w:r>
                </w:p>
              </w:tc>
            </w:tr>
          </w:tbl>
          <w:p>
            <w:pPr>
              <w:pStyle w:val="null3"/>
              <w:jc w:val="left"/>
            </w:pPr>
            <w:r>
              <w:rPr>
                <w:rFonts w:ascii="仿宋_GB2312" w:hAnsi="仿宋_GB2312" w:cs="仿宋_GB2312" w:eastAsia="仿宋_GB2312"/>
                <w:sz w:val="21"/>
              </w:rPr>
              <w:t>放射治疗激光定位系统技术要求及规格：（</w:t>
            </w:r>
            <w:r>
              <w:rPr>
                <w:rFonts w:ascii="仿宋_GB2312" w:hAnsi="仿宋_GB2312" w:cs="仿宋_GB2312" w:eastAsia="仿宋_GB2312"/>
                <w:sz w:val="21"/>
              </w:rPr>
              <w:t>1套）</w:t>
            </w:r>
          </w:p>
          <w:tbl>
            <w:tblPr>
              <w:tblBorders>
                <w:top w:val="none" w:color="000000" w:sz="4"/>
                <w:left w:val="none" w:color="000000" w:sz="4"/>
                <w:bottom w:val="none" w:color="000000" w:sz="4"/>
                <w:right w:val="none" w:color="000000" w:sz="4"/>
                <w:insideH w:val="none"/>
                <w:insideV w:val="none"/>
              </w:tblBorders>
            </w:tblPr>
            <w:tblGrid>
              <w:gridCol w:w="223"/>
              <w:gridCol w:w="2326"/>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p>
              </w:tc>
              <w:tc>
                <w:tcPr>
                  <w:tcW w:type="dxa" w:w="2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功能：设备采用激光灯控制软件，控制左右两个</w:t>
                  </w:r>
                  <w:r>
                    <w:rPr>
                      <w:rFonts w:ascii="仿宋_GB2312" w:hAnsi="仿宋_GB2312" w:cs="仿宋_GB2312" w:eastAsia="仿宋_GB2312"/>
                      <w:sz w:val="21"/>
                    </w:rPr>
                    <w:t>“一”字激光灯的移动形成冠状面，左右水平光束（冠状面）高度与等中心水平方向重合，并确保左右侧灯移动距离始终保持一致。控制一个“一”字激光灯的移动形成矢状面的等中心指示，左右固定两个垂直“一”字激光灯，形成横断面并且与左右两个移动水平光束形成等中心指示。</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电机：采用进口闭环控制电机，可对移动的每一步进行位置反馈。</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皮带：采用皮带传动。</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导轨：采用特种钢材定制的高精度导轨</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连接电缆：集成式电缆传输，一根电源线即可完成信号处理及电源供电。</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激光灯头：激光头可通过光学丝杆进行旋转及水平调节。</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安装底座：左右落地式激光灯带有水平调节装置，适应各种机房地面。</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输入电压：</w:t>
                  </w:r>
                  <w:r>
                    <w:rPr>
                      <w:rFonts w:ascii="仿宋_GB2312" w:hAnsi="仿宋_GB2312" w:cs="仿宋_GB2312" w:eastAsia="仿宋_GB2312"/>
                      <w:sz w:val="21"/>
                    </w:rPr>
                    <w:t>AC220V  50Hz。</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额定功率：</w:t>
                  </w:r>
                  <w:r>
                    <w:rPr>
                      <w:rFonts w:ascii="仿宋_GB2312" w:hAnsi="仿宋_GB2312" w:cs="仿宋_GB2312" w:eastAsia="仿宋_GB2312"/>
                      <w:sz w:val="21"/>
                    </w:rPr>
                    <w:t>100-240 VA。</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激光灯线颜色</w:t>
                  </w:r>
                  <w:r>
                    <w:rPr>
                      <w:rFonts w:ascii="仿宋_GB2312" w:hAnsi="仿宋_GB2312" w:cs="仿宋_GB2312" w:eastAsia="仿宋_GB2312"/>
                      <w:sz w:val="21"/>
                    </w:rPr>
                    <w:t>/波长：红色(638nm),绿色（520nm）。</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激光灯线数量：</w:t>
                  </w:r>
                  <w:r>
                    <w:rPr>
                      <w:rFonts w:ascii="仿宋_GB2312" w:hAnsi="仿宋_GB2312" w:cs="仿宋_GB2312" w:eastAsia="仿宋_GB2312"/>
                      <w:sz w:val="21"/>
                    </w:rPr>
                    <w:t>≥5条。</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激光等级：</w:t>
                  </w:r>
                  <w:r>
                    <w:rPr>
                      <w:rFonts w:ascii="仿宋_GB2312" w:hAnsi="仿宋_GB2312" w:cs="仿宋_GB2312" w:eastAsia="仿宋_GB2312"/>
                      <w:sz w:val="21"/>
                    </w:rPr>
                    <w:t>I级</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移动速度：</w:t>
                  </w:r>
                  <w:r>
                    <w:rPr>
                      <w:rFonts w:ascii="仿宋_GB2312" w:hAnsi="仿宋_GB2312" w:cs="仿宋_GB2312" w:eastAsia="仿宋_GB2312"/>
                      <w:sz w:val="21"/>
                    </w:rPr>
                    <w:t>≥18mm/s。</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移动精度：</w:t>
                  </w:r>
                  <w:r>
                    <w:rPr>
                      <w:rFonts w:ascii="仿宋_GB2312" w:hAnsi="仿宋_GB2312" w:cs="仿宋_GB2312" w:eastAsia="仿宋_GB2312"/>
                      <w:sz w:val="21"/>
                    </w:rPr>
                    <w:t>≤0.1mm。</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移动行程：</w:t>
                  </w:r>
                  <w:r>
                    <w:rPr>
                      <w:rFonts w:ascii="仿宋_GB2312" w:hAnsi="仿宋_GB2312" w:cs="仿宋_GB2312" w:eastAsia="仿宋_GB2312"/>
                      <w:sz w:val="21"/>
                    </w:rPr>
                    <w:t>≥700mm</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激光灯线线宽：在距离激光器发射窗口</w:t>
                  </w:r>
                  <w:r>
                    <w:rPr>
                      <w:rFonts w:ascii="仿宋_GB2312" w:hAnsi="仿宋_GB2312" w:cs="仿宋_GB2312" w:eastAsia="仿宋_GB2312"/>
                      <w:sz w:val="21"/>
                    </w:rPr>
                    <w:t>3m处标线线宽≤1mm，黑色弱反射衬底。</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激光灯线长度：在距离激光器发射窗口</w:t>
                  </w:r>
                  <w:r>
                    <w:rPr>
                      <w:rFonts w:ascii="仿宋_GB2312" w:hAnsi="仿宋_GB2312" w:cs="仿宋_GB2312" w:eastAsia="仿宋_GB2312"/>
                      <w:sz w:val="21"/>
                    </w:rPr>
                    <w:t>3m处标线长度≥3m。</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激光定位系统精度</w:t>
                  </w:r>
                  <w:r>
                    <w:rPr>
                      <w:rFonts w:ascii="仿宋_GB2312" w:hAnsi="仿宋_GB2312" w:cs="仿宋_GB2312" w:eastAsia="仿宋_GB2312"/>
                      <w:sz w:val="21"/>
                    </w:rPr>
                    <w:t>≤1mm。</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灯头角度调节：</w:t>
                  </w:r>
                  <w:r>
                    <w:rPr>
                      <w:rFonts w:ascii="仿宋_GB2312" w:hAnsi="仿宋_GB2312" w:cs="仿宋_GB2312" w:eastAsia="仿宋_GB2312"/>
                      <w:sz w:val="21"/>
                    </w:rPr>
                    <w:t>0~360°。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数据传输：可以与</w:t>
                  </w:r>
                  <w:r>
                    <w:rPr>
                      <w:rFonts w:ascii="仿宋_GB2312" w:hAnsi="仿宋_GB2312" w:cs="仿宋_GB2312" w:eastAsia="仿宋_GB2312"/>
                      <w:sz w:val="21"/>
                    </w:rPr>
                    <w:t>TPS数据互传，接收DICOM文件。</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操作软件：能够设置原点，一键回原点，一键关电；可以单轴、多轴移动，可以手动输入移动数据，也可以</w:t>
                  </w:r>
                  <w:r>
                    <w:rPr>
                      <w:rFonts w:ascii="仿宋_GB2312" w:hAnsi="仿宋_GB2312" w:cs="仿宋_GB2312" w:eastAsia="仿宋_GB2312"/>
                      <w:sz w:val="21"/>
                    </w:rPr>
                    <w:t>TPS传输移动数据。</w:t>
                  </w:r>
                </w:p>
              </w:tc>
            </w:tr>
          </w:tbl>
          <w:p>
            <w:pPr>
              <w:pStyle w:val="null3"/>
              <w:jc w:val="left"/>
            </w:pPr>
            <w:r>
              <w:rPr>
                <w:rFonts w:ascii="仿宋_GB2312" w:hAnsi="仿宋_GB2312" w:cs="仿宋_GB2312" w:eastAsia="仿宋_GB2312"/>
                <w:sz w:val="21"/>
              </w:rPr>
              <w:t>高压注射器技术要求及规格：（</w:t>
            </w:r>
            <w:r>
              <w:rPr>
                <w:rFonts w:ascii="仿宋_GB2312" w:hAnsi="仿宋_GB2312" w:cs="仿宋_GB2312" w:eastAsia="仿宋_GB2312"/>
                <w:sz w:val="21"/>
              </w:rPr>
              <w:t>1套）</w:t>
            </w:r>
          </w:p>
          <w:tbl>
            <w:tblPr>
              <w:tblBorders>
                <w:top w:val="none" w:color="000000" w:sz="4"/>
                <w:left w:val="none" w:color="000000" w:sz="4"/>
                <w:bottom w:val="none" w:color="000000" w:sz="4"/>
                <w:right w:val="none" w:color="000000" w:sz="4"/>
                <w:insideH w:val="none"/>
                <w:insideV w:val="none"/>
              </w:tblBorders>
            </w:tblPr>
            <w:tblGrid>
              <w:gridCol w:w="220"/>
              <w:gridCol w:w="2329"/>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高压注射器</w:t>
                  </w:r>
                  <w:r>
                    <w:rPr>
                      <w:rFonts w:ascii="仿宋_GB2312" w:hAnsi="仿宋_GB2312" w:cs="仿宋_GB2312" w:eastAsia="仿宋_GB2312"/>
                      <w:sz w:val="21"/>
                    </w:rPr>
                    <w:t>（双筒及以上）</w:t>
                  </w:r>
                  <w:r>
                    <w:rPr>
                      <w:rFonts w:ascii="仿宋_GB2312" w:hAnsi="仿宋_GB2312" w:cs="仿宋_GB2312" w:eastAsia="仿宋_GB2312"/>
                      <w:sz w:val="21"/>
                    </w:rPr>
                    <w:t>：</w:t>
                  </w:r>
                  <w:r>
                    <w:rPr>
                      <w:rFonts w:ascii="仿宋_GB2312" w:hAnsi="仿宋_GB2312" w:cs="仿宋_GB2312" w:eastAsia="仿宋_GB2312"/>
                      <w:sz w:val="21"/>
                    </w:rPr>
                    <w:t>1套</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直接压力传感器技术，有效防止注射渗漏，当注射过程中有渗漏发出报警并且停机。</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近端</w:t>
                  </w:r>
                  <w:r>
                    <w:rPr>
                      <w:rFonts w:ascii="仿宋_GB2312" w:hAnsi="仿宋_GB2312" w:cs="仿宋_GB2312" w:eastAsia="仿宋_GB2312"/>
                      <w:sz w:val="21"/>
                    </w:rPr>
                    <w:t>≥7英寸显示屏实时检测和显示压力，当实际压力超过限定压力时，系统自动报警并停止注射。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机头带有</w:t>
                  </w:r>
                  <w:r>
                    <w:rPr>
                      <w:rFonts w:ascii="仿宋_GB2312" w:hAnsi="仿宋_GB2312" w:cs="仿宋_GB2312" w:eastAsia="仿宋_GB2312"/>
                      <w:sz w:val="21"/>
                    </w:rPr>
                    <w:t>LED旋转指示灯，吸药过程中顺时旋转，注射过程中逆时旋转。</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注射器针筒规格</w:t>
                  </w:r>
                  <w:r>
                    <w:rPr>
                      <w:rFonts w:ascii="仿宋_GB2312" w:hAnsi="仿宋_GB2312" w:cs="仿宋_GB2312" w:eastAsia="仿宋_GB2312"/>
                      <w:sz w:val="21"/>
                    </w:rPr>
                    <w:t>200ml。</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压力设置范围：</w:t>
                  </w:r>
                  <w:r>
                    <w:rPr>
                      <w:rFonts w:ascii="仿宋_GB2312" w:hAnsi="仿宋_GB2312" w:cs="仿宋_GB2312" w:eastAsia="仿宋_GB2312"/>
                      <w:sz w:val="21"/>
                    </w:rPr>
                    <w:t>100Psi，150 Psi，200 Psi，250 Psi，300 Psi，325 Psi，六档可调，最小≤50Psi，最大≥325Psi；压力单位可在Psi或MPa之间切换。</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注射速度范围：</w:t>
                  </w:r>
                  <w:r>
                    <w:rPr>
                      <w:rFonts w:ascii="仿宋_GB2312" w:hAnsi="仿宋_GB2312" w:cs="仿宋_GB2312" w:eastAsia="仿宋_GB2312"/>
                      <w:sz w:val="21"/>
                    </w:rPr>
                    <w:t>0.1～10ml/s；最小≤0.1ml/s，最大≥10ml/s。</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注射剂量范围：</w:t>
                  </w:r>
                  <w:r>
                    <w:rPr>
                      <w:rFonts w:ascii="仿宋_GB2312" w:hAnsi="仿宋_GB2312" w:cs="仿宋_GB2312" w:eastAsia="仿宋_GB2312"/>
                      <w:sz w:val="21"/>
                    </w:rPr>
                    <w:t>0.1～200ml；最小≤0.1m，最大≥200ml。</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扫描延时和注射延时：</w:t>
                  </w:r>
                  <w:r>
                    <w:rPr>
                      <w:rFonts w:ascii="仿宋_GB2312" w:hAnsi="仿宋_GB2312" w:cs="仿宋_GB2312" w:eastAsia="仿宋_GB2312"/>
                      <w:sz w:val="21"/>
                    </w:rPr>
                    <w:t>0～600s；最小≤0s，最大≥600s。</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注射速率平均误差</w:t>
                  </w:r>
                  <w:r>
                    <w:rPr>
                      <w:rFonts w:ascii="仿宋_GB2312" w:hAnsi="仿宋_GB2312" w:cs="仿宋_GB2312" w:eastAsia="仿宋_GB2312"/>
                      <w:sz w:val="21"/>
                    </w:rPr>
                    <w:t>≤±(5%+0.1ml/s)</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具有自动吸药功能且吸药速率可调节功能，自动吸药速率</w:t>
                  </w:r>
                  <w:r>
                    <w:rPr>
                      <w:rFonts w:ascii="仿宋_GB2312" w:hAnsi="仿宋_GB2312" w:cs="仿宋_GB2312" w:eastAsia="仿宋_GB2312"/>
                      <w:sz w:val="21"/>
                    </w:rPr>
                    <w:t>3-8ml/s可调，最小≤3ml/s，最大≥8ml/s</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具有自动排气功能且排气速率可调节功能</w:t>
                  </w:r>
                  <w:r>
                    <w:rPr>
                      <w:rFonts w:ascii="仿宋_GB2312" w:hAnsi="仿宋_GB2312" w:cs="仿宋_GB2312" w:eastAsia="仿宋_GB2312"/>
                      <w:sz w:val="21"/>
                    </w:rPr>
                    <w:t>, 自动排气速率 3-8ml/s可调，最小≤3ml/s，最大≥8ml/s</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机器近端具有紧急开关按钮，具有一键关机功能。</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推杆自动回位功能。</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每套预案数可设置</w:t>
                  </w:r>
                  <w:r>
                    <w:rPr>
                      <w:rFonts w:ascii="仿宋_GB2312" w:hAnsi="仿宋_GB2312" w:cs="仿宋_GB2312" w:eastAsia="仿宋_GB2312"/>
                      <w:sz w:val="21"/>
                    </w:rPr>
                    <w:t>1～8个注射阶段；最小≤1阶段，最大≥8阶段。</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设备可保存的预案数</w:t>
                  </w:r>
                  <w:r>
                    <w:rPr>
                      <w:rFonts w:ascii="仿宋_GB2312" w:hAnsi="仿宋_GB2312" w:cs="仿宋_GB2312" w:eastAsia="仿宋_GB2312"/>
                      <w:sz w:val="21"/>
                    </w:rPr>
                    <w:t>≥100套。</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整个机头具备</w:t>
                  </w:r>
                  <w:r>
                    <w:rPr>
                      <w:rFonts w:ascii="仿宋_GB2312" w:hAnsi="仿宋_GB2312" w:cs="仿宋_GB2312" w:eastAsia="仿宋_GB2312"/>
                      <w:sz w:val="21"/>
                    </w:rPr>
                    <w:t>180℃旋转定位功能。</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设备近端带有手动旋转上下装置，用于针筒吸药和排气，少量试注射。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具有试注射功能，利于确认液路连通；试注射针筒可以</w:t>
                  </w:r>
                  <w:r>
                    <w:rPr>
                      <w:rFonts w:ascii="仿宋_GB2312" w:hAnsi="仿宋_GB2312" w:cs="仿宋_GB2312" w:eastAsia="仿宋_GB2312"/>
                      <w:sz w:val="21"/>
                    </w:rPr>
                    <w:t>A/B筒自由切换；试注射速度:0.1～3.0ml/s，试注射药量: 1～5ml。</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屏幕亮度：高，中，低三挡可调。</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r>
                    <w:rPr>
                      <w:rFonts w:ascii="仿宋_GB2312" w:hAnsi="仿宋_GB2312" w:cs="仿宋_GB2312" w:eastAsia="仿宋_GB2312"/>
                      <w:sz w:val="21"/>
                    </w:rPr>
                    <w:t>“排气确认”保护按钮。</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注射完成系统自动启进入</w:t>
                  </w:r>
                  <w:r>
                    <w:rPr>
                      <w:rFonts w:ascii="仿宋_GB2312" w:hAnsi="仿宋_GB2312" w:cs="仿宋_GB2312" w:eastAsia="仿宋_GB2312"/>
                      <w:sz w:val="21"/>
                    </w:rPr>
                    <w:t>KVO功能，KVO速度0.1ml/s。</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电源要求：</w:t>
                  </w:r>
                  <w:r>
                    <w:rPr>
                      <w:rFonts w:ascii="仿宋_GB2312" w:hAnsi="仿宋_GB2312" w:cs="仿宋_GB2312" w:eastAsia="仿宋_GB2312"/>
                      <w:sz w:val="21"/>
                    </w:rPr>
                    <w:t>AC.220V 50Hz，≤250VA。</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具备双筒注射模式：</w:t>
                  </w:r>
                  <w:r>
                    <w:rPr>
                      <w:rFonts w:ascii="仿宋_GB2312" w:hAnsi="仿宋_GB2312" w:cs="仿宋_GB2312" w:eastAsia="仿宋_GB2312"/>
                      <w:sz w:val="21"/>
                    </w:rPr>
                    <w:t>A 筒及 B 筒可以同时注射。</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具有盐水排气、盐水冲洗、盐水束推进、双流注射功能。</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远端屏</w:t>
                  </w:r>
                  <w:r>
                    <w:rPr>
                      <w:rFonts w:ascii="仿宋_GB2312" w:hAnsi="仿宋_GB2312" w:cs="仿宋_GB2312" w:eastAsia="仿宋_GB2312"/>
                      <w:sz w:val="21"/>
                    </w:rPr>
                    <w:t>≥7英寸彩色全触摸屏和按键两种操作模式。</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配置清单：主机，远程控制盒，废液杯，线缆包（电源线、数据线）。</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合同签订后60天内,免费安装调试完毕,达到交付使用标准。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第6个月后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再第6个月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（1）本合同及附件文本； （2）国家相应的标准、规范； （3）招标文件、投标文件、澄清表（函）。 （4）易损配件、备件报价单。 （5）提供原厂质保文件。 （6）其它。 2.验收标准： （1）货物到达采购人指定地点后，由投标人和采购人约定时间根据合同要求进行清点验收，确认产地品牌、规格型号和数量等。 （2）设备安装、调试、自检正常，且可正常使用后，由投标人书面向采购人申请正式验收。 （3）投标人按照采购人的验收管理制度和流程准备好验收资料后，按约定时间进行设备运行（正式）验收。设备验收合格后，验收人员在设备验收单上签字作为对货物的最终认可。 （4）投标人须向采购人提交货物实施过程中的所有资料，以便日后管理和维护。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1.原厂质保要求： 要求投标设备原厂质保≥3年。合同签订时，投标人向采购人提供和原厂签订的≥3年的质保合同，内容需明确已响应的质保内容和拟签订采购合同的履约约定内容，并明确质保期内出现质量问题，全权由原厂负责处理。 提供所投产品设备的合格证/检测报告、使用说明书、调试记录、测试报告和其他必要资料； 2.履约能力要求： （1）质保期内： 设备发生故障，在接到采购人通知后，投标人2小时内响应， 8小时内到达现场明确解决方案，48小时内无法修复提供备用机。若需返厂维修，10个工作日内仍无法修复的，需更换同规格型号原厂全新产品。以上环节产生的相关费用均包含在投标价中。 投标人销售及原厂维修人员须定期巡访医院，及时解决相关设备的各种问题。每年≥2次专业保养＋1次数据校正。每次服务后出具书面记录，年度提供总结报告。 （2）投标人在质保期结束前： 对设备进行系统测试，全面保养维护，确保设备正常运行。 （3）质保期满后： 投标人提供每年不低于两次的巡访，以保证设备正常运行。 如采购人要求，投标人须提供优惠有偿维修服务，并负责成本价供应设备所需的原厂备品、备件，提供主要易损备件报价单。 设备出现的故障，投标人应提供及时、有效的技术支持和售后服务，维修更换的配件、备件质保时间为≥12个月，投标人保证所提供的零备件按成本价收取费用，免工时费。 3.使用培训： 设备安装调试完成后，投标人须安排原厂工程师对设备使用人员进行设备安装调试及操作应用等技术培训，直至使用人员熟练掌握该设备的全部功能操作。提供每年不低于2次的理论和操作应用培训。培训环节产生的相关费用包含于投标价中。 4.开机率： 设备开机率≥95%（年停机小于18天），超时1天延长质保5天； 全年≥95%（全年按365天计），故障停机每超过一天，保修期顺延5天，以此类推。 5.服务承诺： (1)质保期内提供的所有服务，不收取任何费用。 (2)配件需为原厂全新件，提供质量承诺函。</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2.未按合同要求提供更换设备或质量不能满足技术要求，采购人会同监督机构、采购代理机构有权终止合同并对供方违约行为进行追究，同时按政府采购供应商管理办法进行相应的处罚。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定标环节采购人有权对投标文件承诺响应的内容进行复核，如有虚假响应，一经发现，取消成交资格并上报财政主管部门，列入政府采购黑名单。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投标函及营业执照.docx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财务报告或银行资信证明.docx 投标函 投标函及营业执照.docx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投标函及营业执照.docx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投标函及营业执照.docx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经审计的完整财务报告（四表一注）；或招标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财务报告或银行资信证明.docx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提供已缴存的 2026年任意1个月的社会保障资金缴存单据或社保机构开具的社会保险参保缴费情况证明。成立时间至提交投标文件截止时间不足一个月或依法不需要缴纳社会保障资金的供应商应提供相关文件证明。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社保缴纳证明.docx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 2026年任意1个月的纳税证明或完税证明，纳税证明或完税证明上应有代收机构或税务机关的公章或业务专用章。依法免税的供应商应提供相关文件证明。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纳税证明.docx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（2）出具参加本次政府采购活动的书面声明；（3）参加政府采购活动前三年内在经营活动中没有重大违法记录：提供书面声明；（4）本项目不接受联合体投标：提供非联合体投标书面声明；</w:t>
            </w:r>
          </w:p>
        </w:tc>
        <w:tc>
          <w:tcPr>
            <w:tcW w:type="dxa" w:w="1661"/>
          </w:tcPr>
          <w:p>
            <w:pPr>
              <w:pStyle w:val="null3"/>
            </w:pPr>
            <w:r>
              <w:rPr>
                <w:rFonts w:ascii="仿宋_GB2312" w:hAnsi="仿宋_GB2312" w:cs="仿宋_GB2312" w:eastAsia="仿宋_GB2312"/>
              </w:rPr>
              <w:t>声明格式.docx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 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声明格式.docx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投标代表参与投标时须提供法定代表人授权书、被授权人身份证及开标截止前连续近三个月在本单位社会保险缴纳证明；法定代表人参与投标时须提供法定代表人身份证明。</w:t>
            </w:r>
          </w:p>
        </w:tc>
        <w:tc>
          <w:tcPr>
            <w:tcW w:type="dxa" w:w="1661"/>
          </w:tcPr>
          <w:p>
            <w:pPr>
              <w:pStyle w:val="null3"/>
            </w:pPr>
            <w:r>
              <w:rPr>
                <w:rFonts w:ascii="仿宋_GB2312" w:hAnsi="仿宋_GB2312" w:cs="仿宋_GB2312" w:eastAsia="仿宋_GB2312"/>
              </w:rPr>
              <w:t>法人授权委托书.docx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1）供应商与其他投标单位无交叉控股股东、无交叉兼任高级管理人员及涉嫌联合围标、串标行为，无采购单位和招标代理机构职工在该单位兼职的情况，不向采购单位和代理机构相关人员输送利益等行贿行为（提供承诺书）。（2）本项目不接受汉中市人民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承诺（格式）.docx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经营资质</w:t>
            </w:r>
          </w:p>
        </w:tc>
        <w:tc>
          <w:tcPr>
            <w:tcW w:type="dxa" w:w="3322"/>
          </w:tcPr>
          <w:p>
            <w:pPr>
              <w:pStyle w:val="null3"/>
            </w:pPr>
            <w:r>
              <w:rPr>
                <w:rFonts w:ascii="仿宋_GB2312" w:hAnsi="仿宋_GB2312" w:cs="仿宋_GB2312" w:eastAsia="仿宋_GB2312"/>
              </w:rPr>
              <w:t>所投产品属于医疗器械管理的，投标人为生产厂家的须提供《医疗器械生产许可证》；投标人为代理商的须提供《医疗器械经营许可证》或《医疗器械经营备案凭证》及生产厂家的《医疗器械生产许可证》；</w:t>
            </w:r>
          </w:p>
        </w:tc>
        <w:tc>
          <w:tcPr>
            <w:tcW w:type="dxa" w:w="1661"/>
          </w:tcPr>
          <w:p>
            <w:pPr>
              <w:pStyle w:val="null3"/>
            </w:pPr>
            <w:r>
              <w:rPr>
                <w:rFonts w:ascii="仿宋_GB2312" w:hAnsi="仿宋_GB2312" w:cs="仿宋_GB2312" w:eastAsia="仿宋_GB2312"/>
              </w:rPr>
              <w:t>承诺（格式）.docx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所投产品属于医疗器械管理的，提供所投产品的《医疗器械产品注册证》或《医疗器械产品备案凭证》；所投产品为进口产品的需提供“进”字号产品注册证及生产厂家针对该产品完整授权链的授权书，且授权范围需包含本次采购项目内容；</w:t>
            </w:r>
          </w:p>
        </w:tc>
        <w:tc>
          <w:tcPr>
            <w:tcW w:type="dxa" w:w="1661"/>
          </w:tcPr>
          <w:p>
            <w:pPr>
              <w:pStyle w:val="null3"/>
            </w:pPr>
            <w:r>
              <w:rPr>
                <w:rFonts w:ascii="仿宋_GB2312" w:hAnsi="仿宋_GB2312" w:cs="仿宋_GB2312" w:eastAsia="仿宋_GB2312"/>
              </w:rPr>
              <w:t>承诺（格式）.docx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落实政府采购相关政策</w:t>
            </w:r>
          </w:p>
        </w:tc>
        <w:tc>
          <w:tcPr>
            <w:tcW w:type="dxa" w:w="3322"/>
          </w:tcPr>
          <w:p>
            <w:pPr>
              <w:pStyle w:val="null3"/>
            </w:pPr>
            <w:r>
              <w:rPr>
                <w:rFonts w:ascii="仿宋_GB2312" w:hAnsi="仿宋_GB2312" w:cs="仿宋_GB2312" w:eastAsia="仿宋_GB2312"/>
              </w:rPr>
              <w:t>1.《关于在政府采购活动中查询及使用信用记录有关问题的通知》（财库〔2016〕125号）、《政府采购促进中小企业发展管理办法》（财库〔2020〕46号）、《关于政府采购支持监狱企业发展有关问题的通知》（财库〔2014〕68号）以及《关于促进残疾人就业政府采购政策的通知》（财库〔2017〕141号）。 2．《财政部 发展改革委 生态环境部 市场监管总局 关于调整优化节能产品、环境标志产品政府采购执行机制的通知》（财库[2019]9号）、国务院办公厅《关于建立政府强制采购节能产品制度的通知》（国办发〔2007〕51号）。 3．陕西省财政厅关于印发《陕西省中小企业政府采购信用融资办法》（陕财办采〔2018〕23号）。《陕西省财政厅关于进一步加大政府采购支持中小企业力度的通知》（陕财办采[2022]5号）。 4．其他应落实的政府采购相关政策。5、《陕西省财政厅关于印发&lt;陕西省中小企业政府采购信用融资办法&gt;的通知》（陕财办采〔2018〕23号）相关政策、业务流程、办理平台（http://www.ccgp-shaanxi.gov.cn/zcdservice/zcd/shanxi/）。</w:t>
            </w:r>
          </w:p>
        </w:tc>
        <w:tc>
          <w:tcPr>
            <w:tcW w:type="dxa" w:w="1661"/>
          </w:tcPr>
          <w:p>
            <w:pPr>
              <w:pStyle w:val="null3"/>
            </w:pPr>
            <w:r>
              <w:rPr>
                <w:rFonts w:ascii="仿宋_GB2312" w:hAnsi="仿宋_GB2312" w:cs="仿宋_GB2312" w:eastAsia="仿宋_GB2312"/>
              </w:rPr>
              <w:t>投标函 中小企业声明函 残疾人福利性单位声明函 投标函及营业执照.docx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合同签订之日起60日历天内。</w:t>
            </w:r>
          </w:p>
        </w:tc>
        <w:tc>
          <w:tcPr>
            <w:tcW w:type="dxa" w:w="1661"/>
          </w:tcPr>
          <w:p>
            <w:pPr>
              <w:pStyle w:val="null3"/>
            </w:pPr>
            <w:r>
              <w:rPr>
                <w:rFonts w:ascii="仿宋_GB2312" w:hAnsi="仿宋_GB2312" w:cs="仿宋_GB2312" w:eastAsia="仿宋_GB2312"/>
              </w:rPr>
              <w:t>商务、合同条款响应.docx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要求投标设备原厂质保≥3年。合同签订时，投标人向采购人提供和原厂签订的≥3年的质保合同，内容需明确已响应的质保内容和拟签订采购合同的履约约定内容，并明确质保期内出现质量问题，全权由原厂负责处理。</w:t>
            </w:r>
          </w:p>
        </w:tc>
        <w:tc>
          <w:tcPr>
            <w:tcW w:type="dxa" w:w="1661"/>
          </w:tcPr>
          <w:p>
            <w:pPr>
              <w:pStyle w:val="null3"/>
            </w:pPr>
            <w:r>
              <w:rPr>
                <w:rFonts w:ascii="仿宋_GB2312" w:hAnsi="仿宋_GB2312" w:cs="仿宋_GB2312" w:eastAsia="仿宋_GB2312"/>
              </w:rPr>
              <w:t>商务、合同条款响应.docx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货到安装、调试、验收合格后 ，达到付款条件起 30 日内，支付合同总金额的 35.00%。第6个月后 ，达到付款条件起 30 日内，支付合同总金额的 35.00%。再第6个月 ，达到付款条件起 30 日内，支付合同总金额的 30.00%。</w:t>
            </w:r>
          </w:p>
        </w:tc>
        <w:tc>
          <w:tcPr>
            <w:tcW w:type="dxa" w:w="1661"/>
          </w:tcPr>
          <w:p>
            <w:pPr>
              <w:pStyle w:val="null3"/>
            </w:pPr>
            <w:r>
              <w:rPr>
                <w:rFonts w:ascii="仿宋_GB2312" w:hAnsi="仿宋_GB2312" w:cs="仿宋_GB2312" w:eastAsia="仿宋_GB2312"/>
              </w:rPr>
              <w:t>商务、合同条款响应.docx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“★”参数条款</w:t>
            </w:r>
          </w:p>
        </w:tc>
        <w:tc>
          <w:tcPr>
            <w:tcW w:type="dxa" w:w="3322"/>
          </w:tcPr>
          <w:p>
            <w:pPr>
              <w:pStyle w:val="null3"/>
            </w:pPr>
            <w:r>
              <w:rPr>
                <w:rFonts w:ascii="仿宋_GB2312" w:hAnsi="仿宋_GB2312" w:cs="仿宋_GB2312" w:eastAsia="仿宋_GB2312"/>
              </w:rPr>
              <w:t>参数需求带“★”的参数需求为实质性要求，供应商响应并满足参数需求</w:t>
            </w:r>
          </w:p>
        </w:tc>
        <w:tc>
          <w:tcPr>
            <w:tcW w:type="dxa" w:w="1661"/>
          </w:tcPr>
          <w:p>
            <w:pPr>
              <w:pStyle w:val="null3"/>
            </w:pPr>
            <w:r>
              <w:rPr>
                <w:rFonts w:ascii="仿宋_GB2312" w:hAnsi="仿宋_GB2312" w:cs="仿宋_GB2312" w:eastAsia="仿宋_GB2312"/>
              </w:rPr>
              <w:t>商务、合同条款响应.docx 技术条款响应.docx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投标文件递交截止日起90日</w:t>
            </w:r>
          </w:p>
        </w:tc>
        <w:tc>
          <w:tcPr>
            <w:tcW w:type="dxa" w:w="1661"/>
          </w:tcPr>
          <w:p>
            <w:pPr>
              <w:pStyle w:val="null3"/>
            </w:pPr>
            <w:r>
              <w:rPr>
                <w:rFonts w:ascii="仿宋_GB2312" w:hAnsi="仿宋_GB2312" w:cs="仿宋_GB2312" w:eastAsia="仿宋_GB2312"/>
              </w:rPr>
              <w:t>投标函 投标函及营业执照.docx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供应商有法律、规章、规范性文件和招标文件规定的其他无效情形</w:t>
            </w:r>
          </w:p>
        </w:tc>
        <w:tc>
          <w:tcPr>
            <w:tcW w:type="dxa" w:w="3322"/>
          </w:tcPr>
          <w:p>
            <w:pPr>
              <w:pStyle w:val="null3"/>
            </w:pPr>
            <w:r>
              <w:rPr>
                <w:rFonts w:ascii="仿宋_GB2312" w:hAnsi="仿宋_GB2312" w:cs="仿宋_GB2312" w:eastAsia="仿宋_GB2312"/>
              </w:rPr>
              <w:t>供应商有法律、规章、规范性文件和招标文件规定的其他无效情形</w:t>
            </w:r>
          </w:p>
        </w:tc>
        <w:tc>
          <w:tcPr>
            <w:tcW w:type="dxa" w:w="1661"/>
          </w:tcPr>
          <w:p>
            <w:pPr>
              <w:pStyle w:val="null3"/>
            </w:pPr>
            <w:r>
              <w:rPr>
                <w:rFonts w:ascii="仿宋_GB2312" w:hAnsi="仿宋_GB2312" w:cs="仿宋_GB2312" w:eastAsia="仿宋_GB2312"/>
              </w:rPr>
              <w:t>商务、合同条款响应.docx 投标函 投标函及营业执照.docx 投标文件封面 技术条款响应.docx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技术参数应答</w:t>
            </w:r>
          </w:p>
        </w:tc>
        <w:tc>
          <w:tcPr>
            <w:tcW w:type="dxa" w:w="2492"/>
          </w:tcPr>
          <w:p>
            <w:pPr>
              <w:pStyle w:val="null3"/>
            </w:pPr>
            <w:r>
              <w:rPr>
                <w:rFonts w:ascii="仿宋_GB2312" w:hAnsi="仿宋_GB2312" w:cs="仿宋_GB2312" w:eastAsia="仿宋_GB2312"/>
              </w:rPr>
              <w:t>完全满足采购需求得40分，▲号项负偏一项扣3分；非▲号项负偏一项扣1分；缺/漏一项▲号参数得0分。 （▲号项必须提供相关证明材料，非▲号项按条款要求提供证明材料，参数应答与证明材料不相符或未按要求提供证明材料的按负偏计）。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技术条款响应.docx</w:t>
            </w:r>
          </w:p>
        </w:tc>
      </w:tr>
      <w:tr>
        <w:tc>
          <w:tcPr>
            <w:tcW w:type="dxa" w:w="831"/>
            <w:vMerge/>
          </w:tcPr>
          <w:p/>
        </w:tc>
        <w:tc>
          <w:tcPr>
            <w:tcW w:type="dxa" w:w="1661"/>
          </w:tcPr>
          <w:p>
            <w:pPr>
              <w:pStyle w:val="null3"/>
            </w:pPr>
            <w:r>
              <w:rPr>
                <w:rFonts w:ascii="仿宋_GB2312" w:hAnsi="仿宋_GB2312" w:cs="仿宋_GB2312" w:eastAsia="仿宋_GB2312"/>
              </w:rPr>
              <w:t>设备供货选型合理性</w:t>
            </w:r>
          </w:p>
        </w:tc>
        <w:tc>
          <w:tcPr>
            <w:tcW w:type="dxa" w:w="2492"/>
          </w:tcPr>
          <w:p>
            <w:pPr>
              <w:pStyle w:val="null3"/>
            </w:pPr>
            <w:r>
              <w:rPr>
                <w:rFonts w:ascii="仿宋_GB2312" w:hAnsi="仿宋_GB2312" w:cs="仿宋_GB2312" w:eastAsia="仿宋_GB2312"/>
              </w:rPr>
              <w:t>根据医院情况提供科学合理的产品选型配置： 1、产品配置选型科学合理，设备先进稳定，功能完善，成熟度高，可靠性强，得7分； 2、产品配置选型较合理，设备稳定，功能较完善，成熟度较高，可靠性较强，得5分； 3、产品配置选型一般，性能稳定性、可靠性一般、成熟度不高，得3分； 4、配置选型差，稳定性可靠性差，成熟度差，得1分； 5、未提供方案的，得0分。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技术条款响应.docx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提供货物的运输、测试、安装调试、验收的具体实施方案： 1、实施方案详细具体，阐述全面、可操作性强，得5分； 2、实施方案较详细，阐述较全面，可操作性较强，得3分； 3、实施方案内容不明确，可操作性差，得1分； 4、未提供方案的，得0分。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技术条款响应.docx</w:t>
            </w:r>
          </w:p>
          <w:p>
            <w:pPr>
              <w:pStyle w:val="null3"/>
            </w:pPr>
            <w:r>
              <w:rPr>
                <w:rFonts w:ascii="仿宋_GB2312" w:hAnsi="仿宋_GB2312" w:cs="仿宋_GB2312" w:eastAsia="仿宋_GB2312"/>
              </w:rPr>
              <w:t>商务、合同条款响应.docx</w:t>
            </w:r>
          </w:p>
        </w:tc>
      </w:tr>
      <w:tr>
        <w:tc>
          <w:tcPr>
            <w:tcW w:type="dxa" w:w="831"/>
            <w:vMerge/>
          </w:tcPr>
          <w:p/>
        </w:tc>
        <w:tc>
          <w:tcPr>
            <w:tcW w:type="dxa" w:w="1661"/>
          </w:tcPr>
          <w:p>
            <w:pPr>
              <w:pStyle w:val="null3"/>
            </w:pPr>
            <w:r>
              <w:rPr>
                <w:rFonts w:ascii="仿宋_GB2312" w:hAnsi="仿宋_GB2312" w:cs="仿宋_GB2312" w:eastAsia="仿宋_GB2312"/>
              </w:rPr>
              <w:t>供货保障</w:t>
            </w:r>
          </w:p>
        </w:tc>
        <w:tc>
          <w:tcPr>
            <w:tcW w:type="dxa" w:w="2492"/>
          </w:tcPr>
          <w:p>
            <w:pPr>
              <w:pStyle w:val="null3"/>
            </w:pPr>
            <w:r>
              <w:rPr>
                <w:rFonts w:ascii="仿宋_GB2312" w:hAnsi="仿宋_GB2312" w:cs="仿宋_GB2312" w:eastAsia="仿宋_GB2312"/>
              </w:rPr>
              <w:t>所投货物进货渠道正规，有合法有效的供货协议（不限于销售协议、代理协议、原厂授权等），确保投标产品具有追溯性，且无假货、水货、翻新货且无产权纠纷。提供不全或无法提供的得0分。（注：进口产品必须提供授权，属于符合性审查。）</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技术条款响应.docx</w:t>
            </w:r>
          </w:p>
          <w:p>
            <w:pPr>
              <w:pStyle w:val="null3"/>
            </w:pPr>
            <w:r>
              <w:rPr>
                <w:rFonts w:ascii="仿宋_GB2312" w:hAnsi="仿宋_GB2312" w:cs="仿宋_GB2312" w:eastAsia="仿宋_GB2312"/>
              </w:rPr>
              <w:t>商务、合同条款响应.docx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提供相关售后服务方案（包括但不限于响应时间承诺、服务保障措施、质保期、维护保养及应急维修安排等）： 1、方案内容科学合理，内容全面，详细具体，可行性高，得5分； 2、方案内容较合理，内容较明确，可行性较高，得3分； 3、方案内容不明确、可行性差，得1分； 4、未提供方案的，得0分。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商务、合同条款响应.docx</w:t>
            </w:r>
          </w:p>
          <w:p>
            <w:pPr>
              <w:pStyle w:val="null3"/>
            </w:pPr>
            <w:r>
              <w:rPr>
                <w:rFonts w:ascii="仿宋_GB2312" w:hAnsi="仿宋_GB2312" w:cs="仿宋_GB2312" w:eastAsia="仿宋_GB2312"/>
              </w:rPr>
              <w:t>技术条款响应.docx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提供培训方案，包括内容、人员、对象、时间、地点等，保证采购人能够安全、正常、熟练的操作： 1、培训计划详细具体，内容全面，切实可行，得5分； 2、培训计划较明确，内容一般，可行性一般，得3分； 3、培训方案不明确，可行性差，得1分； 4、未提供方案的，得0分。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技术条款响应.docx</w:t>
            </w:r>
          </w:p>
          <w:p>
            <w:pPr>
              <w:pStyle w:val="null3"/>
            </w:pPr>
            <w:r>
              <w:rPr>
                <w:rFonts w:ascii="仿宋_GB2312" w:hAnsi="仿宋_GB2312" w:cs="仿宋_GB2312" w:eastAsia="仿宋_GB2312"/>
              </w:rPr>
              <w:t>商务、合同条款响应.docx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提供所投核心产品2022年12月1日（以合同签订时间为准）至今的业绩证明材料（业绩以有效的合同为准），每个核心产品提供1份合同，得0.5分，满分3分。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满足招标文件要求且总价格最低的投标总报价为评标基准价，其价格分为满分。其他供应商的价格分按照下列公式计算：投标总报价得分=（评标基准价/投标总报价）×30。 注：符合招标文件规定的小微企业、监狱企业、残疾人福利性单位优惠条件的供应商，价格给予 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详见附件：投标函及营业执照.docx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详见附件：法人授权委托书.docx</w:t>
      </w:r>
    </w:p>
    <w:p>
      <w:pPr>
        <w:pStyle w:val="null3"/>
        <w:ind w:firstLine="960"/>
      </w:pPr>
      <w:r>
        <w:rPr>
          <w:rFonts w:ascii="仿宋_GB2312" w:hAnsi="仿宋_GB2312" w:cs="仿宋_GB2312" w:eastAsia="仿宋_GB2312"/>
        </w:rPr>
        <w:t>详见附件：财务报告或银行资信证明.docx</w:t>
      </w:r>
    </w:p>
    <w:p>
      <w:pPr>
        <w:pStyle w:val="null3"/>
        <w:ind w:firstLine="960"/>
      </w:pPr>
      <w:r>
        <w:rPr>
          <w:rFonts w:ascii="仿宋_GB2312" w:hAnsi="仿宋_GB2312" w:cs="仿宋_GB2312" w:eastAsia="仿宋_GB2312"/>
        </w:rPr>
        <w:t>详见附件：纳税证明.docx</w:t>
      </w:r>
    </w:p>
    <w:p>
      <w:pPr>
        <w:pStyle w:val="null3"/>
        <w:ind w:firstLine="960"/>
      </w:pPr>
      <w:r>
        <w:rPr>
          <w:rFonts w:ascii="仿宋_GB2312" w:hAnsi="仿宋_GB2312" w:cs="仿宋_GB2312" w:eastAsia="仿宋_GB2312"/>
        </w:rPr>
        <w:t>详见附件：社保缴纳证明.docx</w:t>
      </w:r>
    </w:p>
    <w:p>
      <w:pPr>
        <w:pStyle w:val="null3"/>
        <w:ind w:firstLine="960"/>
      </w:pPr>
      <w:r>
        <w:rPr>
          <w:rFonts w:ascii="仿宋_GB2312" w:hAnsi="仿宋_GB2312" w:cs="仿宋_GB2312" w:eastAsia="仿宋_GB2312"/>
        </w:rPr>
        <w:t>详见附件：声明格式.docx</w:t>
      </w:r>
    </w:p>
    <w:p>
      <w:pPr>
        <w:pStyle w:val="null3"/>
        <w:ind w:firstLine="960"/>
      </w:pPr>
      <w:r>
        <w:rPr>
          <w:rFonts w:ascii="仿宋_GB2312" w:hAnsi="仿宋_GB2312" w:cs="仿宋_GB2312" w:eastAsia="仿宋_GB2312"/>
        </w:rPr>
        <w:t>详见附件：承诺（格式）.docx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详见附件：技术条款响应.docx</w:t>
      </w:r>
    </w:p>
    <w:p>
      <w:pPr>
        <w:pStyle w:val="null3"/>
        <w:ind w:firstLine="960"/>
      </w:pPr>
      <w:r>
        <w:rPr>
          <w:rFonts w:ascii="仿宋_GB2312" w:hAnsi="仿宋_GB2312" w:cs="仿宋_GB2312" w:eastAsia="仿宋_GB2312"/>
        </w:rPr>
        <w:t>详见附件：商务、合同条款响应.docx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详见附件：第七章 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