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采购内容:综合歌舞、戏曲、杂技等五类演出；主要功能或目标:完成22个镇（街道）176场戏曲进乡村文化惠民演出任务；需满足的要求:为全区广大农村群众提供五类176场文化惠民演出服务，满足群众精神文化需求。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2NmQ2NTMxZGE3YjNjZjI5NTA3YjZhOTMyZGJmYjAifQ=="/>
  </w:docVars>
  <w:rsids>
    <w:rsidRoot w:val="00000000"/>
    <w:rsid w:val="56B0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2024-04-07T08:25:24Z</dcterms:created>
  <dc:creator>Administrator</dc:creator>
  <cp:lastModifiedBy>乱世浮生。</cp:lastModifiedBy>
  <dcterms:modified xsi:type="dcterms:W3CDTF">2024-04-07T08:26:15Z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B7C4CC34F58147D594B9A1FEF53D5D1F_12</vt:lpwstr>
  </property>
</Properties>
</file>