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overflowPunct/>
        <w:topLinePunct w:val="0"/>
        <w:autoSpaceDE/>
        <w:autoSpaceDN/>
        <w:bidi w:val="0"/>
        <w:adjustRightInd/>
        <w:snapToGrid w:val="0"/>
        <w:spacing w:line="360" w:lineRule="auto"/>
        <w:ind w:firstLine="2570" w:firstLineChars="800"/>
        <w:textAlignment w:val="auto"/>
        <w:rPr>
          <w:rFonts w:hint="eastAsia" w:ascii="黑体" w:hAnsi="黑体" w:eastAsia="黑体" w:cs="黑体"/>
          <w:color w:val="auto"/>
          <w:sz w:val="24"/>
          <w:szCs w:val="24"/>
          <w:highlight w:val="none"/>
        </w:rPr>
      </w:pPr>
      <w:r>
        <w:rPr>
          <w:rFonts w:hint="eastAsia" w:ascii="黑体" w:hAnsi="黑体" w:eastAsia="黑体" w:cs="黑体"/>
          <w:b/>
          <w:color w:val="auto"/>
          <w:sz w:val="32"/>
          <w:szCs w:val="32"/>
          <w:highlight w:val="none"/>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color w:val="auto"/>
          <w:sz w:val="22"/>
          <w:szCs w:val="22"/>
        </w:rPr>
      </w:pPr>
      <w:r>
        <w:rPr>
          <w:rFonts w:hint="eastAsia" w:ascii="黑体" w:hAnsi="黑体" w:eastAsia="黑体" w:cs="黑体"/>
          <w:i w:val="0"/>
          <w:iCs w:val="0"/>
          <w:caps w:val="0"/>
          <w:color w:val="auto"/>
          <w:spacing w:val="0"/>
          <w:sz w:val="22"/>
          <w:szCs w:val="22"/>
          <w:shd w:val="clear" w:fill="FFFFFF"/>
        </w:rPr>
        <w:t>汉中市南郑区2024年食品安全监督抽检检测服务采购项目的潜在供应商应在汉中市南郑区汉山街道办高庄村机电工业集中区二楼获取采购文件，并于 2024年06月24日 09时30分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项目编号：XPXM-HZ-2024-009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项目名称：汉中市南郑区2024年食品安全监督抽检检测服务采购项目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预算金额：500,000.00元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合同包1(汉中市南郑区2024年食品安全监督抽检检测服务采购项目第1包):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合同包预算金额：250,000.00元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合同包最高限价：250,000.00元</w:t>
      </w:r>
    </w:p>
    <w:tbl>
      <w:tblPr>
        <w:tblStyle w:val="6"/>
        <w:tblW w:w="9964" w:type="dxa"/>
        <w:tblInd w:w="-7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1"/>
        <w:gridCol w:w="2016"/>
        <w:gridCol w:w="1650"/>
        <w:gridCol w:w="1110"/>
        <w:gridCol w:w="1523"/>
        <w:gridCol w:w="1335"/>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tblHeader/>
        </w:trPr>
        <w:tc>
          <w:tcPr>
            <w:tcW w:w="9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品目号</w:t>
            </w:r>
          </w:p>
        </w:tc>
        <w:tc>
          <w:tcPr>
            <w:tcW w:w="20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品目名称</w:t>
            </w:r>
          </w:p>
        </w:tc>
        <w:tc>
          <w:tcPr>
            <w:tcW w:w="16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采购标的</w:t>
            </w:r>
          </w:p>
        </w:tc>
        <w:tc>
          <w:tcPr>
            <w:tcW w:w="11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（单位）</w:t>
            </w:r>
          </w:p>
        </w:tc>
        <w:tc>
          <w:tcPr>
            <w:tcW w:w="152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技术规格、参数及要求</w:t>
            </w:r>
          </w:p>
        </w:tc>
        <w:tc>
          <w:tcPr>
            <w:tcW w:w="13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品目预算(元)</w:t>
            </w:r>
          </w:p>
        </w:tc>
        <w:tc>
          <w:tcPr>
            <w:tcW w:w="135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9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1-1</w:t>
            </w:r>
          </w:p>
        </w:tc>
        <w:tc>
          <w:tcPr>
            <w:tcW w:w="20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其他专业技术服务</w:t>
            </w:r>
          </w:p>
        </w:tc>
        <w:tc>
          <w:tcPr>
            <w:tcW w:w="16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食品安全监督抽检检测服务</w:t>
            </w:r>
          </w:p>
        </w:tc>
        <w:tc>
          <w:tcPr>
            <w:tcW w:w="11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595(批次)</w:t>
            </w:r>
          </w:p>
        </w:tc>
        <w:tc>
          <w:tcPr>
            <w:tcW w:w="152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详见采购文件</w:t>
            </w:r>
          </w:p>
        </w:tc>
        <w:tc>
          <w:tcPr>
            <w:tcW w:w="13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250,000.00</w:t>
            </w:r>
          </w:p>
        </w:tc>
        <w:tc>
          <w:tcPr>
            <w:tcW w:w="135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250,000.00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合同履行期限：详见采购文件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合同包2(汉中市南郑区2024年食品安全监督抽检检测服务采购项目第2包):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合同包预算金额：250,000.00元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2" w:lineRule="auto"/>
        <w:ind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合同包最高限价：250,000.00元</w:t>
      </w:r>
    </w:p>
    <w:tbl>
      <w:tblPr>
        <w:tblStyle w:val="6"/>
        <w:tblW w:w="9996" w:type="dxa"/>
        <w:tblInd w:w="-7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1"/>
        <w:gridCol w:w="2016"/>
        <w:gridCol w:w="1650"/>
        <w:gridCol w:w="1110"/>
        <w:gridCol w:w="1395"/>
        <w:gridCol w:w="141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Header/>
        </w:trPr>
        <w:tc>
          <w:tcPr>
            <w:tcW w:w="9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品目号</w:t>
            </w:r>
          </w:p>
        </w:tc>
        <w:tc>
          <w:tcPr>
            <w:tcW w:w="20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品目名称</w:t>
            </w:r>
          </w:p>
        </w:tc>
        <w:tc>
          <w:tcPr>
            <w:tcW w:w="16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采购标的</w:t>
            </w:r>
          </w:p>
        </w:tc>
        <w:tc>
          <w:tcPr>
            <w:tcW w:w="11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（单位）</w:t>
            </w:r>
          </w:p>
        </w:tc>
        <w:tc>
          <w:tcPr>
            <w:tcW w:w="13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技术规格、参数及要求</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品目预算(元)</w:t>
            </w:r>
          </w:p>
        </w:tc>
        <w:tc>
          <w:tcPr>
            <w:tcW w:w="14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9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2-1</w:t>
            </w:r>
          </w:p>
        </w:tc>
        <w:tc>
          <w:tcPr>
            <w:tcW w:w="20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其他专业技术服务</w:t>
            </w:r>
          </w:p>
        </w:tc>
        <w:tc>
          <w:tcPr>
            <w:tcW w:w="16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食品安全监督抽检检测服务</w:t>
            </w:r>
          </w:p>
        </w:tc>
        <w:tc>
          <w:tcPr>
            <w:tcW w:w="11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595(批次)</w:t>
            </w:r>
          </w:p>
        </w:tc>
        <w:tc>
          <w:tcPr>
            <w:tcW w:w="13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详见采购文件</w:t>
            </w:r>
          </w:p>
        </w:tc>
        <w:tc>
          <w:tcPr>
            <w:tcW w:w="14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250,000.00</w:t>
            </w:r>
          </w:p>
        </w:tc>
        <w:tc>
          <w:tcPr>
            <w:tcW w:w="14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黑体" w:hAnsi="黑体" w:eastAsia="黑体" w:cs="黑体"/>
                <w:i w:val="0"/>
                <w:iCs w:val="0"/>
                <w:caps w:val="0"/>
                <w:color w:val="auto"/>
                <w:spacing w:val="0"/>
                <w:kern w:val="0"/>
                <w:sz w:val="22"/>
                <w:szCs w:val="22"/>
                <w:shd w:val="clear" w:fill="FFFFFF"/>
                <w:lang w:val="en-US" w:eastAsia="zh-CN" w:bidi="ar-SA"/>
              </w:rPr>
            </w:pPr>
            <w:r>
              <w:rPr>
                <w:rFonts w:hint="eastAsia" w:ascii="黑体" w:hAnsi="黑体" w:eastAsia="黑体" w:cs="黑体"/>
                <w:i w:val="0"/>
                <w:iCs w:val="0"/>
                <w:caps w:val="0"/>
                <w:color w:val="auto"/>
                <w:spacing w:val="0"/>
                <w:kern w:val="0"/>
                <w:sz w:val="22"/>
                <w:szCs w:val="22"/>
                <w:shd w:val="clear" w:fill="FFFFFF"/>
                <w:lang w:val="en-US" w:eastAsia="zh-CN" w:bidi="ar"/>
              </w:rPr>
              <w:t>250,000.00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283" w:firstLineChars="129"/>
        <w:jc w:val="both"/>
        <w:textAlignment w:val="auto"/>
        <w:rPr>
          <w:rFonts w:hint="eastAsia" w:ascii="黑体" w:hAnsi="黑体" w:eastAsia="黑体" w:cs="黑体"/>
          <w:color w:val="auto"/>
          <w:sz w:val="22"/>
          <w:szCs w:val="22"/>
        </w:rPr>
      </w:pPr>
      <w:r>
        <w:rPr>
          <w:rFonts w:hint="eastAsia" w:ascii="黑体" w:hAnsi="黑体" w:eastAsia="黑体" w:cs="黑体"/>
          <w:i w:val="0"/>
          <w:iCs w:val="0"/>
          <w:caps w:val="0"/>
          <w:color w:val="auto"/>
          <w:spacing w:val="0"/>
          <w:sz w:val="22"/>
          <w:szCs w:val="22"/>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color w:val="auto"/>
          <w:sz w:val="22"/>
          <w:szCs w:val="22"/>
        </w:rPr>
      </w:pPr>
      <w:r>
        <w:rPr>
          <w:rFonts w:hint="eastAsia" w:ascii="黑体" w:hAnsi="黑体" w:eastAsia="黑体" w:cs="黑体"/>
          <w:i w:val="0"/>
          <w:iCs w:val="0"/>
          <w:caps w:val="0"/>
          <w:color w:val="auto"/>
          <w:spacing w:val="0"/>
          <w:sz w:val="22"/>
          <w:szCs w:val="22"/>
          <w:shd w:val="clear" w:fill="FFFFFF"/>
        </w:rPr>
        <w:t>合同履行期限：详见采购文件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合同包1(汉中市南郑区2024年食品安全监督抽检检测服务采购项目第1包)落实政府采购政策需满足的资格要求如下: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本合同包非专门面向中小企业采购。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合同包2(汉中市南郑区2024年食品安全监督抽检检测服务采购项目第2包)落实政府采购政策需满足的资格要求如下: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本合同包非专门面向中小企业采购。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合同包1(汉中市南郑区2024年食品安全监督抽检检测服务采购项目第1包)特定资格要求如下: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（1）法定代表人直接参加磋商的，须出具法人身份证；法定代表人授权代表参加磋商的，须出具法定代表人授权书及授权代表身份证。</w:t>
      </w:r>
      <w:r>
        <w:rPr>
          <w:rFonts w:hint="eastAsia" w:ascii="黑体" w:hAnsi="黑体" w:eastAsia="黑体" w:cs="黑体"/>
          <w:i w:val="0"/>
          <w:iCs w:val="0"/>
          <w:caps w:val="0"/>
          <w:color w:val="auto"/>
          <w:spacing w:val="0"/>
          <w:sz w:val="22"/>
          <w:szCs w:val="22"/>
          <w:shd w:val="clear" w:fill="FFFFFF"/>
        </w:rPr>
        <w:br w:type="textWrapping"/>
      </w: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i w:val="0"/>
          <w:iCs w:val="0"/>
          <w:caps w:val="0"/>
          <w:color w:val="auto"/>
          <w:spacing w:val="0"/>
          <w:sz w:val="22"/>
          <w:szCs w:val="22"/>
          <w:shd w:val="clear" w:fill="FFFFFF"/>
        </w:rPr>
        <w:t>（2）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r>
        <w:rPr>
          <w:rFonts w:hint="eastAsia" w:ascii="黑体" w:hAnsi="黑体" w:eastAsia="黑体" w:cs="黑体"/>
          <w:i w:val="0"/>
          <w:iCs w:val="0"/>
          <w:caps w:val="0"/>
          <w:color w:val="auto"/>
          <w:spacing w:val="0"/>
          <w:sz w:val="22"/>
          <w:szCs w:val="22"/>
          <w:shd w:val="clear" w:fill="FFFFFF"/>
        </w:rPr>
        <w:br w:type="textWrapping"/>
      </w: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i w:val="0"/>
          <w:iCs w:val="0"/>
          <w:caps w:val="0"/>
          <w:color w:val="auto"/>
          <w:spacing w:val="0"/>
          <w:sz w:val="22"/>
          <w:szCs w:val="22"/>
          <w:shd w:val="clear" w:fill="FFFFFF"/>
        </w:rPr>
        <w:t>（3）供应商须提供检验检测机构资质认定证书CMA（证书附表包含食品)和农产品质量安全检测机构考核合格证书CATL。</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合同包2(汉中市南郑区2024年食品安全监督抽检检测服务采购项目第2包)特定资格要求如下: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（1）法定代表人直接参加磋商的，须出具法人身份证；法定代表人授权代表参加磋商的，须出具法定代表人授权书及授权代表身份证。</w:t>
      </w:r>
      <w:r>
        <w:rPr>
          <w:rFonts w:hint="eastAsia" w:ascii="黑体" w:hAnsi="黑体" w:eastAsia="黑体" w:cs="黑体"/>
          <w:i w:val="0"/>
          <w:iCs w:val="0"/>
          <w:caps w:val="0"/>
          <w:color w:val="auto"/>
          <w:spacing w:val="0"/>
          <w:sz w:val="22"/>
          <w:szCs w:val="22"/>
          <w:shd w:val="clear" w:fill="FFFFFF"/>
        </w:rPr>
        <w:br w:type="textWrapping"/>
      </w: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i w:val="0"/>
          <w:iCs w:val="0"/>
          <w:caps w:val="0"/>
          <w:color w:val="auto"/>
          <w:spacing w:val="0"/>
          <w:sz w:val="22"/>
          <w:szCs w:val="22"/>
          <w:shd w:val="clear" w:fill="FFFFFF"/>
        </w:rPr>
        <w:t>（2）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r>
        <w:rPr>
          <w:rFonts w:hint="eastAsia" w:ascii="黑体" w:hAnsi="黑体" w:eastAsia="黑体" w:cs="黑体"/>
          <w:i w:val="0"/>
          <w:iCs w:val="0"/>
          <w:caps w:val="0"/>
          <w:color w:val="auto"/>
          <w:spacing w:val="0"/>
          <w:sz w:val="22"/>
          <w:szCs w:val="22"/>
          <w:shd w:val="clear" w:fill="FFFFFF"/>
        </w:rPr>
        <w:br w:type="textWrapping"/>
      </w: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i w:val="0"/>
          <w:iCs w:val="0"/>
          <w:caps w:val="0"/>
          <w:color w:val="auto"/>
          <w:spacing w:val="0"/>
          <w:sz w:val="22"/>
          <w:szCs w:val="22"/>
          <w:shd w:val="clear" w:fill="FFFFFF"/>
        </w:rPr>
        <w:t>（3）供应商须提供检验检测机构资质认定证书CMA（证书附表包含食品)和农产品质量安全检测机构考核合格证书CATL。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时间： 2024年06月12日 至 2024年06月18日 ，每天上午 08:00:00 至 12:00:00 ，下午 14:00:00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途径：汉中市南郑区汉山街道办高庄村机电工业集中区二楼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售价： 300元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截止时间： 2024年06月24日 09时30分00秒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地点：汉中市南郑区汉山街道办高庄村机电工业集中区二楼会议室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时间： 2024年06月24日 09时30分00秒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地点：汉中市南郑区汉山街道办高庄村机电工业集中区二楼会议室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color w:val="auto"/>
          <w:sz w:val="22"/>
          <w:szCs w:val="22"/>
        </w:rPr>
      </w:pPr>
      <w:r>
        <w:rPr>
          <w:rFonts w:hint="eastAsia" w:ascii="黑体" w:hAnsi="黑体" w:eastAsia="黑体" w:cs="黑体"/>
          <w:i w:val="0"/>
          <w:iCs w:val="0"/>
          <w:caps w:val="0"/>
          <w:color w:val="auto"/>
          <w:spacing w:val="0"/>
          <w:sz w:val="22"/>
          <w:szCs w:val="22"/>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lang w:val="en-US" w:eastAsia="zh-CN"/>
        </w:rPr>
        <w:t>1、潜在供应商获取竞争性磋商文件时需出示获取人身份证原件，并提交供应商出具的对获取人的介绍信原件（需注明第几包）以及获取人身份证复印件（加盖公章），本项目竞争性磋商文件不提供邮寄，现场现金购买，售后不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lang w:val="en-US" w:eastAsia="zh-CN"/>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lang w:val="en-US" w:eastAsia="zh-CN"/>
        </w:rPr>
        <w:t>3、本次采购落实政府采购政策：（1）《政府采购促进中小企业发展管理办法》（财库〔2020〕46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农业农村部国家乡村振兴局关于运用政府采购政策支持乡村产业振兴的通知》（财库〔2021〕19号）；（6）《财政部农业农村部国家乡村振兴局中华全国供销合作总社关于印发&lt;关于深入开展政府采购脱贫地区农副产品工作推进乡村产业振兴的实施意见&gt;的通知》（财库〔2021〕20号）；（7）《陕西省财政厅关于进一步加强政府绿色采购有关问题的通知》（陕财办采〔2021〕29号）；（8）《财政部关于在政府采购活动中落实平等对待内外资企业有关政策的通知》（财库〔2021〕35号）；（9）陕西省财政厅《关于加快推进我省中小企业政府采购信用融资工作的通知》（陕财办采〔2020〕15号）；（10）《关于进一步加大政府采购支持中小企业力度的通知》（财库〔2022〕19号）；（11）《陕西省财政厅、中国人民银行西安分行关于深入推进政府采购信用融资业务的通知》 陕财办采〔2023〕5号；（12）按相关规定需要落实的其他政府采购政策。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5" w:firstLineChars="129"/>
        <w:jc w:val="left"/>
        <w:textAlignment w:val="auto"/>
        <w:rPr>
          <w:rFonts w:hint="eastAsia" w:ascii="黑体" w:hAnsi="黑体" w:eastAsia="黑体" w:cs="黑体"/>
          <w:b w:val="0"/>
          <w:bCs w:val="0"/>
          <w:color w:val="auto"/>
          <w:sz w:val="22"/>
          <w:szCs w:val="22"/>
        </w:rPr>
      </w:pPr>
      <w:r>
        <w:rPr>
          <w:rStyle w:val="8"/>
          <w:rFonts w:hint="eastAsia" w:ascii="黑体" w:hAnsi="黑体" w:eastAsia="黑体" w:cs="黑体"/>
          <w:b/>
          <w:bCs/>
          <w:i w:val="0"/>
          <w:iCs w:val="0"/>
          <w:caps w:val="0"/>
          <w:color w:val="auto"/>
          <w:spacing w:val="0"/>
          <w:sz w:val="22"/>
          <w:szCs w:val="22"/>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left"/>
        <w:textAlignment w:val="auto"/>
        <w:rPr>
          <w:rFonts w:hint="eastAsia" w:ascii="黑体" w:hAnsi="黑体" w:eastAsia="黑体" w:cs="黑体"/>
          <w:b w:val="0"/>
          <w:bCs w:val="0"/>
          <w:color w:val="auto"/>
          <w:sz w:val="22"/>
          <w:szCs w:val="22"/>
        </w:rPr>
      </w:pPr>
      <w:r>
        <w:rPr>
          <w:rFonts w:hint="eastAsia" w:ascii="黑体" w:hAnsi="黑体" w:eastAsia="黑体" w:cs="黑体"/>
          <w:b w:val="0"/>
          <w:bCs w:val="0"/>
          <w:i w:val="0"/>
          <w:iCs w:val="0"/>
          <w:caps w:val="0"/>
          <w:color w:val="auto"/>
          <w:spacing w:val="0"/>
          <w:sz w:val="22"/>
          <w:szCs w:val="22"/>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color w:val="auto"/>
          <w:sz w:val="22"/>
          <w:szCs w:val="22"/>
        </w:rPr>
      </w:pPr>
      <w:r>
        <w:rPr>
          <w:rFonts w:hint="eastAsia" w:ascii="黑体" w:hAnsi="黑体" w:eastAsia="黑体" w:cs="黑体"/>
          <w:i w:val="0"/>
          <w:iCs w:val="0"/>
          <w:caps w:val="0"/>
          <w:color w:val="auto"/>
          <w:spacing w:val="0"/>
          <w:sz w:val="22"/>
          <w:szCs w:val="22"/>
          <w:shd w:val="clear" w:fill="FFFFFF"/>
        </w:rPr>
        <w:t>名称：</w:t>
      </w:r>
      <w:r>
        <w:rPr>
          <w:rFonts w:hint="eastAsia" w:ascii="黑体" w:hAnsi="黑体" w:eastAsia="黑体" w:cs="黑体"/>
          <w:i w:val="0"/>
          <w:iCs w:val="0"/>
          <w:caps w:val="0"/>
          <w:color w:val="auto"/>
          <w:spacing w:val="0"/>
          <w:sz w:val="22"/>
          <w:szCs w:val="22"/>
          <w:shd w:val="clear" w:fill="FFFFFF"/>
          <w:lang w:val="en-US" w:eastAsia="zh-CN"/>
        </w:rPr>
        <w:t>汉中市南郑区</w:t>
      </w:r>
      <w:r>
        <w:rPr>
          <w:rFonts w:hint="eastAsia" w:ascii="黑体" w:hAnsi="黑体" w:eastAsia="黑体" w:cs="黑体"/>
          <w:i w:val="0"/>
          <w:iCs w:val="0"/>
          <w:caps w:val="0"/>
          <w:color w:val="auto"/>
          <w:spacing w:val="0"/>
          <w:sz w:val="22"/>
          <w:szCs w:val="22"/>
          <w:shd w:val="clear" w:fill="FFFFFF"/>
        </w:rPr>
        <w:t>市场监督管理局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地址：汉中市南郑区汉山街道办南湖路15号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联系方式：0916-5512689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名称：陕西信鹏项目管理有限公司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地址：汉中市南郑区汉山街道办高庄村机电工业集中区二楼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联系方式：0916-8625996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项目联系人：游工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83" w:firstLineChars="129"/>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电话：0916-8625996</w:t>
      </w:r>
    </w:p>
    <w:p>
      <w:pPr>
        <w:spacing w:line="360" w:lineRule="auto"/>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color w:val="auto"/>
          <w:sz w:val="22"/>
          <w:szCs w:val="22"/>
          <w:lang w:val="en-US" w:eastAsia="zh-CN"/>
        </w:rPr>
        <w:t xml:space="preserve">                                                 </w:t>
      </w:r>
      <w:r>
        <w:rPr>
          <w:rFonts w:hint="eastAsia" w:ascii="黑体" w:hAnsi="黑体" w:eastAsia="黑体" w:cs="黑体"/>
          <w:i w:val="0"/>
          <w:iCs w:val="0"/>
          <w:caps w:val="0"/>
          <w:color w:val="auto"/>
          <w:spacing w:val="0"/>
          <w:kern w:val="0"/>
          <w:sz w:val="22"/>
          <w:szCs w:val="22"/>
          <w:shd w:val="clear" w:fill="FFFFFF"/>
          <w:lang w:val="en-US" w:eastAsia="zh-CN" w:bidi="ar"/>
        </w:rPr>
        <w:t xml:space="preserve"> </w:t>
      </w:r>
    </w:p>
    <w:p>
      <w:pPr>
        <w:spacing w:line="360" w:lineRule="auto"/>
        <w:rPr>
          <w:rFonts w:hint="eastAsia" w:ascii="黑体" w:hAnsi="黑体" w:eastAsia="黑体" w:cs="黑体"/>
          <w:i w:val="0"/>
          <w:iCs w:val="0"/>
          <w:caps w:val="0"/>
          <w:color w:val="auto"/>
          <w:spacing w:val="0"/>
          <w:kern w:val="0"/>
          <w:sz w:val="22"/>
          <w:szCs w:val="22"/>
          <w:shd w:val="clear" w:fill="FFFFFF"/>
          <w:lang w:val="en-US" w:eastAsia="zh-CN" w:bidi="ar"/>
        </w:rPr>
      </w:pPr>
    </w:p>
    <w:p>
      <w:pPr>
        <w:spacing w:line="360" w:lineRule="auto"/>
        <w:rPr>
          <w:rFonts w:hint="eastAsia" w:ascii="黑体" w:hAnsi="黑体" w:eastAsia="黑体" w:cs="黑体"/>
          <w:i w:val="0"/>
          <w:iCs w:val="0"/>
          <w:caps w:val="0"/>
          <w:color w:val="auto"/>
          <w:spacing w:val="0"/>
          <w:kern w:val="0"/>
          <w:sz w:val="22"/>
          <w:szCs w:val="22"/>
          <w:shd w:val="clear" w:fill="FFFFFF"/>
          <w:lang w:val="en-US" w:eastAsia="zh-CN" w:bidi="ar"/>
        </w:rPr>
      </w:pPr>
    </w:p>
    <w:p>
      <w:pPr>
        <w:spacing w:line="360" w:lineRule="auto"/>
        <w:rPr>
          <w:rFonts w:hint="eastAsia" w:ascii="黑体" w:hAnsi="黑体" w:eastAsia="黑体" w:cs="黑体"/>
          <w:i w:val="0"/>
          <w:iCs w:val="0"/>
          <w:caps w:val="0"/>
          <w:color w:val="auto"/>
          <w:spacing w:val="0"/>
          <w:kern w:val="0"/>
          <w:sz w:val="22"/>
          <w:szCs w:val="22"/>
          <w:shd w:val="clear" w:fill="FFFFFF"/>
          <w:lang w:val="en-US" w:eastAsia="zh-CN" w:bidi="ar"/>
        </w:rPr>
      </w:pPr>
    </w:p>
    <w:p>
      <w:pPr>
        <w:spacing w:line="360" w:lineRule="auto"/>
        <w:rPr>
          <w:rFonts w:hint="eastAsia" w:ascii="黑体" w:hAnsi="黑体" w:eastAsia="黑体" w:cs="黑体"/>
          <w:i w:val="0"/>
          <w:iCs w:val="0"/>
          <w:caps w:val="0"/>
          <w:color w:val="auto"/>
          <w:spacing w:val="0"/>
          <w:kern w:val="0"/>
          <w:sz w:val="22"/>
          <w:szCs w:val="22"/>
          <w:shd w:val="clear" w:fill="FFFFFF"/>
          <w:lang w:val="en-US" w:eastAsia="zh-CN" w:bidi="ar"/>
        </w:rPr>
      </w:pPr>
    </w:p>
    <w:p>
      <w:pPr>
        <w:spacing w:line="360" w:lineRule="auto"/>
        <w:ind w:firstLine="5280" w:firstLineChars="2400"/>
        <w:rPr>
          <w:rFonts w:hint="eastAsia" w:ascii="黑体" w:hAnsi="黑体" w:eastAsia="黑体" w:cs="黑体"/>
          <w:i w:val="0"/>
          <w:iCs w:val="0"/>
          <w:caps w:val="0"/>
          <w:color w:val="auto"/>
          <w:spacing w:val="0"/>
          <w:kern w:val="0"/>
          <w:sz w:val="22"/>
          <w:szCs w:val="22"/>
          <w:shd w:val="clear" w:fill="FFFFFF"/>
          <w:lang w:val="en-US" w:eastAsia="zh-CN" w:bidi="ar"/>
        </w:rPr>
      </w:pPr>
      <w:r>
        <w:rPr>
          <w:rFonts w:hint="eastAsia" w:ascii="黑体" w:hAnsi="黑体" w:eastAsia="黑体" w:cs="黑体"/>
          <w:i w:val="0"/>
          <w:iCs w:val="0"/>
          <w:caps w:val="0"/>
          <w:color w:val="auto"/>
          <w:spacing w:val="0"/>
          <w:kern w:val="0"/>
          <w:sz w:val="22"/>
          <w:szCs w:val="22"/>
          <w:shd w:val="clear" w:fill="FFFFFF"/>
          <w:lang w:val="en-US" w:eastAsia="zh-CN" w:bidi="ar"/>
        </w:rPr>
        <w:t xml:space="preserve"> 陕西信鹏项目管理有限公司</w:t>
      </w:r>
    </w:p>
    <w:p>
      <w:pPr>
        <w:pStyle w:val="2"/>
        <w:spacing w:line="360" w:lineRule="auto"/>
        <w:ind w:firstLine="5940" w:firstLineChars="2700"/>
        <w:rPr>
          <w:rFonts w:hint="eastAsia" w:ascii="黑体" w:hAnsi="黑体" w:eastAsia="黑体" w:cs="黑体"/>
          <w:color w:val="auto"/>
          <w:sz w:val="22"/>
          <w:szCs w:val="22"/>
        </w:rPr>
      </w:pPr>
      <w:r>
        <w:rPr>
          <w:rFonts w:hint="eastAsia" w:ascii="黑体" w:hAnsi="黑体" w:eastAsia="黑体" w:cs="黑体"/>
          <w:i w:val="0"/>
          <w:iCs w:val="0"/>
          <w:caps w:val="0"/>
          <w:color w:val="auto"/>
          <w:spacing w:val="0"/>
          <w:kern w:val="0"/>
          <w:sz w:val="22"/>
          <w:szCs w:val="22"/>
          <w:shd w:val="clear" w:fill="FFFFFF"/>
          <w:lang w:val="en-US" w:eastAsia="zh-CN" w:bidi="ar"/>
        </w:rPr>
        <w:t>2024年6月11日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s>
  <w:rsids>
    <w:rsidRoot w:val="00000000"/>
    <w:rsid w:val="0F625791"/>
    <w:rsid w:val="1360023A"/>
    <w:rsid w:val="1C512E16"/>
    <w:rsid w:val="1E605592"/>
    <w:rsid w:val="24F15196"/>
    <w:rsid w:val="27AB1192"/>
    <w:rsid w:val="2DC86CB0"/>
    <w:rsid w:val="2F3A598B"/>
    <w:rsid w:val="31E63BA8"/>
    <w:rsid w:val="42703746"/>
    <w:rsid w:val="64C80D68"/>
    <w:rsid w:val="69E00902"/>
    <w:rsid w:val="6E382615"/>
    <w:rsid w:val="70DC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9"/>
    <w:pPr>
      <w:keepNext/>
      <w:outlineLvl w:val="3"/>
    </w:pPr>
    <w:rPr>
      <w:color w:val="FF0000"/>
      <w:sz w:val="28"/>
      <w:u w:val="single"/>
    </w:rPr>
  </w:style>
  <w:style w:type="paragraph" w:styleId="4">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Web)"/>
    <w:basedOn w:val="1"/>
    <w:qFormat/>
    <w:uiPriority w:val="99"/>
    <w:pPr>
      <w:widowControl/>
      <w:spacing w:before="100" w:beforeAutospacing="1" w:after="100" w:afterAutospacing="1"/>
      <w:jc w:val="left"/>
    </w:pPr>
    <w:rPr>
      <w:rFonts w:ascii="宋体" w:hAnsi="宋体" w:cs="宋体"/>
      <w:sz w:val="24"/>
    </w:rPr>
  </w:style>
  <w:style w:type="character" w:styleId="8">
    <w:name w:val="Strong"/>
    <w:basedOn w:val="7"/>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2024-06-11T08:56:03Z</dcterms:created>
  <dc:creator>Administrator</dc:creator>
  <cp:lastModifiedBy>俗野</cp:lastModifiedBy>
  <dcterms:modified xsi:type="dcterms:W3CDTF">2024-06-11T09:14:23Z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B2DB007710264BC890B14634FD1C0134_12</vt:lpwstr>
  </property>
</Properties>
</file>