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版本号：HXGC-ZFCG-南郑区-2025101020251010001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2025年南郑区黄官镇桂花村养牛厂续建项目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HXGC-ZFCG-南郑区-20251010</w:t>
      </w:r>
      <w:r>
        <w:br/>
      </w:r>
      <w:r>
        <w:br/>
      </w:r>
      <w:r>
        <w:br/>
      </w:r>
    </w:p>
    <w:p>
      <w:pPr>
        <w:pStyle w:val="null3"/>
        <w:jc w:val="center"/>
        <w:outlineLvl w:val="2"/>
      </w:pPr>
      <w:r>
        <w:rPr>
          <w:rFonts w:ascii="仿宋_GB2312" w:hAnsi="仿宋_GB2312" w:cs="仿宋_GB2312" w:eastAsia="仿宋_GB2312"/>
          <w:sz w:val="28"/>
          <w:b/>
        </w:rPr>
        <w:t>汉中市南郑区黄官镇人民政府</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 xml:space="preserve">汉中市南郑区黄官镇人民政府 </w:t>
      </w:r>
      <w:r>
        <w:rPr>
          <w:rFonts w:ascii="仿宋_GB2312" w:hAnsi="仿宋_GB2312" w:cs="仿宋_GB2312" w:eastAsia="仿宋_GB2312"/>
        </w:rPr>
        <w:t>委托，拟对</w:t>
      </w:r>
      <w:r>
        <w:rPr>
          <w:rFonts w:ascii="仿宋_GB2312" w:hAnsi="仿宋_GB2312" w:cs="仿宋_GB2312" w:eastAsia="仿宋_GB2312"/>
        </w:rPr>
        <w:t>2025年南郑区黄官镇桂花村养牛厂续建项目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HXGC-ZFCG-南郑区-20251010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2025年南郑区黄官镇桂花村养牛厂续建项目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2025年南郑区黄官镇桂花村养牛厂续建项目。主要内容包括：新建钢筋混凝土干草池一处；新建钢结构干草加工间一处；场地混凝土硬化1800㎡；新建砖砌排水204.4m；购置不锈钢水槽6个；室外给排水管网等工程内容（具体工程内容详见本项目施工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采购包1（2025年南郑区黄官镇桂花村养牛厂续建项目）：属于专门面向中小企业采购。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事业单位须提供事业单位法人证、组织机构代码证等证明文件；其他组织应提供合法证明文件）：具有独立承担民事责任的能力：供应商为具有独立承担民事责任能力的企业法人、事业法人、其他组织，提供营业执照复印件（事业单位须提供事业单位法人证、组织机构代码证等证明文件；其他组织应提供合法证明文件）【提供加盖公章的复印件】</w:t>
      </w:r>
    </w:p>
    <w:p>
      <w:pPr>
        <w:pStyle w:val="null3"/>
      </w:pPr>
      <w:r>
        <w:rPr>
          <w:rFonts w:ascii="仿宋_GB2312" w:hAnsi="仿宋_GB2312" w:cs="仿宋_GB2312" w:eastAsia="仿宋_GB2312"/>
        </w:rPr>
        <w:t>2、具有履行合同所必须的设备和专业技术能力：供应商须具备建设行政主管部门核发的建筑工程施工总承包三级及以上资质等级，并具有安全生产许可证且在有效期内：具有履行合同所必须的设备和专业技术能力：供应商须具备建设行政主管部门核发的建筑工程施工总承包三级及以上资质等级，并具有安全生产许可证且在有效期内【①提供加盖公章的证照复印件；②供应商基本信息及项目负责人的基本信息应在“陕西省住房和城乡建设厅”或“全国建筑市场监管公共服务平台（四库一平台）”可查询，提供完整的网页截图，企业信息确认在有效期内且无不良行为记录，并加盖供应商公章】</w:t>
      </w:r>
    </w:p>
    <w:p>
      <w:pPr>
        <w:pStyle w:val="null3"/>
      </w:pPr>
      <w:r>
        <w:rPr>
          <w:rFonts w:ascii="仿宋_GB2312" w:hAnsi="仿宋_GB2312" w:cs="仿宋_GB2312" w:eastAsia="仿宋_GB2312"/>
        </w:rPr>
        <w:t>3、拟派项目经理须具备建筑工程专业注册建造师二级（含二级）以上执业资格和安全生产考核合格B证，在本单位注册且无不良信用、无在建工程：拟派项目经理须具备建筑工程专业注册建造师二级（含二级）以上执业资格和安全生产考核合格B证，在本单位注册且无不良信用、无在建工程【①提供项目经理证照复印件（职称证、注册证、安全生产考核合格B证、身份证及单位缴纳社保证明）确认在有效期内并加盖单位公章；②提供项目经理“无不良信用承诺函”；③提供项目经理“无在建工程”声明函】</w:t>
      </w:r>
    </w:p>
    <w:p>
      <w:pPr>
        <w:pStyle w:val="null3"/>
      </w:pPr>
      <w:r>
        <w:rPr>
          <w:rFonts w:ascii="仿宋_GB2312" w:hAnsi="仿宋_GB2312" w:cs="仿宋_GB2312" w:eastAsia="仿宋_GB2312"/>
        </w:rPr>
        <w:t>4、供应商应授权合法的人员参加本次竞争性磋商活动，其中法定代表人直接参加的，须出具法人身份证，并与营业执照上信息一致；授权代表参加的，须出具法定代表人授权书及被授权人身份证：供应商应授权合法的人员参加本次竞争性磋商活动，其中法定代表人直接参加的，须出具法人身份证，并与营业执照上信息一致；授权代表参加的，须出具法定代表人授权书及被授权人身份证</w:t>
      </w:r>
    </w:p>
    <w:p>
      <w:pPr>
        <w:pStyle w:val="null3"/>
      </w:pPr>
      <w:r>
        <w:rPr>
          <w:rFonts w:ascii="仿宋_GB2312" w:hAnsi="仿宋_GB2312" w:cs="仿宋_GB2312" w:eastAsia="仿宋_GB2312"/>
        </w:rPr>
        <w:t>5、本项目不接受联合体磋商；单位负责人为同一人或者存在控股、管理关系的不同单位不得同时参与本项目磋商响应：本项目不接受联合体磋商；单位负责人为同一人或者存在控股、管理关系的不同单位不得同时参与本项目磋商响应【提供“非联合体声明函”】</w:t>
      </w:r>
    </w:p>
    <w:p>
      <w:pPr>
        <w:pStyle w:val="null3"/>
      </w:pPr>
      <w:r>
        <w:rPr>
          <w:rFonts w:ascii="仿宋_GB2312" w:hAnsi="仿宋_GB2312" w:cs="仿宋_GB2312" w:eastAsia="仿宋_GB2312"/>
        </w:rPr>
        <w:t>6、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7、磋商保证金转账凭证或磋商保函：磋商保证金转账凭证或磋商保函【注：提供加盖公章的复印件】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汉中市南郑区黄官镇人民政府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汉中市南郑区黄官镇南大街44号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汉中市南郑区黄官镇人民政府经办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0916-5582122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陕西省汉中市汉台区南门十字西南角35号颐馨园小区东单元11楼1101室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0916-2524867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汉中市南郑区政府采购管理股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采购包1：899,863.65元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开户名称：华兴天成项目咨询有限公司汉中分公司</w:t>
            </w:r>
          </w:p>
          <w:p>
            <w:pPr>
              <w:pStyle w:val="null3"/>
            </w:pPr>
            <w:r>
              <w:rPr>
                <w:rFonts w:ascii="仿宋_GB2312" w:hAnsi="仿宋_GB2312" w:cs="仿宋_GB2312" w:eastAsia="仿宋_GB2312"/>
              </w:rPr>
              <w:t>开户银行：中国银行股份有限公司汉中天汉大道支行</w:t>
            </w:r>
          </w:p>
          <w:p>
            <w:pPr>
              <w:pStyle w:val="null3"/>
            </w:pPr>
            <w:r>
              <w:rPr>
                <w:rFonts w:ascii="仿宋_GB2312" w:hAnsi="仿宋_GB2312" w:cs="仿宋_GB2312" w:eastAsia="仿宋_GB2312"/>
              </w:rPr>
              <w:t>银行账号：1024 8277 3591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合同款中扣除,保函/保险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按照国家计委颁发的《采购代理服务收费管理暂行办法》（计价格[2002]1980号）、国家发展改革委员会办公厅颁发的《关于采购代理服务收费有关问题的通知》（发改办价格[2003] 857号）、《国家发展改革委关于降低部分建设项目收费标准规范收费行为等有关问题的通知》（发改价格[2011]534号）的有关规定执行或双方合同约定</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 xml:space="preserve">汉中市南郑区黄官镇人民政府 </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 xml:space="preserve">汉中市南郑区黄官镇人民政府 </w:t>
      </w:r>
      <w:r>
        <w:rPr>
          <w:rFonts w:ascii="仿宋_GB2312" w:hAnsi="仿宋_GB2312" w:cs="仿宋_GB2312" w:eastAsia="仿宋_GB2312"/>
        </w:rPr>
        <w:t>负责解释。除上述磋商文件内容，其他内容由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 xml:space="preserve">汉中市南郑区黄官镇人民政府 </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符合国家、地方及行业相关标准规定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联系人：鲁清</w:t>
      </w:r>
    </w:p>
    <w:p>
      <w:pPr>
        <w:pStyle w:val="null3"/>
      </w:pPr>
      <w:r>
        <w:rPr>
          <w:rFonts w:ascii="仿宋_GB2312" w:hAnsi="仿宋_GB2312" w:cs="仿宋_GB2312" w:eastAsia="仿宋_GB2312"/>
        </w:rPr>
        <w:t>联系电话：18691605987</w:t>
      </w:r>
    </w:p>
    <w:p>
      <w:pPr>
        <w:pStyle w:val="null3"/>
      </w:pPr>
      <w:r>
        <w:rPr>
          <w:rFonts w:ascii="仿宋_GB2312" w:hAnsi="仿宋_GB2312" w:cs="仿宋_GB2312" w:eastAsia="仿宋_GB2312"/>
        </w:rPr>
        <w:t>地址：陕西省汉中市汉台区南门十字西南角35号颐馨园小区东单元11楼1101室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899,863.65</w:t>
      </w:r>
    </w:p>
    <w:p>
      <w:pPr>
        <w:pStyle w:val="null3"/>
      </w:pPr>
      <w:r>
        <w:rPr>
          <w:rFonts w:ascii="仿宋_GB2312" w:hAnsi="仿宋_GB2312" w:cs="仿宋_GB2312" w:eastAsia="仿宋_GB2312"/>
        </w:rPr>
        <w:t>采购包最高限价（元）: 899,863.65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村养牛厂续建</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899,863.65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标的名称：村养牛厂续建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工程技术参数（工程概况）：本工程为2025年南郑区黄官镇桂花村养牛厂续建项目。主要内容包括：新建钢筋混凝土干草池一处；新建钢结构干草加工间一处；场地混凝土硬化1800㎡；新建砖砌排水沟204.4m；购置不锈钢水槽6个；室外给排水管网等工程内容。</w:t>
            </w:r>
          </w:p>
          <w:p>
            <w:pPr>
              <w:pStyle w:val="null3"/>
            </w:pPr>
            <w:r>
              <w:rPr>
                <w:rFonts w:ascii="仿宋_GB2312" w:hAnsi="仿宋_GB2312" w:cs="仿宋_GB2312" w:eastAsia="仿宋_GB2312"/>
                <w:sz w:val="21"/>
              </w:rPr>
              <w:t>2、性能指标：（1）本项目编制依据：①2025年南郑区黄官镇桂花村养牛厂续建项目施工图及图纸答疑 ；②《陕西省工程建设标准之建设工程工程量清单计价标准》（2025）；③《陕西省工程建设标准之工程量计算标准》（2025）；④《陕西省建设工程费用规则（2025）》。（2）有关问题说明：①本项目混凝土按商品混凝土编制计算；②本项目砂浆按现场搅拌砂浆编制计算；③余土弃置运距暂按3km计算，结算时按实结算；④干草棚独立基础钢筋设计信息不详，暂按三级螺纹钢φ12@200计算；⑤牛舍主体室内地面素土回填不在本次发包范围内；⑥经过咨询设计单位，室外雨污管网平面图中示意排水方井，为单篦式雨水口，规格680*380*1000mm；⑦经过咨询设计单位，室外雨污管网平面图中，污水管道、检查井及化粪池仅为示意，暂不计算；⑧成品临时板房（含消杀设备及给排水系统）、大门拆除及新建、车辆消杀池、活动卸牛平台、蓄水池、水井为二次设计，暂未计算；⑨本项目预留暂列金56000.00元。（3）编制软件：广联达云计价平台GCCP7.0。</w:t>
            </w:r>
          </w:p>
          <w:p>
            <w:pPr>
              <w:pStyle w:val="null3"/>
            </w:pPr>
            <w:r>
              <w:rPr>
                <w:rFonts w:ascii="仿宋_GB2312" w:hAnsi="仿宋_GB2312" w:cs="仿宋_GB2312" w:eastAsia="仿宋_GB2312"/>
                <w:sz w:val="21"/>
              </w:rPr>
              <w:t>3、本项目设最高限价：¥：899,863.65元（大写：捌拾玖万玖仟捌佰陆拾叁元陆角伍分），供应商的磋商响应报价超过最高限价的，视为未响应竞争性磋商文件要求，其磋商响应文件按无效响应处理。</w:t>
            </w:r>
          </w:p>
          <w:p>
            <w:pPr>
              <w:pStyle w:val="null3"/>
            </w:pPr>
            <w:r>
              <w:rPr>
                <w:rFonts w:ascii="仿宋_GB2312" w:hAnsi="仿宋_GB2312" w:cs="仿宋_GB2312" w:eastAsia="仿宋_GB2312"/>
                <w:sz w:val="21"/>
              </w:rPr>
              <w:t>4、本项目工期（合同履行期限）：合同签订后60日历天（具体服务起止日期可随合同签订时间相应顺延）。</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符合国家、地方及行业相关标准规定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甲乙双方合同内约定，技术服务要求符合国家、地方及行业相关标准规定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本项目工期（合同履行期限）：合同签订后60日历天（具体服务起止日期可随合同签订时间相应顺延）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w:t>
            </w:r>
          </w:p>
        </w:tc>
        <w:tc>
          <w:tcPr>
            <w:tcW w:type="dxa" w:w="332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提供加盖公章的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具有履行合同所必须的设备和专业技术能力：供应商须具备建设行政主管部门核发的建筑工程施工总承包三级及以上资质等级，并具有安全生产许可证且在有效期内</w:t>
            </w:r>
          </w:p>
        </w:tc>
        <w:tc>
          <w:tcPr>
            <w:tcW w:type="dxa" w:w="3322"/>
          </w:tcPr>
          <w:p>
            <w:pPr>
              <w:pStyle w:val="null3"/>
            </w:pPr>
            <w:r>
              <w:rPr>
                <w:rFonts w:ascii="仿宋_GB2312" w:hAnsi="仿宋_GB2312" w:cs="仿宋_GB2312" w:eastAsia="仿宋_GB2312"/>
              </w:rPr>
              <w:t>具有履行合同所必须的设备和专业技术能力：供应商须具备建设行政主管部门核发的建筑工程施工总承包三级及以上资质等级，并具有安全生产许可证且在有效期内【①提供加盖公章的证照复印件；②供应商基本信息及项目负责人的基本信息应在“陕西省住房和城乡建设厅”或“全国建筑市场监管公共服务平台（四库一平台）”可查询，提供完整的网页截图，企业信息确认在有效期内且无不良行为记录，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拟派项目经理须具备建筑工程专业注册建造师二级（含二级）以上执业资格和安全生产考核合格B证，在本单位注册且无不良信用、无在建工程</w:t>
            </w:r>
          </w:p>
        </w:tc>
        <w:tc>
          <w:tcPr>
            <w:tcW w:type="dxa" w:w="3322"/>
          </w:tcPr>
          <w:p>
            <w:pPr>
              <w:pStyle w:val="null3"/>
            </w:pPr>
            <w:r>
              <w:rPr>
                <w:rFonts w:ascii="仿宋_GB2312" w:hAnsi="仿宋_GB2312" w:cs="仿宋_GB2312" w:eastAsia="仿宋_GB2312"/>
              </w:rPr>
              <w:t>拟派项目经理须具备建筑工程专业注册建造师二级（含二级）以上执业资格和安全生产考核合格B证，在本单位注册且无不良信用、无在建工程【①提供项目经理证照复印件（职称证、注册证、安全生产考核合格B证、身份证及单位缴纳社保证明）确认在有效期内并加盖单位公章；②提供项目经理“无不良信用承诺函”；③提供项目经理“无在建工程”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w:t>
            </w:r>
          </w:p>
        </w:tc>
        <w:tc>
          <w:tcPr>
            <w:tcW w:type="dxa" w:w="332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本项目不接受联合体磋商；单位负责人为同一人或者存在控股、管理关系的不同单位不得同时参与本项目磋商响应【提供“非联合体声明函”】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w:t>
            </w:r>
          </w:p>
        </w:tc>
        <w:tc>
          <w:tcPr>
            <w:tcW w:type="dxa" w:w="332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磋商保证金转账凭证或磋商保函</w:t>
            </w:r>
          </w:p>
        </w:tc>
        <w:tc>
          <w:tcPr>
            <w:tcW w:type="dxa" w:w="3322"/>
          </w:tcPr>
          <w:p>
            <w:pPr>
              <w:pStyle w:val="null3"/>
            </w:pPr>
            <w:r>
              <w:rPr>
                <w:rFonts w:ascii="仿宋_GB2312" w:hAnsi="仿宋_GB2312" w:cs="仿宋_GB2312" w:eastAsia="仿宋_GB2312"/>
              </w:rPr>
              <w:t>磋商保证金转账凭证或磋商保函【注：提供加盖公章的复印件】</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①项目实施方案；</w:t>
            </w:r>
          </w:p>
        </w:tc>
        <w:tc>
          <w:tcPr>
            <w:tcW w:type="dxa" w:w="2492"/>
          </w:tcPr>
          <w:p>
            <w:pPr>
              <w:pStyle w:val="null3"/>
            </w:pPr>
            <w:r>
              <w:rPr>
                <w:rFonts w:ascii="仿宋_GB2312" w:hAnsi="仿宋_GB2312" w:cs="仿宋_GB2312" w:eastAsia="仿宋_GB2312"/>
              </w:rPr>
              <w:t>提供针对本项目的项目实施方案及措施进行综合评审。 A.实施方案完整详细、有针对性，完全满足项目实施，具有优化建议的得[8-10]分； B.实施方案完整，可行，有针对性，能满足项目实施的全部要求的得[5-8）分； C.实施方案有较大缺陷，或完全套用其他项目且内容较少的得[2-5）分; D.实施方案存在不利于采购人安全作业要求实现的，得（0-2）分。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②安全作业管理；</w:t>
            </w:r>
          </w:p>
        </w:tc>
        <w:tc>
          <w:tcPr>
            <w:tcW w:type="dxa" w:w="2492"/>
          </w:tcPr>
          <w:p>
            <w:pPr>
              <w:pStyle w:val="null3"/>
            </w:pPr>
            <w:r>
              <w:rPr>
                <w:rFonts w:ascii="仿宋_GB2312" w:hAnsi="仿宋_GB2312" w:cs="仿宋_GB2312" w:eastAsia="仿宋_GB2312"/>
              </w:rPr>
              <w:t>提供针对本项目提供具体的安全作业方案及安全配套措施进行综合评审。 A.提供具体详细、有针对性的安全作业方案及安全配套措施，完全符合采购人安全作业要求且具有优化建议的，得[8-10]分； B.提供安全作业方案及安全配套措施，符合采购人安全作业的要求，得[5-8）分； C.提供的安全作业方案及安全配套措施非专门针对本项目，套用其他项目内容，存在逻辑漏洞或前后内容不一致的得[2-5）分； D.提供的安全作业方案及安全配套措施简陋，存在不利于采购人安全作业要求实现的，得（0-2）分。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③技术组织措施；</w:t>
            </w:r>
          </w:p>
        </w:tc>
        <w:tc>
          <w:tcPr>
            <w:tcW w:type="dxa" w:w="2492"/>
          </w:tcPr>
          <w:p>
            <w:pPr>
              <w:pStyle w:val="null3"/>
            </w:pPr>
            <w:r>
              <w:rPr>
                <w:rFonts w:ascii="仿宋_GB2312" w:hAnsi="仿宋_GB2312" w:cs="仿宋_GB2312" w:eastAsia="仿宋_GB2312"/>
              </w:rPr>
              <w:t>根据供应商制定的确保工程质量及工期的技术组织措施进行综合评审。 A.措施计划详细齐全、合理且切实可行，完全满足采购人需求，具有优化建议的得[8-10]分； B.措施计划齐全、合理、切实可行，满足采购人需求得[5-8）分； C.措施计划非专门针对本项目，存在逻辑漏洞或前后内容不一致的得[2-5）分； D.措施计划有较大缺陷，或完全套用其他项目且内容较少的得（0-2）分；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④文明施工措施计划；</w:t>
            </w:r>
          </w:p>
        </w:tc>
        <w:tc>
          <w:tcPr>
            <w:tcW w:type="dxa" w:w="2492"/>
          </w:tcPr>
          <w:p>
            <w:pPr>
              <w:pStyle w:val="null3"/>
            </w:pPr>
            <w:r>
              <w:rPr>
                <w:rFonts w:ascii="仿宋_GB2312" w:hAnsi="仿宋_GB2312" w:cs="仿宋_GB2312" w:eastAsia="仿宋_GB2312"/>
              </w:rPr>
              <w:t>提供针对本项目的文明施工措施计划进行综合评审。 A.措施计划详细齐全、合理且切实可行，完全满足采购人需求，具有优化建议的得[3-5]分； B.措施计划齐全、合理、切实可行，满足采购人需求得[2-3）分； C.措施计划非专门针对本项目，存在逻辑漏洞或前后内容不一致的得[1-2）分； D.措施计划有较大缺陷，或完全套用其他项目且内容较少，或未提供的得0分；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⑤项目组织管理机构；</w:t>
            </w:r>
          </w:p>
        </w:tc>
        <w:tc>
          <w:tcPr>
            <w:tcW w:type="dxa" w:w="2492"/>
          </w:tcPr>
          <w:p>
            <w:pPr>
              <w:pStyle w:val="null3"/>
            </w:pPr>
            <w:r>
              <w:rPr>
                <w:rFonts w:ascii="仿宋_GB2312" w:hAnsi="仿宋_GB2312" w:cs="仿宋_GB2312" w:eastAsia="仿宋_GB2312"/>
              </w:rPr>
              <w:t>提供针对本项目的项目组织管理机构配备进行综合评审。 A.机构设置合理完善，人员配备齐全，技术经验丰富，人员专业性强，完全满足项目需求得[4-5]分； B.机构设置合理，人员配备齐全，且具备从业经验，满足项目需求得[3-4）分； C.机构设置非专门针对本项目，人员配备、技术经验有缺陷的得[1-3）分； D.机构设置、人员配备不完整，或无相关经验的得（0-1）分； E.未提供得0分。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⑥施工机械配备和材料投入计划；</w:t>
            </w:r>
          </w:p>
        </w:tc>
        <w:tc>
          <w:tcPr>
            <w:tcW w:type="dxa" w:w="2492"/>
          </w:tcPr>
          <w:p>
            <w:pPr>
              <w:pStyle w:val="null3"/>
            </w:pPr>
            <w:r>
              <w:rPr>
                <w:rFonts w:ascii="仿宋_GB2312" w:hAnsi="仿宋_GB2312" w:cs="仿宋_GB2312" w:eastAsia="仿宋_GB2312"/>
              </w:rPr>
              <w:t>根据供应商投入的施工机械配备和材料投入计划等进行评审。 A.施工机械配备合理并提供设备来源证明材料，证明材料齐全且投入材料环保性优于国家标准的得[4-5]分； B.施工机械配备合理和材料环保性较好，提供了设备来源证明材料的得[2-4）分； C.施工机械配备和材料投入计划基本合理、可行，但未提供其他证明材料的得（0-2）分； D.未提供得0分。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⑦劳动力安排计划及劳务分包情况表；</w:t>
            </w:r>
          </w:p>
        </w:tc>
        <w:tc>
          <w:tcPr>
            <w:tcW w:type="dxa" w:w="2492"/>
          </w:tcPr>
          <w:p>
            <w:pPr>
              <w:pStyle w:val="null3"/>
            </w:pPr>
            <w:r>
              <w:rPr>
                <w:rFonts w:ascii="仿宋_GB2312" w:hAnsi="仿宋_GB2312" w:cs="仿宋_GB2312" w:eastAsia="仿宋_GB2312"/>
              </w:rPr>
              <w:t>根据供应商就本项目劳动力安排计划及劳务分包情况表，根据合理、可行程度进行评审。 A.劳动力安排计划及劳务分包完整、合理、可行，有利于本项目实施的得[3-5]分； B.劳动力安排计划及劳务分包合理、可行的，基本能满足项目实施的得[1-3）分； C.劳动力安排计划及劳务分包可行性较差，存在缺陷或未提供的得0分。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⑧保修承诺；</w:t>
            </w:r>
          </w:p>
        </w:tc>
        <w:tc>
          <w:tcPr>
            <w:tcW w:type="dxa" w:w="2492"/>
          </w:tcPr>
          <w:p>
            <w:pPr>
              <w:pStyle w:val="null3"/>
            </w:pPr>
            <w:r>
              <w:rPr>
                <w:rFonts w:ascii="仿宋_GB2312" w:hAnsi="仿宋_GB2312" w:cs="仿宋_GB2312" w:eastAsia="仿宋_GB2312"/>
              </w:rPr>
              <w:t>供应商质量保修承诺完整，包括但不限于：A.有售后保障工作服务方案及工作计划；B.有保修团队人员配备并具备相关资格证书；C.有巡查或复查计划及售后质量保障措施；D.对工程维修服务响应时限有明确的承诺。每有一项缺项扣2分，每有一项内容中有缺陷，指项目需求不匹配或不能满足项目实施要求及其他不利于项目实施的扣1分，此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⑨类似业绩；</w:t>
            </w:r>
          </w:p>
        </w:tc>
        <w:tc>
          <w:tcPr>
            <w:tcW w:type="dxa" w:w="2492"/>
          </w:tcPr>
          <w:p>
            <w:pPr>
              <w:pStyle w:val="null3"/>
            </w:pPr>
            <w:r>
              <w:rPr>
                <w:rFonts w:ascii="仿宋_GB2312" w:hAnsi="仿宋_GB2312" w:cs="仿宋_GB2312" w:eastAsia="仿宋_GB2312"/>
              </w:rPr>
              <w:t>供应商提供近三年（2022年10月-至今）完成类似项目业绩（时间以签订的施工合同时间为准），每提供1个业绩得2分，此项最高得6分；（注：业绩评审需提供加盖公章的项目施工合同复印件）。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⑩针对本项目的应急措施承诺；</w:t>
            </w:r>
          </w:p>
        </w:tc>
        <w:tc>
          <w:tcPr>
            <w:tcW w:type="dxa" w:w="2492"/>
          </w:tcPr>
          <w:p>
            <w:pPr>
              <w:pStyle w:val="null3"/>
            </w:pPr>
            <w:r>
              <w:rPr>
                <w:rFonts w:ascii="仿宋_GB2312" w:hAnsi="仿宋_GB2312" w:cs="仿宋_GB2312" w:eastAsia="仿宋_GB2312"/>
              </w:rPr>
              <w:t>供应商针对本项目的应急措施，包含但不限于施工过程中存在雨季、低温施工等情况，根据合理、可行程度进行评审： A.应急措施承诺具体、详细、可行：得[4-6]分；B.应急措施承诺较具体、较详细、较可行得：[2-4）分；C.应急措施承诺内容模糊不清，可行性较弱：得[1-2）分；D.未提供者不得分。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1.本次磋商有磋商最高限价。供应商的磋商总价超过磋商最高限价的视为废标,不再参与下一步评审。 2.有效最低报价为基准价得30分。 3.按（有效最低报价/有效磋商报价）×30的公式计算其得分。 4.磋商报价不完整的,不进入评标标准价的计算,本项得0分。 5.不正当竞争预防措施：在评审过程中,磋商小组认定有可能影响产品质量或者不能诚信履约的,磋商小组应当要求其在评审现场合理的时间内提供成本构成书面说明,并提交相关证明材料。磋商单位书面说明应当按照国家财务会计制度的规定要求,逐项就投标单位提供的货物、工程和服务的主营业务成本（应根据投标单位企业类型予以区别）、税金及附加、销售费用、管理费用、财务费用等成本构成事项详细陈述。 磋商单位书面说明应当签字确认或者加盖公章,否则无效。书面说明的签字确认,磋商单位为法人的,由其法定代表人或者代理人签字确认;磋商单位为其他组织的,由其主要负责人或者代理人签字确认;磋商单位为自然人的,由其本人或者代理人签字确认。 磋商单位提供书面说明后,磋商小组应当结合采购项目需求、专业实际情况、磋商单位财务状况报告、与其他磋商单位比较情况等就磋商单位书面说明进行审查评价。磋商单位拒绝或者变相拒绝提供有效书面说明或者书面说明不能证明其报价合理性的,磋商小组应当将其响应文件作为无效响应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详见附件：施工合同样板（空）.docx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