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版本号：SXSC-2025ZB-7720251010001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阳春镇油菜制种基地产业路渠及能力提升项目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SXSC-2025ZB-77</w:t>
      </w:r>
      <w:r>
        <w:br/>
      </w:r>
      <w:r>
        <w:br/>
      </w:r>
      <w:r>
        <w:br/>
      </w:r>
    </w:p>
    <w:p>
      <w:pPr>
        <w:pStyle w:val="null3"/>
        <w:jc w:val="center"/>
        <w:outlineLvl w:val="2"/>
      </w:pPr>
      <w:r>
        <w:rPr>
          <w:rFonts w:ascii="仿宋_GB2312" w:hAnsi="仿宋_GB2312" w:cs="仿宋_GB2312" w:eastAsia="仿宋_GB2312"/>
          <w:sz w:val="28"/>
          <w:b/>
        </w:rPr>
        <w:t>汉中市南郑区阳春镇人民政府</w:t>
      </w:r>
    </w:p>
    <w:p>
      <w:pPr>
        <w:pStyle w:val="null3"/>
        <w:jc w:val="center"/>
        <w:outlineLvl w:val="2"/>
      </w:pPr>
      <w:r>
        <w:rPr>
          <w:rFonts w:ascii="仿宋_GB2312" w:hAnsi="仿宋_GB2312" w:cs="仿宋_GB2312" w:eastAsia="仿宋_GB2312"/>
          <w:sz w:val="28"/>
          <w:b/>
        </w:rPr>
        <w:t>陕西顺成项目管理有限公司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汉中市南郑区阳春镇人民政府</w:t>
      </w:r>
      <w:r>
        <w:rPr>
          <w:rFonts w:ascii="仿宋_GB2312" w:hAnsi="仿宋_GB2312" w:cs="仿宋_GB2312" w:eastAsia="仿宋_GB2312"/>
        </w:rPr>
        <w:t>委托，拟对</w:t>
      </w:r>
      <w:r>
        <w:rPr>
          <w:rFonts w:ascii="仿宋_GB2312" w:hAnsi="仿宋_GB2312" w:cs="仿宋_GB2312" w:eastAsia="仿宋_GB2312"/>
        </w:rPr>
        <w:t>阳春镇油菜制种基地产业路渠及能力提升项目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SXSC-2025ZB-77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阳春镇油菜制种基地产业路渠及能力提升项目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该工程位于汉中市南郑区阳春镇，主要建设内容为：陈村村新建U30渠道441m，U50渠道140m；大沟村新建U30渠道773m，U50渠道246m；砂石机耕路（3m宽）长1244m，修建D500涵洞10座。（具体内容详见工程量清单）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采购包1（阳春镇油菜制种基地产业路渠及能力提升项目）：属于专门面向中小企业采购。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供应商资质及拟派项目负责人资格：供应商须具有建设行政主管部门颁发的水利水电工程施工总承包三级及以上资质，具有有效的安全生产许可证；拟派项目经理须具有水利水电工程专业注册建造师二级及以上资格和安全生产考核合格B证，且无在建项目；</w:t>
      </w:r>
    </w:p>
    <w:p>
      <w:pPr>
        <w:pStyle w:val="null3"/>
      </w:pPr>
      <w:r>
        <w:rPr>
          <w:rFonts w:ascii="仿宋_GB2312" w:hAnsi="仿宋_GB2312" w:cs="仿宋_GB2312" w:eastAsia="仿宋_GB2312"/>
        </w:rPr>
        <w:t>4、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汉中市南郑区阳春镇人民政府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汉中市南郑县阳春镇安坎村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汉中市南郑区阳春镇人民政府经办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13669160613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采购包1：914,100.00元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开户名称：陕西顺成项目管理有限公司</w:t>
            </w:r>
          </w:p>
          <w:p>
            <w:pPr>
              <w:pStyle w:val="null3"/>
            </w:pPr>
            <w:r>
              <w:rPr>
                <w:rFonts w:ascii="仿宋_GB2312" w:hAnsi="仿宋_GB2312" w:cs="仿宋_GB2312" w:eastAsia="仿宋_GB2312"/>
              </w:rPr>
              <w:t>开户银行：中国邮政储蓄银行股份有限公司汉中市分行</w:t>
            </w:r>
          </w:p>
          <w:p>
            <w:pPr>
              <w:pStyle w:val="null3"/>
            </w:pPr>
            <w:r>
              <w:rPr>
                <w:rFonts w:ascii="仿宋_GB2312" w:hAnsi="仿宋_GB2312" w:cs="仿宋_GB2312" w:eastAsia="仿宋_GB2312"/>
              </w:rPr>
              <w:t>银行账号：961008010041318906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标代理服务收费管理暂行办法的通知》(计价格【2002】1980号)和国家发改委办公厅国发的《关于招标代理服务收费有关问题的通知》(发改办价格【2003】857号)文件规定的收费标准,中标/成交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汉中市南郑区阳春镇人民政府</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汉中市南郑区阳春镇人民政府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汉中市南郑区阳春镇人民政府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联系人：沈工</w:t>
      </w:r>
    </w:p>
    <w:p>
      <w:pPr>
        <w:pStyle w:val="null3"/>
      </w:pPr>
      <w:r>
        <w:rPr>
          <w:rFonts w:ascii="仿宋_GB2312" w:hAnsi="仿宋_GB2312" w:cs="仿宋_GB2312" w:eastAsia="仿宋_GB2312"/>
        </w:rPr>
        <w:t>联系电话：0916-8820909</w:t>
      </w:r>
    </w:p>
    <w:p>
      <w:pPr>
        <w:pStyle w:val="null3"/>
      </w:pPr>
      <w:r>
        <w:rPr>
          <w:rFonts w:ascii="仿宋_GB2312" w:hAnsi="仿宋_GB2312" w:cs="仿宋_GB2312" w:eastAsia="仿宋_GB2312"/>
        </w:rPr>
        <w:t>地址：汉中市汉台区东关街道办事处东新街地王熙苑二期二楼商铺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914,100.00</w:t>
      </w:r>
    </w:p>
    <w:p>
      <w:pPr>
        <w:pStyle w:val="null3"/>
      </w:pPr>
      <w:r>
        <w:rPr>
          <w:rFonts w:ascii="仿宋_GB2312" w:hAnsi="仿宋_GB2312" w:cs="仿宋_GB2312" w:eastAsia="仿宋_GB2312"/>
        </w:rPr>
        <w:t>采购包最高限价（元）: 907,281.18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阳春镇油菜制种基地产业路渠及能力提升项目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914,100.00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标的名称：阳春镇油菜制种基地产业路渠及能力提升项目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b/>
              </w:rPr>
              <w:t>工程概况：</w:t>
            </w:r>
          </w:p>
          <w:p>
            <w:pPr>
              <w:pStyle w:val="null3"/>
              <w:spacing w:before="105" w:after="105"/>
              <w:ind w:firstLine="480"/>
              <w:jc w:val="both"/>
            </w:pPr>
            <w:r>
              <w:rPr>
                <w:rFonts w:ascii="仿宋_GB2312" w:hAnsi="仿宋_GB2312" w:cs="仿宋_GB2312" w:eastAsia="仿宋_GB2312"/>
                <w:sz w:val="24"/>
              </w:rPr>
              <w:t>该工程位于汉中市南郑区阳春镇，主要建设内容为：陈村村新建</w:t>
            </w:r>
            <w:r>
              <w:rPr>
                <w:rFonts w:ascii="仿宋_GB2312" w:hAnsi="仿宋_GB2312" w:cs="仿宋_GB2312" w:eastAsia="仿宋_GB2312"/>
                <w:sz w:val="24"/>
              </w:rPr>
              <w:t>U30渠道441m，U50渠道140m；大沟村新建U30渠道773m，U50渠道246m；砂石机耕路（3m宽）长1244m，修建D500涵洞10座。（具体内容详见工程量清单）</w:t>
            </w:r>
          </w:p>
          <w:p>
            <w:pPr>
              <w:pStyle w:val="null3"/>
              <w:spacing w:before="105" w:after="105"/>
              <w:jc w:val="both"/>
            </w:pPr>
            <w:r>
              <w:rPr>
                <w:rFonts w:ascii="仿宋_GB2312" w:hAnsi="仿宋_GB2312" w:cs="仿宋_GB2312" w:eastAsia="仿宋_GB2312"/>
                <w:sz w:val="24"/>
                <w:b/>
              </w:rPr>
              <w:t>二、编制依据：</w:t>
            </w:r>
          </w:p>
          <w:p>
            <w:pPr>
              <w:pStyle w:val="null3"/>
              <w:spacing w:before="105" w:after="105"/>
              <w:ind w:firstLine="480"/>
              <w:jc w:val="both"/>
            </w:pPr>
            <w:r>
              <w:rPr>
                <w:rFonts w:ascii="仿宋_GB2312" w:hAnsi="仿宋_GB2312" w:cs="仿宋_GB2312" w:eastAsia="仿宋_GB2312"/>
                <w:sz w:val="24"/>
              </w:rPr>
              <w:t>1.《陕西省水利建筑工程预算定额》（陕发改项目〔2017〕1606 号）；</w:t>
            </w:r>
          </w:p>
          <w:p>
            <w:pPr>
              <w:pStyle w:val="null3"/>
              <w:spacing w:before="105" w:after="105"/>
              <w:ind w:firstLine="480"/>
              <w:jc w:val="both"/>
            </w:pPr>
            <w:r>
              <w:rPr>
                <w:rFonts w:ascii="仿宋_GB2312" w:hAnsi="仿宋_GB2312" w:cs="仿宋_GB2312" w:eastAsia="仿宋_GB2312"/>
                <w:sz w:val="24"/>
              </w:rPr>
              <w:t>2.《陕西省水利工程设计概（估）算编制规定》（陕发改项目〔2017〕1606 号）；</w:t>
            </w:r>
          </w:p>
          <w:p>
            <w:pPr>
              <w:pStyle w:val="null3"/>
              <w:spacing w:before="105" w:after="105"/>
              <w:ind w:firstLine="480"/>
              <w:jc w:val="both"/>
            </w:pPr>
            <w:r>
              <w:rPr>
                <w:rFonts w:ascii="仿宋_GB2312" w:hAnsi="仿宋_GB2312" w:cs="仿宋_GB2312" w:eastAsia="仿宋_GB2312"/>
                <w:sz w:val="24"/>
              </w:rPr>
              <w:t>3.《陕西省水利工程施工机械台班费定额》（陕发改项目〔2017〕1606 号）；</w:t>
            </w:r>
          </w:p>
          <w:p>
            <w:pPr>
              <w:pStyle w:val="null3"/>
              <w:spacing w:before="105" w:after="105"/>
              <w:ind w:firstLine="480"/>
              <w:jc w:val="both"/>
            </w:pPr>
            <w:r>
              <w:rPr>
                <w:rFonts w:ascii="仿宋_GB2312" w:hAnsi="仿宋_GB2312" w:cs="仿宋_GB2312" w:eastAsia="仿宋_GB2312"/>
                <w:sz w:val="24"/>
              </w:rPr>
              <w:t>4.《关于进一步放开建设项目专业服务价格的通知》（发改价格〔2015〕299号）；</w:t>
            </w:r>
          </w:p>
          <w:p>
            <w:pPr>
              <w:pStyle w:val="null3"/>
              <w:spacing w:before="105" w:after="105"/>
              <w:ind w:firstLine="480"/>
              <w:jc w:val="both"/>
            </w:pPr>
            <w:r>
              <w:rPr>
                <w:rFonts w:ascii="仿宋_GB2312" w:hAnsi="仿宋_GB2312" w:cs="仿宋_GB2312" w:eastAsia="仿宋_GB2312"/>
                <w:sz w:val="24"/>
              </w:rPr>
              <w:t>5.国家计委（计价格﹝2002﹞1980 号）文关于印发《招标代理服务收费管理暂行办法》的通知；</w:t>
            </w:r>
          </w:p>
          <w:p>
            <w:pPr>
              <w:pStyle w:val="null3"/>
              <w:spacing w:before="105" w:after="105"/>
              <w:ind w:firstLine="480"/>
              <w:jc w:val="both"/>
            </w:pPr>
            <w:r>
              <w:rPr>
                <w:rFonts w:ascii="仿宋_GB2312" w:hAnsi="仿宋_GB2312" w:cs="仿宋_GB2312" w:eastAsia="仿宋_GB2312"/>
                <w:sz w:val="24"/>
              </w:rPr>
              <w:t>6.国家发展计划委员会、建设部（计价格〔2002〕10 号）文颁发的《工程勘察设计收费管理规定》；</w:t>
            </w:r>
          </w:p>
          <w:p>
            <w:pPr>
              <w:pStyle w:val="null3"/>
              <w:spacing w:before="105" w:after="105"/>
              <w:ind w:firstLine="480"/>
              <w:jc w:val="both"/>
            </w:pPr>
            <w:r>
              <w:rPr>
                <w:rFonts w:ascii="仿宋_GB2312" w:hAnsi="仿宋_GB2312" w:cs="仿宋_GB2312" w:eastAsia="仿宋_GB2312"/>
                <w:sz w:val="24"/>
              </w:rPr>
              <w:t>7.《关于深化增值税改革有关政策的公告》（财政部 税务总局海关总署公告 2019 年第 39 号）。</w:t>
            </w:r>
          </w:p>
          <w:p>
            <w:pPr>
              <w:pStyle w:val="null3"/>
              <w:spacing w:before="105" w:after="105"/>
              <w:ind w:firstLine="480"/>
              <w:jc w:val="both"/>
            </w:pPr>
            <w:r>
              <w:rPr>
                <w:rFonts w:ascii="仿宋_GB2312" w:hAnsi="仿宋_GB2312" w:cs="仿宋_GB2312" w:eastAsia="仿宋_GB2312"/>
                <w:sz w:val="24"/>
              </w:rPr>
              <w:t>8.《2024 年陕西省地质灾害防治项目申报指南》（陕自然资勘发﹝2023〕62 号）。</w:t>
            </w:r>
          </w:p>
          <w:p>
            <w:pPr>
              <w:pStyle w:val="null3"/>
              <w:spacing w:before="105" w:after="105"/>
              <w:ind w:firstLine="480"/>
              <w:jc w:val="both"/>
            </w:pPr>
            <w:r>
              <w:rPr>
                <w:rFonts w:ascii="仿宋_GB2312" w:hAnsi="仿宋_GB2312" w:cs="仿宋_GB2312" w:eastAsia="仿宋_GB2312"/>
                <w:sz w:val="24"/>
              </w:rPr>
              <w:t>9.阳春镇油菜制种基地产业路渠及能力提升项目施工图设计文件。</w:t>
            </w:r>
          </w:p>
          <w:p>
            <w:pPr>
              <w:pStyle w:val="null3"/>
              <w:spacing w:before="105" w:after="105"/>
              <w:jc w:val="both"/>
            </w:pPr>
            <w:r>
              <w:rPr>
                <w:rFonts w:ascii="仿宋_GB2312" w:hAnsi="仿宋_GB2312" w:cs="仿宋_GB2312" w:eastAsia="仿宋_GB2312"/>
                <w:sz w:val="24"/>
                <w:b/>
              </w:rPr>
              <w:t>三、清单编制：</w:t>
            </w:r>
          </w:p>
          <w:p>
            <w:pPr>
              <w:pStyle w:val="null3"/>
              <w:spacing w:before="105" w:after="105"/>
              <w:ind w:firstLine="480"/>
              <w:jc w:val="both"/>
            </w:pPr>
            <w:r>
              <w:rPr>
                <w:rFonts w:ascii="仿宋_GB2312" w:hAnsi="仿宋_GB2312" w:cs="仿宋_GB2312" w:eastAsia="仿宋_GB2312"/>
                <w:sz w:val="24"/>
              </w:rPr>
              <w:t>清单编制基本按照，《水利工程工程量清单计价规范（</w:t>
            </w:r>
            <w:r>
              <w:rPr>
                <w:rFonts w:ascii="仿宋_GB2312" w:hAnsi="仿宋_GB2312" w:cs="仿宋_GB2312" w:eastAsia="仿宋_GB2312"/>
                <w:sz w:val="24"/>
              </w:rPr>
              <w:t>GB50501-2007）》进行编制，图纸工程量在清单中未体现部分均已包含在标准模板工程子目中，并均已在清单子目名称中注明。</w:t>
            </w:r>
          </w:p>
          <w:p>
            <w:pPr>
              <w:pStyle w:val="null3"/>
              <w:spacing w:before="105" w:after="105"/>
              <w:jc w:val="both"/>
            </w:pPr>
            <w:r>
              <w:rPr>
                <w:rFonts w:ascii="仿宋_GB2312" w:hAnsi="仿宋_GB2312" w:cs="仿宋_GB2312" w:eastAsia="仿宋_GB2312"/>
                <w:sz w:val="24"/>
                <w:b/>
              </w:rPr>
              <w:t>四</w:t>
            </w:r>
            <w:r>
              <w:rPr>
                <w:rFonts w:ascii="仿宋_GB2312" w:hAnsi="仿宋_GB2312" w:cs="仿宋_GB2312" w:eastAsia="仿宋_GB2312"/>
                <w:sz w:val="24"/>
                <w:b/>
              </w:rPr>
              <w:t>、其他说明</w:t>
            </w:r>
          </w:p>
          <w:p>
            <w:pPr>
              <w:pStyle w:val="null3"/>
              <w:spacing w:before="105" w:after="105"/>
              <w:ind w:firstLine="480"/>
              <w:jc w:val="both"/>
            </w:pPr>
            <w:r>
              <w:rPr>
                <w:rFonts w:ascii="仿宋_GB2312" w:hAnsi="仿宋_GB2312" w:cs="仿宋_GB2312" w:eastAsia="仿宋_GB2312"/>
                <w:sz w:val="24"/>
              </w:rPr>
              <w:t>其他临时工程费按建安工程费的</w:t>
            </w:r>
            <w:r>
              <w:rPr>
                <w:rFonts w:ascii="仿宋_GB2312" w:hAnsi="仿宋_GB2312" w:cs="仿宋_GB2312" w:eastAsia="仿宋_GB2312"/>
                <w:sz w:val="24"/>
              </w:rPr>
              <w:t>2%计算。</w:t>
            </w:r>
          </w:p>
          <w:p>
            <w:pPr>
              <w:pStyle w:val="null3"/>
              <w:spacing w:before="105" w:after="105"/>
              <w:jc w:val="both"/>
            </w:pPr>
            <w:r>
              <w:rPr>
                <w:rFonts w:ascii="仿宋_GB2312" w:hAnsi="仿宋_GB2312" w:cs="仿宋_GB2312" w:eastAsia="仿宋_GB2312"/>
              </w:rPr>
              <w:t xml:space="preserve"> </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商务要求：1.工期：90日历天 ； 2.质量要求：按国家有关验收规范和验评标准， 工程质量达到合格标准 3.缺陷责任期：工程验收合格后12个月 ； 4. 施工要求 ：（1）遵守 国家相关法律、法规，遵守国家相关技术规范。 （2）所选材料必须保证质量可靠、进货渠道正常，满足施工要求。（3）遵守有关施工规范和安全操作规程，采取有效的安全保障措施，确保施工安全，包括悬挂警示标牌、装设围栏、配备安全人员等，并承担事故的全部费用和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建设行政主管部门颁发的水利水电工程施工总承包三级及以上资质，具有有效的安全生产许可证；拟派项目经理须具有水利水电工程专业注册建造师二级及以上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提交的响应文件有下列情况之一，其响应文件无效，评标委员会应写明无效理由。(1)响应文件中未按照磋商文件规定要求签署、盖章的；(2)投标有效期不足的或无有效期的；(3)投标报价超过磋商文件中规定的采购预算或最高限价或标的金额的；(4)不满足磋商文件中实质性条款要求的；(5)响应文件含有采购人不能接受的附加条件的或其他情形；（6）法律、规章、规范性文件和磋商文件规定的其他无效情形。</w:t>
            </w:r>
          </w:p>
        </w:tc>
        <w:tc>
          <w:tcPr>
            <w:tcW w:type="dxa" w:w="1661"/>
          </w:tcPr>
          <w:p>
            <w:pPr>
              <w:pStyle w:val="null3"/>
            </w:pPr>
            <w:r>
              <w:rPr>
                <w:rFonts w:ascii="仿宋_GB2312" w:hAnsi="仿宋_GB2312" w:cs="仿宋_GB2312" w:eastAsia="仿宋_GB2312"/>
              </w:rPr>
              <w:t>响应文件封面 已标价工程量清单 供应商应提交的相关资格证明材料.docx 项目管理机构组成表 报价函 技术服务合同条款及其他商务要求应答表 供应商类似项目业绩一览表 响应函 主要人员简历表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提供针对本项目的实施方案，充分了解项目需求，就其方案是否合理科学及措施得当，是否针对本项目实施提出重点、难点并给出相应的解决方案，进度安排、责任分工明确，方案可行、全面得7.1-10分；方案基本合理可行，但内容不全得3.1-7分；方案欠缺、不利于实施得0.1-3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根据供应商的工作质量的控制、保证体系及保证措施的完善性和合理性进行评价。方案科学合理、可行、全面计7.1-10分；方案基本合理可行计3.1-7分，方案欠缺、不利于实施计0.1-3分，未提供不计分。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根据供应商的施工安全保证体系及保证措施的完善性和合理性进行评价。方案科学合理、可行、全面计7.1-10分；方案基本合理可行计3.1-7分，方案欠缺、不利于实施计0.1-3分，未提供不计分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项目总体进度计划安排具有合理性、先进性、可靠性和安全性。方案科学合理、可行、全面计7.1-10分；方案基本合理可行计3.1-7分，方案欠缺、不利于实施计0.1-3分，未提供不计分。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供应商针对本项目编制的文明施工及环境保护措施的完善性和合理性进行评价。方案科学合理、可行、全面计7.1-10分；方案基本合理可行计3.1-7分，方案欠缺、不利于实施计0.1-3分，未提供不计分。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供应商针对本项目有具体的配置人员专业、数量、职称及具有相关经验，详细的实施人员安排，分工合理、责任明确。方案科学合理、可行、全面计7.1-10分；方案基本合理可行计3.1-7分，方案欠缺、不利于实施计0.1-3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提供2022年至今类似项目业绩，响应文件中附有其业绩证明材料（中标通知书或合同复印件加盖公章）每提供一个计2.5分，满分5分。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质量保修承诺完整、合理及后续服务条款具体、可行，得2.1-5分；质量保修承诺含糊及后续服务条款基本可行，得0.1-2分，未提供不计分。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