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版本号：ZCBN-南郑县-2025-0038320251012001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南郑区人民医院老外科楼、旧污水处理站拆除项目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ZCBN-南郑县-2025-00383</w:t>
      </w:r>
      <w:r>
        <w:br/>
      </w:r>
      <w:r>
        <w:br/>
      </w:r>
      <w:r>
        <w:br/>
      </w:r>
    </w:p>
    <w:p>
      <w:pPr>
        <w:pStyle w:val="null3"/>
        <w:jc w:val="center"/>
        <w:outlineLvl w:val="2"/>
      </w:pPr>
      <w:r>
        <w:rPr>
          <w:rFonts w:ascii="仿宋_GB2312" w:hAnsi="仿宋_GB2312" w:cs="仿宋_GB2312" w:eastAsia="仿宋_GB2312"/>
          <w:sz w:val="28"/>
          <w:b/>
        </w:rPr>
        <w:t>汉中市南郑区人民医院</w:t>
      </w:r>
    </w:p>
    <w:p>
      <w:pPr>
        <w:pStyle w:val="null3"/>
        <w:jc w:val="center"/>
        <w:outlineLvl w:val="2"/>
      </w:pPr>
      <w:r>
        <w:rPr>
          <w:rFonts w:ascii="仿宋_GB2312" w:hAnsi="仿宋_GB2312" w:cs="仿宋_GB2312" w:eastAsia="仿宋_GB2312"/>
          <w:sz w:val="28"/>
          <w:b/>
        </w:rPr>
        <w:t>中轩项目管理有限公司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中轩项目管理有限公司</w:t>
      </w:r>
      <w:r>
        <w:rPr>
          <w:rFonts w:ascii="仿宋_GB2312" w:hAnsi="仿宋_GB2312" w:cs="仿宋_GB2312" w:eastAsia="仿宋_GB2312"/>
        </w:rPr>
        <w:t>（以下简称“代理机构”）受</w:t>
      </w:r>
      <w:r>
        <w:rPr>
          <w:rFonts w:ascii="仿宋_GB2312" w:hAnsi="仿宋_GB2312" w:cs="仿宋_GB2312" w:eastAsia="仿宋_GB2312"/>
        </w:rPr>
        <w:t>汉中市南郑区人民医院</w:t>
      </w:r>
      <w:r>
        <w:rPr>
          <w:rFonts w:ascii="仿宋_GB2312" w:hAnsi="仿宋_GB2312" w:cs="仿宋_GB2312" w:eastAsia="仿宋_GB2312"/>
        </w:rPr>
        <w:t>委托，拟对</w:t>
      </w:r>
      <w:r>
        <w:rPr>
          <w:rFonts w:ascii="仿宋_GB2312" w:hAnsi="仿宋_GB2312" w:cs="仿宋_GB2312" w:eastAsia="仿宋_GB2312"/>
        </w:rPr>
        <w:t>南郑区人民医院老外科楼、旧污水处理站拆除项目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ZCBN-南郑县-2025-00383</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南郑区人民医院老外科楼、旧污水处理站拆除项目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南郑区人民医院内老外科楼、旧污水处理站拆除，具体施工内容祥见工程量清单。</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采购包1（南郑区人民医院老外科楼、旧污水处理站拆除项目）：属于专门面向中小企业采购。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授权的参与人员：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p>
      <w:pPr>
        <w:pStyle w:val="null3"/>
      </w:pPr>
      <w:r>
        <w:rPr>
          <w:rFonts w:ascii="仿宋_GB2312" w:hAnsi="仿宋_GB2312" w:cs="仿宋_GB2312" w:eastAsia="仿宋_GB2312"/>
        </w:rPr>
        <w:t>2、供应商基本情况：具有独立承担民事责任能力的法人、其他组织或自然人，并出具合法有效的营业执照或事业单位法人证书等国家规定的相关证明，自然人参与的提供其身份证明；供应商需提供相关证件复印件并加盖电子印章。</w:t>
      </w:r>
    </w:p>
    <w:p>
      <w:pPr>
        <w:pStyle w:val="null3"/>
      </w:pPr>
      <w:r>
        <w:rPr>
          <w:rFonts w:ascii="仿宋_GB2312" w:hAnsi="仿宋_GB2312" w:cs="仿宋_GB2312" w:eastAsia="仿宋_GB2312"/>
        </w:rPr>
        <w:t>3、汉中市政府采购供应商资格承诺函：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并加盖电子印章。</w:t>
      </w:r>
    </w:p>
    <w:p>
      <w:pPr>
        <w:pStyle w:val="null3"/>
      </w:pPr>
      <w:r>
        <w:rPr>
          <w:rFonts w:ascii="仿宋_GB2312" w:hAnsi="仿宋_GB2312" w:cs="仿宋_GB2312" w:eastAsia="仿宋_GB2312"/>
        </w:rPr>
        <w:t>4、资质要求：供应商须具备建设行政主管部门核发的建筑工程施工总承包三级及以上资质，并具备有效的安全生产许可证。上述资料均应加盖电子印章。</w:t>
      </w:r>
    </w:p>
    <w:p>
      <w:pPr>
        <w:pStyle w:val="null3"/>
      </w:pPr>
      <w:r>
        <w:rPr>
          <w:rFonts w:ascii="仿宋_GB2312" w:hAnsi="仿宋_GB2312" w:cs="仿宋_GB2312" w:eastAsia="仿宋_GB2312"/>
        </w:rPr>
        <w:t>5、拟派项目负责人资质和专业要求：拟派项目经理须具备建筑工程专业二级及以上注册建造师执业资格和有效的安全生产考核合格证书（建安B证），且在本单位注册、无在建工程，提供相关证书及项目经理无在建证明。上述资料均应加盖电子印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汉中市南郑区人民医院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汉中市南郑区周家坪青年路10号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苏先生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0916-5510799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中轩项目管理有限公司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陕西省汉中市南郑区江南东路电商产业园 3 号馆3-3室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723102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0916-5309066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南郑县政府采购管理股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程先生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0916-2995312</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采购包1：362,000.00元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开户名称：中轩项目管理有限公司汉中分公司</w:t>
            </w:r>
          </w:p>
          <w:p>
            <w:pPr>
              <w:pStyle w:val="null3"/>
            </w:pPr>
            <w:r>
              <w:rPr>
                <w:rFonts w:ascii="仿宋_GB2312" w:hAnsi="仿宋_GB2312" w:cs="仿宋_GB2312" w:eastAsia="仿宋_GB2312"/>
              </w:rPr>
              <w:t>开户银行：交通银行汉中分行营业部</w:t>
            </w:r>
          </w:p>
          <w:p>
            <w:pPr>
              <w:pStyle w:val="null3"/>
            </w:pPr>
            <w:r>
              <w:rPr>
                <w:rFonts w:ascii="仿宋_GB2312" w:hAnsi="仿宋_GB2312" w:cs="仿宋_GB2312" w:eastAsia="仿宋_GB2312"/>
              </w:rPr>
              <w:t>银行账号：617899991010003106857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价为基数，代理服务费依据国家计委颁发的《关于印发招标代理服务收费管理暂行办法》的通知（计价格〔2002〕1980号）和国家发展和改革委员会颁发的《关于降低部分建设项目收费标准规范收费行为等有关问题的通知》（发改价格〔2011〕534号）规定的标准计取。</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汉中市南郑区人民医院</w:t>
      </w:r>
      <w:r>
        <w:rPr>
          <w:rFonts w:ascii="仿宋_GB2312" w:hAnsi="仿宋_GB2312" w:cs="仿宋_GB2312" w:eastAsia="仿宋_GB2312"/>
        </w:rPr>
        <w:t>和</w:t>
      </w:r>
      <w:r>
        <w:rPr>
          <w:rFonts w:ascii="仿宋_GB2312" w:hAnsi="仿宋_GB2312" w:cs="仿宋_GB2312" w:eastAsia="仿宋_GB2312"/>
        </w:rPr>
        <w:t>中轩项目管理有限公司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汉中市南郑区人民医院</w:t>
      </w:r>
      <w:r>
        <w:rPr>
          <w:rFonts w:ascii="仿宋_GB2312" w:hAnsi="仿宋_GB2312" w:cs="仿宋_GB2312" w:eastAsia="仿宋_GB2312"/>
        </w:rPr>
        <w:t>负责解释。除上述磋商文件内容，其他内容由</w:t>
      </w:r>
      <w:r>
        <w:rPr>
          <w:rFonts w:ascii="仿宋_GB2312" w:hAnsi="仿宋_GB2312" w:cs="仿宋_GB2312" w:eastAsia="仿宋_GB2312"/>
        </w:rPr>
        <w:t>中轩项目管理有限公司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汉中市南郑区人民医院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中轩项目管理有限公司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参照合同约定与强制性规范执行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中轩项目管理有限公司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中轩项目管理有限公司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联系人：张先生</w:t>
      </w:r>
    </w:p>
    <w:p>
      <w:pPr>
        <w:pStyle w:val="null3"/>
      </w:pPr>
      <w:r>
        <w:rPr>
          <w:rFonts w:ascii="仿宋_GB2312" w:hAnsi="仿宋_GB2312" w:cs="仿宋_GB2312" w:eastAsia="仿宋_GB2312"/>
        </w:rPr>
        <w:t>联系电话：0916-5309066</w:t>
      </w:r>
    </w:p>
    <w:p>
      <w:pPr>
        <w:pStyle w:val="null3"/>
      </w:pPr>
      <w:r>
        <w:rPr>
          <w:rFonts w:ascii="仿宋_GB2312" w:hAnsi="仿宋_GB2312" w:cs="仿宋_GB2312" w:eastAsia="仿宋_GB2312"/>
        </w:rPr>
        <w:t>地址：汉中市南郑区江南东路电商产业园 3 号馆 3-3室</w:t>
      </w:r>
    </w:p>
    <w:p>
      <w:pPr>
        <w:pStyle w:val="null3"/>
      </w:pPr>
      <w:r>
        <w:rPr>
          <w:rFonts w:ascii="仿宋_GB2312" w:hAnsi="仿宋_GB2312" w:cs="仿宋_GB2312" w:eastAsia="仿宋_GB2312"/>
        </w:rPr>
        <w:t>邮编：723102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362,000.00</w:t>
      </w:r>
    </w:p>
    <w:p>
      <w:pPr>
        <w:pStyle w:val="null3"/>
      </w:pPr>
      <w:r>
        <w:rPr>
          <w:rFonts w:ascii="仿宋_GB2312" w:hAnsi="仿宋_GB2312" w:cs="仿宋_GB2312" w:eastAsia="仿宋_GB2312"/>
        </w:rPr>
        <w:t>采购包最高限价（元）: 362,000.00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汉中市南郑区人民医院老外科楼、旧污水处理站拆除项目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362,000.00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标的名称：汉中市南郑区人民医院老外科楼、旧污水处理站拆除项目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1、工程量清单(见附件）</w:t>
            </w:r>
          </w:p>
          <w:p>
            <w:pPr>
              <w:pStyle w:val="null3"/>
            </w:pPr>
            <w:r>
              <w:rPr>
                <w:rFonts w:ascii="仿宋_GB2312" w:hAnsi="仿宋_GB2312" w:cs="仿宋_GB2312" w:eastAsia="仿宋_GB2312"/>
                <w:b/>
              </w:rPr>
              <w:t>2、招标范围：</w:t>
            </w:r>
            <w:r>
              <w:rPr>
                <w:rFonts w:ascii="仿宋_GB2312" w:hAnsi="仿宋_GB2312" w:cs="仿宋_GB2312" w:eastAsia="仿宋_GB2312"/>
              </w:rPr>
              <w:t>工程量清单内的全部内容。</w:t>
            </w:r>
          </w:p>
          <w:p>
            <w:pPr>
              <w:pStyle w:val="null3"/>
            </w:pPr>
            <w:r>
              <w:rPr>
                <w:rFonts w:ascii="仿宋_GB2312" w:hAnsi="仿宋_GB2312" w:cs="仿宋_GB2312" w:eastAsia="仿宋_GB2312"/>
                <w:b/>
              </w:rPr>
              <w:t>3、承包方式：</w:t>
            </w:r>
            <w:r>
              <w:rPr>
                <w:rFonts w:ascii="仿宋_GB2312" w:hAnsi="仿宋_GB2312" w:cs="仿宋_GB2312" w:eastAsia="仿宋_GB2312"/>
              </w:rPr>
              <w:t>包工包料，包质量、包工期、包安全、包文明施工。</w:t>
            </w:r>
          </w:p>
          <w:p>
            <w:pPr>
              <w:pStyle w:val="null3"/>
            </w:pPr>
            <w:r>
              <w:rPr>
                <w:rFonts w:ascii="仿宋_GB2312" w:hAnsi="仿宋_GB2312" w:cs="仿宋_GB2312" w:eastAsia="仿宋_GB2312"/>
                <w:b/>
              </w:rPr>
              <w:t>4、合同工期：</w:t>
            </w:r>
            <w:r>
              <w:rPr>
                <w:rFonts w:ascii="仿宋_GB2312" w:hAnsi="仿宋_GB2312" w:cs="仿宋_GB2312" w:eastAsia="仿宋_GB2312"/>
                <w:b/>
                <w:u w:val="single"/>
              </w:rPr>
              <w:t xml:space="preserve"> </w:t>
            </w:r>
            <w:r>
              <w:rPr>
                <w:rFonts w:ascii="仿宋_GB2312" w:hAnsi="仿宋_GB2312" w:cs="仿宋_GB2312" w:eastAsia="仿宋_GB2312"/>
                <w:b/>
                <w:u w:val="single"/>
              </w:rPr>
              <w:t>15</w:t>
            </w:r>
            <w:r>
              <w:rPr>
                <w:rFonts w:ascii="仿宋_GB2312" w:hAnsi="仿宋_GB2312" w:cs="仿宋_GB2312" w:eastAsia="仿宋_GB2312"/>
                <w:b/>
              </w:rPr>
              <w:t>日历天</w:t>
            </w:r>
            <w:r>
              <w:rPr>
                <w:rFonts w:ascii="仿宋_GB2312" w:hAnsi="仿宋_GB2312" w:cs="仿宋_GB2312" w:eastAsia="仿宋_GB2312"/>
              </w:rPr>
              <w:t>。</w:t>
            </w:r>
          </w:p>
          <w:p>
            <w:pPr>
              <w:pStyle w:val="null3"/>
            </w:pPr>
            <w:r>
              <w:rPr>
                <w:rFonts w:ascii="仿宋_GB2312" w:hAnsi="仿宋_GB2312" w:cs="仿宋_GB2312" w:eastAsia="仿宋_GB2312"/>
                <w:b/>
              </w:rPr>
              <w:t>5、验收标准：参照合同约定与强制性规范执行</w:t>
            </w:r>
          </w:p>
          <w:p>
            <w:pPr>
              <w:pStyle w:val="null3"/>
            </w:pPr>
            <w:r>
              <w:rPr>
                <w:rFonts w:ascii="仿宋_GB2312" w:hAnsi="仿宋_GB2312" w:cs="仿宋_GB2312" w:eastAsia="仿宋_GB2312"/>
                <w:b/>
              </w:rPr>
              <w:t>6、安全文明施工保险、安全作业环境及安全施工措施所需费用包括在合同价内。</w:t>
            </w:r>
          </w:p>
          <w:p>
            <w:pPr>
              <w:pStyle w:val="null3"/>
            </w:pPr>
            <w:r>
              <w:rPr>
                <w:rFonts w:ascii="仿宋_GB2312" w:hAnsi="仿宋_GB2312" w:cs="仿宋_GB2312" w:eastAsia="仿宋_GB2312"/>
              </w:rPr>
              <w:t>① 项目安全生产的达标目标及相应事项的约定：要求达到《建筑施工安全检查标准》（JGJ59-2025）标准 。</w:t>
            </w:r>
          </w:p>
          <w:p>
            <w:pPr>
              <w:pStyle w:val="null3"/>
            </w:pPr>
            <w:r>
              <w:rPr>
                <w:rFonts w:ascii="仿宋_GB2312" w:hAnsi="仿宋_GB2312" w:cs="仿宋_GB2312" w:eastAsia="仿宋_GB2312"/>
              </w:rPr>
              <w:t>②承包人应履行安全职责，编制施工安全措施计划，并遵照执行。由于承包人原因在施工场地内及其毗邻地带造成的第三者人员伤亡和财产损失，全部由承包人负责赔偿。</w:t>
            </w:r>
          </w:p>
          <w:p>
            <w:pPr>
              <w:pStyle w:val="null3"/>
            </w:pPr>
            <w:r>
              <w:rPr>
                <w:rFonts w:ascii="仿宋_GB2312" w:hAnsi="仿宋_GB2312" w:cs="仿宋_GB2312" w:eastAsia="仿宋_GB2312"/>
              </w:rPr>
              <w:t>③发包人、监理人对工程建设过程中的安全和文明施工实行监督、检查，如果承包人安全严重失控，发包人有权责令其停工整顿。</w:t>
            </w:r>
          </w:p>
          <w:p>
            <w:pPr>
              <w:pStyle w:val="null3"/>
            </w:pPr>
            <w:r>
              <w:rPr>
                <w:rFonts w:ascii="仿宋_GB2312" w:hAnsi="仿宋_GB2312" w:cs="仿宋_GB2312" w:eastAsia="仿宋_GB2312"/>
              </w:rPr>
              <w:t>④承包人有责任保障施工中施工方人员及其其他人员的人身、财产和设备安全。承包人应健全安全制度，完善安全保障体系。</w:t>
            </w:r>
          </w:p>
          <w:p>
            <w:pPr>
              <w:pStyle w:val="null3"/>
            </w:pPr>
            <w:r>
              <w:rPr>
                <w:rFonts w:ascii="仿宋_GB2312" w:hAnsi="仿宋_GB2312" w:cs="仿宋_GB2312" w:eastAsia="仿宋_GB2312"/>
              </w:rPr>
              <w:t>⑤承包人应指派一位常驻工地的专职安全专员专门处理安全事件及防止发生任何职工人身事故。这一工作人员应能胜任此项工作，并有权发布各种指示及采取防止事故发生的预防措施。</w:t>
            </w:r>
          </w:p>
          <w:p>
            <w:pPr>
              <w:pStyle w:val="null3"/>
            </w:pPr>
            <w:r>
              <w:rPr>
                <w:rFonts w:ascii="仿宋_GB2312" w:hAnsi="仿宋_GB2312" w:cs="仿宋_GB2312" w:eastAsia="仿宋_GB2312"/>
              </w:rPr>
              <w:t>⑥合同当事人对文明施工的要求：按建设部制式合同中通用合同条款执行；另外按政府相关部门对施工现场的扬尘要求执行 。</w:t>
            </w:r>
          </w:p>
          <w:p>
            <w:pPr>
              <w:pStyle w:val="null3"/>
            </w:pPr>
            <w:r>
              <w:rPr>
                <w:rFonts w:ascii="仿宋_GB2312" w:hAnsi="仿宋_GB2312" w:cs="仿宋_GB2312" w:eastAsia="仿宋_GB2312"/>
              </w:rPr>
              <w:t>⑦承包人应投保建筑工程一切险或安装工程一切险并支付保险费；为其履行合同的全部员工购买工伤保险并支付保险费；为其施工现场的全部人员办理意外伤害保险并支付保险费。</w:t>
            </w:r>
          </w:p>
          <w:p>
            <w:pPr>
              <w:pStyle w:val="null3"/>
            </w:pPr>
            <w:r>
              <w:rPr>
                <w:rFonts w:ascii="仿宋_GB2312" w:hAnsi="仿宋_GB2312" w:cs="仿宋_GB2312" w:eastAsia="仿宋_GB2312"/>
                <w:b/>
              </w:rPr>
              <w:t>7、工程要求</w:t>
            </w:r>
          </w:p>
          <w:p>
            <w:pPr>
              <w:pStyle w:val="null3"/>
            </w:pPr>
            <w:r>
              <w:rPr>
                <w:rFonts w:ascii="仿宋_GB2312" w:hAnsi="仿宋_GB2312" w:cs="仿宋_GB2312" w:eastAsia="仿宋_GB2312"/>
              </w:rPr>
              <w:t>①根据国家及地方有关建设工程行业有关规定。</w:t>
            </w:r>
          </w:p>
          <w:p>
            <w:pPr>
              <w:pStyle w:val="null3"/>
            </w:pPr>
            <w:r>
              <w:rPr>
                <w:rFonts w:ascii="仿宋_GB2312" w:hAnsi="仿宋_GB2312" w:cs="仿宋_GB2312" w:eastAsia="仿宋_GB2312"/>
              </w:rPr>
              <w:t>②需根据现场状况、规范、清单内容，对该项目进行施工。</w:t>
            </w:r>
          </w:p>
          <w:p>
            <w:pPr>
              <w:pStyle w:val="null3"/>
            </w:pPr>
            <w:r>
              <w:rPr>
                <w:rFonts w:ascii="仿宋_GB2312" w:hAnsi="仿宋_GB2312" w:cs="仿宋_GB2312" w:eastAsia="仿宋_GB2312"/>
              </w:rPr>
              <w:t>③ 投标报价应是招标范围内全部工作内容的价格体现。投标报价一经提交，则将被视为发包内容的全部费用已经包含在投标报价内，供应商没有填报的费用，采购人将不予支付，并认为此项费用已包括在投标报价的其他综合单价或合价中。供应商亦不得以任何理由在投标报价中重复计价。除合同另有约定外，对中标人提出的任何追加报价，采购人将不予考虑。供应商在投标报价时应充分考虑工程施工期间的市场价格变化、金融汇率等带来的风险，并自行测算施工期间的所有风险费用，计入投标报价。</w:t>
            </w:r>
          </w:p>
          <w:p>
            <w:pPr>
              <w:pStyle w:val="null3"/>
              <w:jc w:val="both"/>
            </w:pPr>
            <w:r>
              <w:rPr>
                <w:rFonts w:ascii="仿宋_GB2312" w:hAnsi="仿宋_GB2312" w:cs="仿宋_GB2312" w:eastAsia="仿宋_GB2312"/>
              </w:rPr>
              <w:t>④为防止恶性竞争，影响项目合同的履行，供应商不得恶意以低于成本的报价竞标。若供应商的报价明显低于通过符合性审查的其他供应商的报价的，应当在评审过程中提供书面说明并提供能够证明其报价合理性的证明材料，供应商不能证明其报价合理性的，应当将其作为无效投标处理。</w:t>
            </w:r>
          </w:p>
          <w:p>
            <w:pPr>
              <w:pStyle w:val="null3"/>
            </w:pPr>
            <w:r>
              <w:rPr>
                <w:rFonts w:ascii="仿宋_GB2312" w:hAnsi="仿宋_GB2312" w:cs="仿宋_GB2312" w:eastAsia="仿宋_GB2312"/>
              </w:rPr>
              <w:t xml:space="preserve"> </w:t>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符合国家现行行业验收规范：“合格”标准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承包人严格按照国家颁发的施工验收规范及合同约定执行</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供应商授权的参与人员</w:t>
            </w:r>
          </w:p>
        </w:tc>
        <w:tc>
          <w:tcPr>
            <w:tcW w:type="dxa" w:w="3322"/>
          </w:tcPr>
          <w:p>
            <w:pPr>
              <w:pStyle w:val="null3"/>
            </w:pPr>
            <w:r>
              <w:rPr>
                <w:rFonts w:ascii="仿宋_GB2312" w:hAnsi="仿宋_GB2312" w:cs="仿宋_GB2312" w:eastAsia="仿宋_GB2312"/>
              </w:rPr>
              <w:t>供应商应授权合法的人员参与磋商，其中法定代表人直接参加磋商的，须出具法定代表人身份证明，并与营业执照上信息一致。法定代表人授权代表参与磋商的，须出具法定代表人授权书、授权代表身份证；供应商需提供相关证件复印件并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供应商基本情况</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具有独立承担民事责任能力的法人、其他组织或自然人，并出具合法有效的营业执照或事业单位法人证书等国家规定的相关证明，自然人参与的提供其身份证明；供应商需提供相关证件复印件并加盖电子印章。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汉中市政府采购供应商资格承诺函</w:t>
            </w:r>
          </w:p>
        </w:tc>
        <w:tc>
          <w:tcPr>
            <w:tcW w:type="dxa" w:w="3322"/>
          </w:tcPr>
          <w:p>
            <w:pPr>
              <w:pStyle w:val="null3"/>
            </w:pPr>
            <w:r>
              <w:rPr>
                <w:rFonts w:ascii="仿宋_GB2312" w:hAnsi="仿宋_GB2312" w:cs="仿宋_GB2312" w:eastAsia="仿宋_GB2312"/>
              </w:rPr>
              <w:t>供应商应具有良好的商业信誉和健全的财务会计制度,具有履行合同所必需的设备和专业技术能力,具有依法缴纳税收和社会保障金的良好记录，参加本项目采购活动前三年内无重大违法活动记录，未列入在信用中国网站“失信被执行人”、“重大税收违法案件当事人名单”中，也未列入中国政府采购网“政府采购严重违法失信行为记录名单”中，须提供《汉中市政府采购供应商资格承诺函》并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供应商须具备建设行政主管部门核发的建筑工程施工总承包三级及以上资质，并具备有效的安全生产许可证。上述资料均应加盖电子印章。</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拟派项目负责人资质和专业要求</w:t>
            </w:r>
          </w:p>
        </w:tc>
        <w:tc>
          <w:tcPr>
            <w:tcW w:type="dxa" w:w="3322"/>
          </w:tcPr>
          <w:p>
            <w:pPr>
              <w:pStyle w:val="null3"/>
            </w:pPr>
            <w:r>
              <w:rPr>
                <w:rFonts w:ascii="仿宋_GB2312" w:hAnsi="仿宋_GB2312" w:cs="仿宋_GB2312" w:eastAsia="仿宋_GB2312"/>
              </w:rPr>
              <w:t>拟派项目经理须具备建筑工程专业二级及以上注册建造师执业资格和有效的安全生产考核合格证书（建安B证），且在本单位注册、无在建工程，提供相关证书及项目经理无在建证明。上述资料均应加盖电子印章。</w:t>
            </w:r>
          </w:p>
        </w:tc>
        <w:tc>
          <w:tcPr>
            <w:tcW w:type="dxa" w:w="1661"/>
          </w:tcPr>
          <w:p>
            <w:pPr>
              <w:pStyle w:val="null3"/>
            </w:pPr>
            <w:r>
              <w:rPr>
                <w:rFonts w:ascii="仿宋_GB2312" w:hAnsi="仿宋_GB2312" w:cs="仿宋_GB2312" w:eastAsia="仿宋_GB2312"/>
              </w:rPr>
              <w:t>供应商应提交的相关资格证明材料.docx 主要人员简历表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有效性审查</w:t>
            </w:r>
          </w:p>
        </w:tc>
        <w:tc>
          <w:tcPr>
            <w:tcW w:type="dxa" w:w="3322"/>
          </w:tcPr>
          <w:p>
            <w:pPr>
              <w:pStyle w:val="null3"/>
            </w:pPr>
            <w:r>
              <w:rPr>
                <w:rFonts w:ascii="仿宋_GB2312" w:hAnsi="仿宋_GB2312" w:cs="仿宋_GB2312" w:eastAsia="仿宋_GB2312"/>
              </w:rPr>
              <w:t>1、磋商响应文件签署应符合竞争性磋商文件要求； 2、磋商响应文件的格式、语言、计量单位、报价货币应符合“磋商响应文件格式”和竞争性磋商文件要求； 3、每个供应商只能提交一个方案； 4、只能在采购最高限价内报价，只能有一个有效报价，不得提交选择性报价。</w:t>
            </w:r>
          </w:p>
        </w:tc>
        <w:tc>
          <w:tcPr>
            <w:tcW w:type="dxa" w:w="1661"/>
          </w:tcPr>
          <w:p>
            <w:pPr>
              <w:pStyle w:val="null3"/>
            </w:pPr>
            <w:r>
              <w:rPr>
                <w:rFonts w:ascii="仿宋_GB2312" w:hAnsi="仿宋_GB2312" w:cs="仿宋_GB2312" w:eastAsia="仿宋_GB2312"/>
              </w:rPr>
              <w:t>响应文件封面 已标价工程量清单 供应商应提交的相关资格证明材料.docx 报价函 标的清单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 xml:space="preserve"> 响应性审查</w:t>
            </w:r>
          </w:p>
        </w:tc>
        <w:tc>
          <w:tcPr>
            <w:tcW w:type="dxa" w:w="3322"/>
          </w:tcPr>
          <w:p>
            <w:pPr>
              <w:pStyle w:val="null3"/>
            </w:pPr>
            <w:r>
              <w:rPr>
                <w:rFonts w:ascii="仿宋_GB2312" w:hAnsi="仿宋_GB2312" w:cs="仿宋_GB2312" w:eastAsia="仿宋_GB2312"/>
              </w:rPr>
              <w:t>1、质量应满足竞争性磋商文件中要求的质量标准； 2、工期应满足竞争性磋商文件中要求的工期； 3、投标有效期满足竞争性磋商文件规定。</w:t>
            </w:r>
          </w:p>
        </w:tc>
        <w:tc>
          <w:tcPr>
            <w:tcW w:type="dxa" w:w="1661"/>
          </w:tcPr>
          <w:p>
            <w:pPr>
              <w:pStyle w:val="null3"/>
            </w:pPr>
            <w:r>
              <w:rPr>
                <w:rFonts w:ascii="仿宋_GB2312" w:hAnsi="仿宋_GB2312" w:cs="仿宋_GB2312" w:eastAsia="仿宋_GB2312"/>
              </w:rPr>
              <w:t>响应文件封面 技术服务合同条款及其他商务要求应答表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供应商提供类似项目业绩（2022年10月1日至磋商截止日）进行综合评定，每提供一个合同业绩得2分，最多得4分，未提供者不得分。（注：响应文件中提供合同扫描件，合同业绩时间以合同签订时间为准。）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根据项目背景、现状提供总体思路，对工作内容、工作计划、工作目标等有具体可行的方案。施工方案合理、全面、施工方法先进、可操作性强得7.1～10分；施工方案较齐全、基本可行得3.1～7分；施工方案不完整、可行性较差得1.0～3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确保工程质量及工期的技术组织措施</w:t>
            </w:r>
          </w:p>
        </w:tc>
        <w:tc>
          <w:tcPr>
            <w:tcW w:type="dxa" w:w="2492"/>
          </w:tcPr>
          <w:p>
            <w:pPr>
              <w:pStyle w:val="null3"/>
            </w:pPr>
            <w:r>
              <w:rPr>
                <w:rFonts w:ascii="仿宋_GB2312" w:hAnsi="仿宋_GB2312" w:cs="仿宋_GB2312" w:eastAsia="仿宋_GB2312"/>
              </w:rPr>
              <w:t>提供的技术措施计划详细齐全、合理且切实可行，施工进度表或网络图表达清晰、合理。 科学、合理、全面、可行性高得7.1～10分；较合理、 内容较完整得3.1～7分；不完整、可行性较差得1.0～3分；缺项得0分。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确保安全生产的技术组织措施</w:t>
            </w:r>
          </w:p>
        </w:tc>
        <w:tc>
          <w:tcPr>
            <w:tcW w:type="dxa" w:w="2492"/>
          </w:tcPr>
          <w:p>
            <w:pPr>
              <w:pStyle w:val="null3"/>
            </w:pPr>
            <w:r>
              <w:rPr>
                <w:rFonts w:ascii="仿宋_GB2312" w:hAnsi="仿宋_GB2312" w:cs="仿宋_GB2312" w:eastAsia="仿宋_GB2312"/>
              </w:rPr>
              <w:t>组织措施全面、完整，能够从多方面保证安全生产，且合理性、可行性强的，得7.1～10分；措施基本完整，基本合理、可行的，得3.1～7分；措施不完整，可行性较差，得1.0～3分；缺项得0分。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确保文明施工及环境保护的技术组织措施</w:t>
            </w:r>
          </w:p>
        </w:tc>
        <w:tc>
          <w:tcPr>
            <w:tcW w:type="dxa" w:w="2492"/>
          </w:tcPr>
          <w:p>
            <w:pPr>
              <w:pStyle w:val="null3"/>
            </w:pPr>
            <w:r>
              <w:rPr>
                <w:rFonts w:ascii="仿宋_GB2312" w:hAnsi="仿宋_GB2312" w:cs="仿宋_GB2312" w:eastAsia="仿宋_GB2312"/>
              </w:rPr>
              <w:t>措施全面、完整，能够从多方面确保文明施工、考虑影响环境的因素，并提出相关解决和防治措施，内容详细，科学合理、可操作性强的，得7.1～10分；措施基本齐全，可行性较强，能基本满足文明施工、环境保护要求的，得3.1～7分；措施不合理、内容简单的，得1.0～3分；缺项得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项目组织管理机构</w:t>
            </w:r>
          </w:p>
        </w:tc>
        <w:tc>
          <w:tcPr>
            <w:tcW w:type="dxa" w:w="2492"/>
          </w:tcPr>
          <w:p>
            <w:pPr>
              <w:pStyle w:val="null3"/>
            </w:pPr>
            <w:r>
              <w:rPr>
                <w:rFonts w:ascii="仿宋_GB2312" w:hAnsi="仿宋_GB2312" w:cs="仿宋_GB2312" w:eastAsia="仿宋_GB2312"/>
              </w:rPr>
              <w:t>项目管理机构设置合理完善，管理人员配备齐全，岗位职责清晰明确，完全满足项目需求，得3.1～5分； 项目管理机构设置基本合理，管理人员配备较齐全，岗位职责较明确，基本满足项目需求得2.1～3分；机构设置非专门针对本项目，管理人员配备不齐，岗位职责不明确，得1.0～2分；缺项得0分。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劳动力（包含特种作业人员）安排计划</w:t>
            </w:r>
          </w:p>
        </w:tc>
        <w:tc>
          <w:tcPr>
            <w:tcW w:type="dxa" w:w="2492"/>
          </w:tcPr>
          <w:p>
            <w:pPr>
              <w:pStyle w:val="null3"/>
            </w:pPr>
            <w:r>
              <w:rPr>
                <w:rFonts w:ascii="仿宋_GB2312" w:hAnsi="仿宋_GB2312" w:cs="仿宋_GB2312" w:eastAsia="仿宋_GB2312"/>
              </w:rPr>
              <w:t>劳动力安排计划完整、合理、可行，特种作业人员齐备，有利于本项目实施的得6.1～8分；劳动力安排计划合理、可行的，有部分特种作业人员，基本能满足项目实施的得2.1～6分；劳动力安排计划可行性较差，无特种作业人员，存在缺陷的得1.0～2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拟投入的施工设施设备</w:t>
            </w:r>
          </w:p>
        </w:tc>
        <w:tc>
          <w:tcPr>
            <w:tcW w:type="dxa" w:w="2492"/>
          </w:tcPr>
          <w:p>
            <w:pPr>
              <w:pStyle w:val="null3"/>
            </w:pPr>
            <w:r>
              <w:rPr>
                <w:rFonts w:ascii="仿宋_GB2312" w:hAnsi="仿宋_GB2312" w:cs="仿宋_GB2312" w:eastAsia="仿宋_GB2312"/>
              </w:rPr>
              <w:t>配置合理齐全，完全满足采购需求，得3.1～5分；配置基本合理，较全面，基本满足采购需求，得2.1～3分；配置不齐全，不满足采购需求，得1.0～2分；缺项得0分。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结合本项目需求及项目实际情况，提供具有预见性和适应性的科学合理化建议，建议完整、严谨，落实措施具体、可操作性强，经济效益大。方案完整实用，可操作性强，得5.1～8分；方案基本完整实用，可操作性一般，得2.1～5分；方案不完整不实用，可操作性差，得1.0～2分；缺项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技术部分.docx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1、上限为采购预算价（最高限价），即报价大于上限价视为报价无效； 2、价格分采用低价优先法计算，即满足磋商文件要求且最终磋商价格最低的报价为评标基准价，其价格分为满分。其他供应商的价格分统一按照下列公式计算：报价得分=（评标基准价／最终磋商报价）×30%×100。计算分数时四舍五入取小数点后两位。</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详见附件：技术部分.docx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详见附件：《建设工程施工合同（示范文本）》（GF-2017-0201）.docx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